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92014" w:rsidRPr="00A33E88"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P="00F92014">
      <w:pPr>
        <w:pStyle w:val="BodyText"/>
        <w:tabs>
          <w:tab w:val="left" w:pos="1440"/>
          <w:tab w:val="left" w:pos="6480"/>
          <w:tab w:val="right" w:pos="9360"/>
        </w:tabs>
        <w:ind w:right="720"/>
        <w:jc w:val="left"/>
        <w:rPr>
          <w:sz w:val="12"/>
          <w:szCs w:val="12"/>
        </w:rPr>
      </w:pPr>
    </w:p>
    <w:p w:rsidR="00F92014" w:rsidRPr="00A33E88"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F92014" w:rsidRPr="00A33E88"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P="00F92014">
      <w:pPr>
        <w:numPr>
          <w:ilvl w:val="0"/>
          <w:numId w:val="21"/>
        </w:numPr>
        <w:tabs>
          <w:tab w:val="left" w:pos="-1440"/>
          <w:tab w:val="num" w:pos="360"/>
          <w:tab w:val="clear" w:pos="144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F92014" w:rsidRPr="00A33E88" w:rsidP="00F92014">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rsidTr="00F92014">
        <w:tblPrEx>
          <w:tblW w:w="9090" w:type="dxa"/>
          <w:tblInd w:w="1548" w:type="dxa"/>
          <w:tblLook w:val="00A0"/>
        </w:tblPrEx>
        <w:trPr>
          <w:gridAfter w:val="1"/>
          <w:wAfter w:w="639" w:type="dxa"/>
        </w:trPr>
        <w:tc>
          <w:tcPr>
            <w:tcW w:w="3119" w:type="dxa"/>
            <w:gridSpan w:val="2"/>
          </w:tcPr>
          <w:p w:rsidR="00F92014" w:rsidRPr="004314CA" w:rsidP="00F92014">
            <w:pPr>
              <w:jc w:val="center"/>
              <w:rPr>
                <w:sz w:val="16"/>
                <w:szCs w:val="16"/>
                <w:u w:val="single"/>
              </w:rPr>
            </w:pPr>
            <w:r w:rsidRPr="004314CA">
              <w:rPr>
                <w:sz w:val="16"/>
                <w:szCs w:val="16"/>
                <w:u w:val="single"/>
              </w:rPr>
              <w:t>Contract #49.1</w:t>
            </w:r>
          </w:p>
        </w:tc>
        <w:tc>
          <w:tcPr>
            <w:tcW w:w="470" w:type="dxa"/>
          </w:tcPr>
          <w:p w:rsidR="00F92014" w:rsidRPr="004314CA" w:rsidP="00F92014">
            <w:pPr>
              <w:jc w:val="center"/>
              <w:rPr>
                <w:sz w:val="16"/>
                <w:szCs w:val="16"/>
              </w:rPr>
            </w:pPr>
          </w:p>
        </w:tc>
        <w:tc>
          <w:tcPr>
            <w:tcW w:w="4412" w:type="dxa"/>
            <w:gridSpan w:val="4"/>
          </w:tcPr>
          <w:p w:rsidR="00F92014" w:rsidRPr="004314CA" w:rsidP="00F92014">
            <w:pPr>
              <w:jc w:val="center"/>
              <w:rPr>
                <w:sz w:val="16"/>
                <w:szCs w:val="16"/>
                <w:u w:val="single"/>
              </w:rPr>
            </w:pPr>
            <w:r w:rsidRPr="004314CA">
              <w:rPr>
                <w:sz w:val="16"/>
                <w:szCs w:val="16"/>
                <w:u w:val="single"/>
              </w:rPr>
              <w:t>Contract #</w:t>
            </w:r>
            <w:r w:rsidRPr="004314CA">
              <w:rPr>
                <w:sz w:val="16"/>
                <w:szCs w:val="16"/>
                <w:u w:val="single"/>
              </w:rPr>
              <w:t>49.2</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11/18/99 - 11/17/00 = 77 MW</w:t>
            </w:r>
          </w:p>
        </w:tc>
        <w:tc>
          <w:tcPr>
            <w:tcW w:w="2070" w:type="dxa"/>
            <w:gridSpan w:val="3"/>
          </w:tcPr>
          <w:p w:rsidR="00F92014" w:rsidRPr="004314CA" w:rsidP="00F92014">
            <w:pPr>
              <w:ind w:left="-108"/>
              <w:rPr>
                <w:sz w:val="16"/>
                <w:szCs w:val="16"/>
              </w:rPr>
            </w:pPr>
            <w:r w:rsidRPr="004314CA">
              <w:rPr>
                <w:sz w:val="16"/>
                <w:szCs w:val="16"/>
              </w:rPr>
              <w:t>11/18/04 - 11/17/05 = 54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11/18/99 - 11/17/00 = 43 MW</w:t>
            </w:r>
          </w:p>
        </w:tc>
        <w:tc>
          <w:tcPr>
            <w:tcW w:w="2520" w:type="dxa"/>
            <w:gridSpan w:val="2"/>
          </w:tcPr>
          <w:p w:rsidR="00F92014" w:rsidRPr="004314CA" w:rsidP="00F92014">
            <w:pPr>
              <w:rPr>
                <w:sz w:val="16"/>
                <w:szCs w:val="16"/>
              </w:rPr>
            </w:pPr>
            <w:r w:rsidRPr="004314CA">
              <w:rPr>
                <w:sz w:val="16"/>
                <w:szCs w:val="16"/>
              </w:rPr>
              <w:t>11/18/04 - 11/17/05 = 23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11/18/00 - 11/17/01 = 72 MW</w:t>
            </w:r>
          </w:p>
        </w:tc>
        <w:tc>
          <w:tcPr>
            <w:tcW w:w="2070" w:type="dxa"/>
            <w:gridSpan w:val="3"/>
          </w:tcPr>
          <w:p w:rsidR="00F92014" w:rsidRPr="004314CA" w:rsidP="00F92014">
            <w:pPr>
              <w:ind w:left="-108"/>
              <w:rPr>
                <w:sz w:val="16"/>
                <w:szCs w:val="16"/>
              </w:rPr>
            </w:pPr>
            <w:r w:rsidRPr="004314CA">
              <w:rPr>
                <w:sz w:val="16"/>
                <w:szCs w:val="16"/>
              </w:rPr>
              <w:t>11/18/05 - 11/17/06 = 50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11/18/00 - 11/17/01 = 39 MW</w:t>
            </w:r>
          </w:p>
        </w:tc>
        <w:tc>
          <w:tcPr>
            <w:tcW w:w="2520" w:type="dxa"/>
            <w:gridSpan w:val="2"/>
          </w:tcPr>
          <w:p w:rsidR="00F92014" w:rsidRPr="004314CA" w:rsidP="00F92014">
            <w:pPr>
              <w:rPr>
                <w:sz w:val="16"/>
                <w:szCs w:val="16"/>
              </w:rPr>
            </w:pPr>
            <w:r w:rsidRPr="004314CA">
              <w:rPr>
                <w:sz w:val="16"/>
                <w:szCs w:val="16"/>
              </w:rPr>
              <w:t>11/18/05 - 11/17/06 = 19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P="00F92014">
            <w:pPr>
              <w:ind w:left="-108"/>
              <w:rPr>
                <w:sz w:val="16"/>
                <w:szCs w:val="16"/>
              </w:rPr>
            </w:pPr>
            <w:r w:rsidRPr="004314CA">
              <w:rPr>
                <w:sz w:val="16"/>
                <w:szCs w:val="16"/>
              </w:rPr>
              <w:t>11/18/06 - 11/17/07 = 45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11/18/01 - 11/17/02 = 35 MW</w:t>
            </w:r>
          </w:p>
        </w:tc>
        <w:tc>
          <w:tcPr>
            <w:tcW w:w="2520" w:type="dxa"/>
            <w:gridSpan w:val="2"/>
          </w:tcPr>
          <w:p w:rsidR="00F92014" w:rsidRPr="004314CA" w:rsidP="00F92014">
            <w:pPr>
              <w:rPr>
                <w:sz w:val="16"/>
                <w:szCs w:val="16"/>
              </w:rPr>
            </w:pPr>
            <w:r w:rsidRPr="004314CA">
              <w:rPr>
                <w:sz w:val="16"/>
                <w:szCs w:val="16"/>
              </w:rPr>
              <w:t>11/18/06 - 11/17/07 = 15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11/18/02 - 11/17/02 = 63 MW</w:t>
            </w:r>
          </w:p>
        </w:tc>
        <w:tc>
          <w:tcPr>
            <w:tcW w:w="2070" w:type="dxa"/>
            <w:gridSpan w:val="3"/>
          </w:tcPr>
          <w:p w:rsidR="00F92014" w:rsidRPr="004314CA" w:rsidP="00F92014">
            <w:pPr>
              <w:ind w:left="-108"/>
              <w:rPr>
                <w:sz w:val="16"/>
                <w:szCs w:val="16"/>
              </w:rPr>
            </w:pPr>
            <w:r w:rsidRPr="004314CA">
              <w:rPr>
                <w:sz w:val="16"/>
                <w:szCs w:val="16"/>
              </w:rPr>
              <w:t>11/18/07 - 11/17/43 = 40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11/18/02 - 11/17/03 = 31 MW</w:t>
            </w:r>
          </w:p>
        </w:tc>
        <w:tc>
          <w:tcPr>
            <w:tcW w:w="2520" w:type="dxa"/>
            <w:gridSpan w:val="2"/>
          </w:tcPr>
          <w:p w:rsidR="00F92014" w:rsidRPr="004314CA" w:rsidP="00F92014">
            <w:pPr>
              <w:rPr>
                <w:sz w:val="16"/>
                <w:szCs w:val="16"/>
              </w:rPr>
            </w:pPr>
            <w:r w:rsidRPr="004314CA">
              <w:rPr>
                <w:sz w:val="16"/>
                <w:szCs w:val="16"/>
              </w:rPr>
              <w:t>11/18/07 -   6/30/35 = 11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11/18/03 - 11/17/04 = 59 MW</w:t>
            </w:r>
          </w:p>
        </w:tc>
        <w:tc>
          <w:tcPr>
            <w:tcW w:w="2070" w:type="dxa"/>
            <w:gridSpan w:val="3"/>
          </w:tcPr>
          <w:p w:rsidR="00F92014" w:rsidRPr="004314CA" w:rsidP="00F92014">
            <w:pPr>
              <w:ind w:left="-108"/>
              <w:rPr>
                <w:sz w:val="16"/>
                <w:szCs w:val="16"/>
              </w:rPr>
            </w:pP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P="00F92014">
            <w:pPr>
              <w:rPr>
                <w:sz w:val="16"/>
                <w:szCs w:val="16"/>
              </w:rPr>
            </w:pPr>
          </w:p>
        </w:tc>
      </w:tr>
    </w:tbl>
    <w:p w:rsidR="00F92014" w:rsidRPr="00A33E88" w:rsidP="00F92014">
      <w:pPr>
        <w:numPr>
          <w:ilvl w:val="0"/>
          <w:numId w:val="21"/>
        </w:numPr>
        <w:tabs>
          <w:tab w:val="num" w:pos="360"/>
          <w:tab w:val="clear" w:pos="144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P="00F92014">
            <w:pPr>
              <w:jc w:val="center"/>
              <w:rPr>
                <w:b/>
                <w:sz w:val="16"/>
                <w:szCs w:val="16"/>
              </w:rPr>
            </w:pPr>
            <w:r w:rsidRPr="004314CA">
              <w:rPr>
                <w:b/>
                <w:sz w:val="16"/>
                <w:szCs w:val="16"/>
              </w:rPr>
              <w:t>POI/POW Modeled in Auctions by ISO</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CHG&amp;E</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O&amp;R</w:t>
            </w:r>
          </w:p>
        </w:tc>
        <w:tc>
          <w:tcPr>
            <w:tcW w:w="3015" w:type="dxa"/>
          </w:tcPr>
          <w:p w:rsidR="00F92014" w:rsidRPr="004314CA" w:rsidP="00F92014">
            <w:pPr>
              <w:jc w:val="center"/>
              <w:rPr>
                <w:sz w:val="16"/>
                <w:szCs w:val="16"/>
              </w:rPr>
            </w:pPr>
            <w:r w:rsidRPr="004314CA">
              <w:rPr>
                <w:sz w:val="16"/>
                <w:szCs w:val="16"/>
              </w:rPr>
              <w:t>Hudson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North</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RG&amp;E</w:t>
            </w:r>
          </w:p>
        </w:tc>
        <w:tc>
          <w:tcPr>
            <w:tcW w:w="3015" w:type="dxa"/>
          </w:tcPr>
          <w:p w:rsidR="00F92014" w:rsidRPr="004314CA" w:rsidP="00F92014">
            <w:pPr>
              <w:jc w:val="center"/>
              <w:rPr>
                <w:sz w:val="16"/>
                <w:szCs w:val="16"/>
              </w:rPr>
            </w:pPr>
            <w:r w:rsidRPr="004314CA">
              <w:rPr>
                <w:sz w:val="16"/>
                <w:szCs w:val="16"/>
              </w:rPr>
              <w:t>Genessee</w:t>
            </w:r>
            <w:r>
              <w:rPr>
                <w:sz w:val="16"/>
                <w:szCs w:val="16"/>
              </w:rPr>
              <w:t xml:space="preserve"> or Ginna as listed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East</w:t>
            </w:r>
          </w:p>
        </w:tc>
        <w:tc>
          <w:tcPr>
            <w:tcW w:w="2970" w:type="dxa"/>
          </w:tcPr>
          <w:p w:rsidR="00F92014" w:rsidRPr="004314CA"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H</w:t>
            </w:r>
          </w:p>
        </w:tc>
        <w:tc>
          <w:tcPr>
            <w:tcW w:w="3015" w:type="dxa"/>
          </w:tcPr>
          <w:p w:rsidR="00F92014" w:rsidRPr="004314CA" w:rsidP="00F92014">
            <w:pPr>
              <w:jc w:val="center"/>
              <w:rPr>
                <w:sz w:val="16"/>
                <w:szCs w:val="16"/>
              </w:rPr>
            </w:pPr>
            <w:r w:rsidRPr="004314CA">
              <w:rPr>
                <w:sz w:val="16"/>
                <w:szCs w:val="16"/>
              </w:rPr>
              <w:t>Millwood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 East</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Mohansic - CE No</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C</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Mid Hud</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Genessee</w:t>
            </w:r>
          </w:p>
        </w:tc>
        <w:tc>
          <w:tcPr>
            <w:tcW w:w="3015" w:type="dxa"/>
          </w:tcPr>
          <w:p w:rsidR="00F92014" w:rsidRPr="004314CA" w:rsidP="00F92014">
            <w:pPr>
              <w:jc w:val="center"/>
              <w:rPr>
                <w:sz w:val="16"/>
                <w:szCs w:val="16"/>
              </w:rPr>
            </w:pPr>
            <w:r w:rsidRPr="004314CA">
              <w:rPr>
                <w:sz w:val="16"/>
                <w:szCs w:val="16"/>
              </w:rPr>
              <w:t>Genessee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Cent.</w:t>
            </w:r>
          </w:p>
        </w:tc>
        <w:tc>
          <w:tcPr>
            <w:tcW w:w="2970" w:type="dxa"/>
          </w:tcPr>
          <w:p w:rsidR="00F92014" w:rsidRPr="004314CA"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Cent.</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Edison</w:t>
            </w:r>
          </w:p>
        </w:tc>
        <w:tc>
          <w:tcPr>
            <w:tcW w:w="2970" w:type="dxa"/>
          </w:tcPr>
          <w:p w:rsidR="00F92014" w:rsidRPr="004314CA"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North</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LIPA</w:t>
            </w:r>
          </w:p>
        </w:tc>
        <w:tc>
          <w:tcPr>
            <w:tcW w:w="2970" w:type="dxa"/>
          </w:tcPr>
          <w:p w:rsidR="00F92014" w:rsidRPr="004314CA"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E</w:t>
            </w:r>
          </w:p>
        </w:tc>
        <w:tc>
          <w:tcPr>
            <w:tcW w:w="3015" w:type="dxa"/>
          </w:tcPr>
          <w:p w:rsidR="00F92014" w:rsidRPr="004314CA" w:rsidP="00F92014">
            <w:pPr>
              <w:jc w:val="center"/>
              <w:rPr>
                <w:sz w:val="16"/>
                <w:szCs w:val="16"/>
              </w:rPr>
            </w:pPr>
            <w:r w:rsidRPr="004314CA">
              <w:rPr>
                <w:sz w:val="16"/>
                <w:szCs w:val="16"/>
              </w:rPr>
              <w:t>Mohawk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Cent.</w:t>
            </w:r>
          </w:p>
        </w:tc>
        <w:tc>
          <w:tcPr>
            <w:tcW w:w="2970" w:type="dxa"/>
          </w:tcPr>
          <w:p w:rsidR="00F92014" w:rsidRPr="004314CA" w:rsidP="00F92014">
            <w:pPr>
              <w:jc w:val="center"/>
              <w:rPr>
                <w:sz w:val="16"/>
                <w:szCs w:val="16"/>
              </w:rPr>
            </w:pPr>
            <w:r w:rsidRPr="004314CA">
              <w:rPr>
                <w:sz w:val="16"/>
                <w:szCs w:val="16"/>
              </w:rPr>
              <w:t>Central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NYSEG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Mech.</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NYPA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Hudson</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Adirondack</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Brewster</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Moses 17 18</w:t>
            </w:r>
          </w:p>
        </w:tc>
        <w:tc>
          <w:tcPr>
            <w:tcW w:w="3015" w:type="dxa"/>
          </w:tcPr>
          <w:p w:rsidR="00F92014" w:rsidRPr="004314CA" w:rsidP="00F92014">
            <w:pPr>
              <w:jc w:val="center"/>
              <w:rPr>
                <w:sz w:val="16"/>
                <w:szCs w:val="16"/>
              </w:rPr>
            </w:pPr>
            <w:r>
              <w:rPr>
                <w:sz w:val="16"/>
                <w:szCs w:val="16"/>
              </w:rPr>
              <w:t>St. Lawrence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North</w:t>
            </w:r>
          </w:p>
        </w:tc>
        <w:tc>
          <w:tcPr>
            <w:tcW w:w="2970" w:type="dxa"/>
          </w:tcPr>
          <w:p w:rsidR="00F92014" w:rsidRPr="004314CA" w:rsidP="00F92014">
            <w:pPr>
              <w:jc w:val="center"/>
              <w:rPr>
                <w:sz w:val="16"/>
                <w:szCs w:val="16"/>
              </w:rPr>
            </w:pPr>
            <w:r w:rsidRPr="004314CA">
              <w:rPr>
                <w:sz w:val="16"/>
                <w:szCs w:val="16"/>
              </w:rPr>
              <w:t>North</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Pleasant Valley 345</w:t>
            </w:r>
          </w:p>
        </w:tc>
        <w:tc>
          <w:tcPr>
            <w:tcW w:w="3015" w:type="dxa"/>
          </w:tcPr>
          <w:p w:rsidR="00F92014" w:rsidRPr="004314CA" w:rsidP="00F92014">
            <w:pPr>
              <w:jc w:val="center"/>
              <w:rPr>
                <w:sz w:val="16"/>
                <w:szCs w:val="16"/>
              </w:rPr>
            </w:pPr>
            <w:r>
              <w:rPr>
                <w:sz w:val="16"/>
                <w:szCs w:val="16"/>
              </w:rPr>
              <w:t>Pleasant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Cent. Ea.</w:t>
            </w:r>
          </w:p>
        </w:tc>
        <w:tc>
          <w:tcPr>
            <w:tcW w:w="2970" w:type="dxa"/>
          </w:tcPr>
          <w:p w:rsidR="00F92014" w:rsidRPr="004314CA"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lang w:val="fr-FR"/>
              </w:rPr>
            </w:pPr>
          </w:p>
        </w:tc>
        <w:tc>
          <w:tcPr>
            <w:tcW w:w="3195" w:type="dxa"/>
          </w:tcPr>
          <w:p w:rsidR="00F92014" w:rsidRPr="004314CA" w:rsidP="00F92014">
            <w:pPr>
              <w:jc w:val="center"/>
              <w:rPr>
                <w:sz w:val="16"/>
                <w:szCs w:val="16"/>
                <w:lang w:val="fr-FR"/>
              </w:rPr>
            </w:pPr>
          </w:p>
        </w:tc>
        <w:tc>
          <w:tcPr>
            <w:tcW w:w="3015" w:type="dxa"/>
          </w:tcPr>
          <w:p w:rsidR="00F92014" w:rsidRPr="004314CA" w:rsidP="00F92014">
            <w:pPr>
              <w:jc w:val="center"/>
              <w:rPr>
                <w:sz w:val="16"/>
                <w:szCs w:val="16"/>
                <w:lang w:val="fr-FR"/>
              </w:rPr>
            </w:pPr>
          </w:p>
        </w:tc>
      </w:tr>
    </w:tbl>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P="00F92014">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P="00F92014">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P="00F92014">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F92014" w:rsidRPr="00C37476" w:rsidP="00F92014">
            <w:pPr>
              <w:jc w:val="center"/>
              <w:rPr>
                <w:szCs w:val="24"/>
              </w:rPr>
            </w:pPr>
            <w:bookmarkStart w:id="1" w:name="OLE_LINK9"/>
            <w:bookmarkStart w:id="2" w:name="OLE_LINK10"/>
            <w:r w:rsidRPr="00C37476">
              <w:rPr>
                <w:b/>
                <w:szCs w:val="24"/>
              </w:rPr>
              <w:t>Table 1 A - Long Term Transmission Wheeling Agreements</w:t>
            </w:r>
          </w:p>
        </w:tc>
      </w:tr>
      <w:tr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F92014" w:rsidRPr="00C37476" w:rsidP="00F92014">
            <w:pPr>
              <w:jc w:val="center"/>
              <w:rPr>
                <w:b/>
                <w:sz w:val="14"/>
                <w:szCs w:val="14"/>
              </w:rPr>
            </w:pPr>
            <w:bookmarkEnd w:id="1"/>
            <w:bookmarkEnd w:id="2"/>
            <w:r w:rsidRPr="00C37476">
              <w:rPr>
                <w:b/>
                <w:sz w:val="14"/>
                <w:szCs w:val="14"/>
              </w:rPr>
              <w:t>Cont.</w:t>
            </w:r>
          </w:p>
          <w:p w:rsidR="00F92014" w:rsidRPr="00C37476" w:rsidP="00F92014">
            <w:pPr>
              <w:jc w:val="center"/>
              <w:rPr>
                <w:b/>
                <w:sz w:val="14"/>
                <w:szCs w:val="14"/>
              </w:rPr>
            </w:pPr>
            <w:r w:rsidRPr="00C37476">
              <w:rPr>
                <w:b/>
                <w:sz w:val="14"/>
                <w:szCs w:val="14"/>
              </w:rPr>
              <w:t>#</w:t>
            </w:r>
          </w:p>
        </w:tc>
        <w:tc>
          <w:tcPr>
            <w:tcW w:w="810" w:type="dxa"/>
            <w:vMerge w:val="restart"/>
            <w:vAlign w:val="center"/>
          </w:tcPr>
          <w:p w:rsidR="00F92014" w:rsidRPr="00C37476" w:rsidP="00F92014">
            <w:pPr>
              <w:jc w:val="center"/>
              <w:rPr>
                <w:b/>
                <w:sz w:val="14"/>
                <w:szCs w:val="14"/>
              </w:rPr>
            </w:pPr>
            <w:r w:rsidRPr="00C37476">
              <w:rPr>
                <w:b/>
                <w:sz w:val="14"/>
                <w:szCs w:val="14"/>
              </w:rPr>
              <w:t>FERC Rate Sch.</w:t>
            </w:r>
          </w:p>
          <w:p w:rsidR="00F92014" w:rsidRPr="00C37476"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P="00F92014">
            <w:pPr>
              <w:jc w:val="center"/>
              <w:rPr>
                <w:b/>
                <w:sz w:val="14"/>
                <w:szCs w:val="14"/>
              </w:rPr>
            </w:pPr>
            <w:r w:rsidRPr="00C37476">
              <w:rPr>
                <w:b/>
                <w:sz w:val="14"/>
                <w:szCs w:val="14"/>
              </w:rPr>
              <w:t>Transmission</w:t>
            </w:r>
          </w:p>
        </w:tc>
        <w:tc>
          <w:tcPr>
            <w:tcW w:w="3510" w:type="dxa"/>
            <w:gridSpan w:val="4"/>
            <w:vAlign w:val="center"/>
          </w:tcPr>
          <w:p w:rsidR="00F92014" w:rsidRPr="00C37476" w:rsidP="00F92014">
            <w:pPr>
              <w:jc w:val="center"/>
              <w:rPr>
                <w:b/>
                <w:sz w:val="14"/>
                <w:szCs w:val="14"/>
              </w:rPr>
            </w:pPr>
            <w:r w:rsidRPr="00C37476">
              <w:rPr>
                <w:b/>
                <w:sz w:val="14"/>
                <w:szCs w:val="14"/>
              </w:rPr>
              <w:t>Agreement</w:t>
            </w:r>
          </w:p>
        </w:tc>
        <w:tc>
          <w:tcPr>
            <w:tcW w:w="720" w:type="dxa"/>
            <w:vMerge w:val="restart"/>
            <w:vAlign w:val="center"/>
          </w:tcPr>
          <w:p w:rsidR="00F92014" w:rsidRPr="00C37476"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P="00F92014">
            <w:pPr>
              <w:jc w:val="center"/>
              <w:rPr>
                <w:b/>
                <w:sz w:val="14"/>
                <w:szCs w:val="14"/>
              </w:rPr>
            </w:pPr>
            <w:r w:rsidRPr="00C37476">
              <w:rPr>
                <w:b/>
                <w:sz w:val="14"/>
                <w:szCs w:val="14"/>
              </w:rPr>
              <w:t>Date</w:t>
            </w:r>
          </w:p>
        </w:tc>
        <w:tc>
          <w:tcPr>
            <w:tcW w:w="990" w:type="dxa"/>
            <w:vMerge w:val="restart"/>
            <w:vAlign w:val="center"/>
          </w:tcPr>
          <w:p w:rsidR="00F92014" w:rsidRPr="00C37476" w:rsidP="00F92014">
            <w:pPr>
              <w:jc w:val="center"/>
              <w:rPr>
                <w:b/>
                <w:sz w:val="14"/>
                <w:szCs w:val="14"/>
              </w:rPr>
            </w:pPr>
            <w:r w:rsidRPr="00C37476">
              <w:rPr>
                <w:b/>
                <w:sz w:val="14"/>
                <w:szCs w:val="14"/>
              </w:rPr>
              <w:t>Cont.</w:t>
            </w:r>
          </w:p>
          <w:p w:rsidR="00F92014" w:rsidP="00F92014">
            <w:pPr>
              <w:jc w:val="center"/>
              <w:rPr>
                <w:b/>
                <w:sz w:val="14"/>
                <w:szCs w:val="14"/>
              </w:rPr>
            </w:pPr>
            <w:r w:rsidRPr="00C37476">
              <w:rPr>
                <w:b/>
                <w:sz w:val="14"/>
                <w:szCs w:val="14"/>
              </w:rPr>
              <w:t>Exp./</w:t>
            </w:r>
          </w:p>
          <w:p w:rsidR="00F92014" w:rsidRPr="00C37476" w:rsidP="00F92014">
            <w:pPr>
              <w:jc w:val="center"/>
              <w:rPr>
                <w:b/>
                <w:sz w:val="14"/>
                <w:szCs w:val="14"/>
              </w:rPr>
            </w:pPr>
            <w:r w:rsidRPr="00C37476">
              <w:rPr>
                <w:b/>
                <w:sz w:val="14"/>
                <w:szCs w:val="14"/>
              </w:rPr>
              <w:t>Termination</w:t>
            </w:r>
          </w:p>
          <w:p w:rsidR="00F92014" w:rsidRPr="00C37476" w:rsidP="00F92014">
            <w:pPr>
              <w:jc w:val="center"/>
              <w:rPr>
                <w:b/>
                <w:sz w:val="14"/>
                <w:szCs w:val="14"/>
              </w:rPr>
            </w:pPr>
            <w:r w:rsidRPr="00C37476">
              <w:rPr>
                <w:b/>
                <w:sz w:val="14"/>
                <w:szCs w:val="14"/>
              </w:rPr>
              <w:t>Date</w:t>
            </w:r>
          </w:p>
        </w:tc>
        <w:tc>
          <w:tcPr>
            <w:tcW w:w="1260" w:type="dxa"/>
            <w:vMerge w:val="restart"/>
            <w:vAlign w:val="center"/>
          </w:tcPr>
          <w:p w:rsidR="00F92014" w:rsidRPr="00C37476" w:rsidP="00F92014">
            <w:pPr>
              <w:jc w:val="center"/>
              <w:rPr>
                <w:b/>
                <w:sz w:val="14"/>
                <w:szCs w:val="14"/>
              </w:rPr>
            </w:pPr>
            <w:r w:rsidRPr="00C37476">
              <w:rPr>
                <w:b/>
                <w:sz w:val="14"/>
                <w:szCs w:val="14"/>
              </w:rPr>
              <w:t>Treatment</w:t>
            </w:r>
          </w:p>
          <w:p w:rsidR="00F92014" w:rsidRPr="00C37476" w:rsidP="00F92014">
            <w:pPr>
              <w:jc w:val="center"/>
              <w:rPr>
                <w:b/>
                <w:sz w:val="14"/>
                <w:szCs w:val="14"/>
              </w:rPr>
            </w:pPr>
            <w:r w:rsidRPr="00C37476">
              <w:rPr>
                <w:b/>
                <w:sz w:val="14"/>
                <w:szCs w:val="14"/>
              </w:rPr>
              <w:t>(Refer to</w:t>
            </w:r>
          </w:p>
          <w:p w:rsidR="00F92014" w:rsidRPr="00C37476" w:rsidP="00F92014">
            <w:pPr>
              <w:jc w:val="center"/>
              <w:rPr>
                <w:b/>
                <w:sz w:val="14"/>
                <w:szCs w:val="14"/>
              </w:rPr>
            </w:pPr>
            <w:r w:rsidRPr="00C37476">
              <w:rPr>
                <w:b/>
                <w:sz w:val="14"/>
                <w:szCs w:val="14"/>
              </w:rPr>
              <w:t>Attachment K)</w:t>
            </w:r>
          </w:p>
        </w:tc>
        <w:tc>
          <w:tcPr>
            <w:tcW w:w="720" w:type="dxa"/>
            <w:vMerge w:val="restart"/>
            <w:vAlign w:val="center"/>
          </w:tcPr>
          <w:p w:rsidR="00F92014" w:rsidRPr="00C37476" w:rsidP="00F92014">
            <w:pPr>
              <w:jc w:val="center"/>
              <w:rPr>
                <w:b/>
                <w:sz w:val="14"/>
                <w:szCs w:val="14"/>
              </w:rPr>
            </w:pPr>
            <w:r w:rsidRPr="00C37476">
              <w:rPr>
                <w:b/>
                <w:sz w:val="14"/>
                <w:szCs w:val="14"/>
              </w:rPr>
              <w:t>Sum</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720" w:type="dxa"/>
            <w:vMerge w:val="restart"/>
            <w:vAlign w:val="center"/>
          </w:tcPr>
          <w:p w:rsidR="00F92014" w:rsidRPr="00C37476" w:rsidP="00F92014">
            <w:pPr>
              <w:jc w:val="center"/>
              <w:rPr>
                <w:b/>
                <w:sz w:val="14"/>
                <w:szCs w:val="14"/>
              </w:rPr>
            </w:pPr>
            <w:r w:rsidRPr="00C37476">
              <w:rPr>
                <w:b/>
                <w:sz w:val="14"/>
                <w:szCs w:val="14"/>
              </w:rPr>
              <w:t>Win</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3600" w:type="dxa"/>
            <w:gridSpan w:val="10"/>
            <w:vAlign w:val="center"/>
          </w:tcPr>
          <w:p w:rsidR="00F92014" w:rsidRPr="00C37476"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F92014" w:rsidRPr="00C37476" w:rsidP="00F92014">
            <w:pPr>
              <w:jc w:val="center"/>
              <w:rPr>
                <w:sz w:val="14"/>
                <w:szCs w:val="14"/>
              </w:rPr>
            </w:pPr>
          </w:p>
        </w:tc>
        <w:tc>
          <w:tcPr>
            <w:tcW w:w="810" w:type="dxa"/>
            <w:vMerge/>
            <w:vAlign w:val="center"/>
          </w:tcPr>
          <w:p w:rsidR="00F92014" w:rsidRPr="00C37476" w:rsidP="00F92014">
            <w:pPr>
              <w:jc w:val="center"/>
              <w:rPr>
                <w:sz w:val="14"/>
                <w:szCs w:val="14"/>
              </w:rPr>
            </w:pPr>
          </w:p>
        </w:tc>
        <w:tc>
          <w:tcPr>
            <w:tcW w:w="900" w:type="dxa"/>
            <w:vAlign w:val="center"/>
          </w:tcPr>
          <w:p w:rsidR="00F92014" w:rsidRPr="00C37476" w:rsidP="00F92014">
            <w:pPr>
              <w:jc w:val="center"/>
              <w:rPr>
                <w:b/>
                <w:sz w:val="14"/>
                <w:szCs w:val="14"/>
              </w:rPr>
            </w:pPr>
            <w:r w:rsidRPr="00C37476">
              <w:rPr>
                <w:b/>
                <w:sz w:val="14"/>
                <w:szCs w:val="14"/>
              </w:rPr>
              <w:t>Requestor</w:t>
            </w:r>
          </w:p>
          <w:p w:rsidR="00F92014" w:rsidRPr="00C37476" w:rsidP="00F92014">
            <w:pPr>
              <w:jc w:val="center"/>
              <w:rPr>
                <w:sz w:val="14"/>
                <w:szCs w:val="14"/>
              </w:rPr>
            </w:pPr>
            <w:r w:rsidRPr="00C37476">
              <w:rPr>
                <w:b/>
                <w:sz w:val="14"/>
                <w:szCs w:val="14"/>
              </w:rPr>
              <w:t>and Primary Holder</w:t>
            </w:r>
          </w:p>
        </w:tc>
        <w:tc>
          <w:tcPr>
            <w:tcW w:w="810" w:type="dxa"/>
            <w:vAlign w:val="center"/>
          </w:tcPr>
          <w:p w:rsidR="00F92014" w:rsidRPr="00C37476" w:rsidP="00F92014">
            <w:pPr>
              <w:jc w:val="center"/>
              <w:rPr>
                <w:b/>
                <w:sz w:val="14"/>
                <w:szCs w:val="14"/>
              </w:rPr>
            </w:pPr>
            <w:r w:rsidRPr="00C37476">
              <w:rPr>
                <w:b/>
                <w:sz w:val="14"/>
                <w:szCs w:val="14"/>
              </w:rPr>
              <w:t>Provider</w:t>
            </w:r>
          </w:p>
        </w:tc>
        <w:tc>
          <w:tcPr>
            <w:tcW w:w="990" w:type="dxa"/>
            <w:vAlign w:val="center"/>
          </w:tcPr>
          <w:p w:rsidR="00F92014" w:rsidRPr="00C37476" w:rsidP="00F92014">
            <w:pPr>
              <w:jc w:val="center"/>
              <w:rPr>
                <w:b/>
                <w:sz w:val="14"/>
                <w:szCs w:val="14"/>
              </w:rPr>
            </w:pPr>
            <w:r>
              <w:rPr>
                <w:b/>
                <w:sz w:val="14"/>
                <w:szCs w:val="14"/>
              </w:rPr>
              <w:t>Name</w:t>
            </w:r>
          </w:p>
        </w:tc>
        <w:tc>
          <w:tcPr>
            <w:tcW w:w="720" w:type="dxa"/>
            <w:vAlign w:val="center"/>
          </w:tcPr>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P="00F92014">
            <w:pPr>
              <w:jc w:val="center"/>
              <w:rPr>
                <w:bCs/>
                <w:sz w:val="14"/>
                <w:szCs w:val="14"/>
              </w:rPr>
            </w:pPr>
            <w:r w:rsidRPr="00C37476">
              <w:rPr>
                <w:b/>
                <w:sz w:val="14"/>
                <w:szCs w:val="14"/>
              </w:rPr>
              <w:t>POI</w:t>
            </w:r>
          </w:p>
        </w:tc>
        <w:tc>
          <w:tcPr>
            <w:tcW w:w="900" w:type="dxa"/>
            <w:vAlign w:val="center"/>
          </w:tcPr>
          <w:p w:rsidR="00F92014" w:rsidRPr="00C37476" w:rsidP="00F92014">
            <w:pPr>
              <w:ind w:right="-121"/>
              <w:jc w:val="center"/>
              <w:rPr>
                <w:b/>
                <w:sz w:val="14"/>
                <w:szCs w:val="14"/>
              </w:rPr>
            </w:pPr>
            <w:r w:rsidRPr="00C37476">
              <w:rPr>
                <w:b/>
                <w:sz w:val="14"/>
                <w:szCs w:val="14"/>
              </w:rPr>
              <w:t>POW</w:t>
            </w:r>
          </w:p>
        </w:tc>
        <w:tc>
          <w:tcPr>
            <w:tcW w:w="720" w:type="dxa"/>
            <w:vMerge/>
            <w:vAlign w:val="center"/>
          </w:tcPr>
          <w:p w:rsidR="00F92014" w:rsidRPr="00C37476" w:rsidP="00F92014">
            <w:pPr>
              <w:jc w:val="center"/>
              <w:rPr>
                <w:bCs/>
                <w:sz w:val="14"/>
                <w:szCs w:val="14"/>
              </w:rPr>
            </w:pPr>
          </w:p>
        </w:tc>
        <w:tc>
          <w:tcPr>
            <w:tcW w:w="990" w:type="dxa"/>
            <w:vMerge/>
            <w:vAlign w:val="center"/>
          </w:tcPr>
          <w:p w:rsidR="00F92014" w:rsidRPr="00C37476" w:rsidP="00F92014">
            <w:pPr>
              <w:jc w:val="center"/>
              <w:rPr>
                <w:sz w:val="14"/>
                <w:szCs w:val="14"/>
              </w:rPr>
            </w:pPr>
          </w:p>
        </w:tc>
        <w:tc>
          <w:tcPr>
            <w:tcW w:w="126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360" w:type="dxa"/>
            <w:vAlign w:val="center"/>
          </w:tcPr>
          <w:p w:rsidR="00F92014" w:rsidRPr="00C37476" w:rsidP="00F92014">
            <w:pPr>
              <w:jc w:val="center"/>
              <w:rPr>
                <w:b/>
                <w:sz w:val="14"/>
                <w:szCs w:val="14"/>
              </w:rPr>
            </w:pPr>
            <w:r w:rsidRPr="00C37476">
              <w:rPr>
                <w:b/>
                <w:sz w:val="14"/>
                <w:szCs w:val="14"/>
              </w:rPr>
              <w:t>DE</w:t>
            </w:r>
          </w:p>
        </w:tc>
        <w:tc>
          <w:tcPr>
            <w:tcW w:w="360" w:type="dxa"/>
            <w:vAlign w:val="center"/>
          </w:tcPr>
          <w:p w:rsidR="00F92014" w:rsidRPr="00C37476" w:rsidP="00F92014">
            <w:pPr>
              <w:jc w:val="center"/>
              <w:rPr>
                <w:b/>
                <w:sz w:val="14"/>
                <w:szCs w:val="14"/>
              </w:rPr>
            </w:pPr>
            <w:r w:rsidRPr="00C37476">
              <w:rPr>
                <w:b/>
                <w:sz w:val="14"/>
                <w:szCs w:val="14"/>
              </w:rPr>
              <w:t>WC</w:t>
            </w:r>
          </w:p>
        </w:tc>
        <w:tc>
          <w:tcPr>
            <w:tcW w:w="360" w:type="dxa"/>
            <w:vAlign w:val="center"/>
          </w:tcPr>
          <w:p w:rsidR="00F92014" w:rsidRPr="00C37476" w:rsidP="00F92014">
            <w:pPr>
              <w:jc w:val="center"/>
              <w:rPr>
                <w:b/>
                <w:sz w:val="14"/>
                <w:szCs w:val="14"/>
              </w:rPr>
            </w:pPr>
            <w:r w:rsidRPr="00C37476">
              <w:rPr>
                <w:b/>
                <w:sz w:val="14"/>
                <w:szCs w:val="14"/>
              </w:rPr>
              <w:t>VE</w:t>
            </w:r>
          </w:p>
        </w:tc>
        <w:tc>
          <w:tcPr>
            <w:tcW w:w="360" w:type="dxa"/>
            <w:vAlign w:val="center"/>
          </w:tcPr>
          <w:p w:rsidR="00F92014" w:rsidRPr="00C37476" w:rsidP="00F92014">
            <w:pPr>
              <w:jc w:val="center"/>
              <w:rPr>
                <w:b/>
                <w:sz w:val="14"/>
                <w:szCs w:val="14"/>
              </w:rPr>
            </w:pPr>
            <w:r w:rsidRPr="00C37476">
              <w:rPr>
                <w:b/>
                <w:sz w:val="14"/>
                <w:szCs w:val="14"/>
              </w:rPr>
              <w:t>MoS</w:t>
            </w:r>
          </w:p>
        </w:tc>
        <w:tc>
          <w:tcPr>
            <w:tcW w:w="360" w:type="dxa"/>
            <w:vAlign w:val="center"/>
          </w:tcPr>
          <w:p w:rsidR="00F92014" w:rsidRPr="00C37476" w:rsidP="00F92014">
            <w:pPr>
              <w:jc w:val="center"/>
              <w:rPr>
                <w:b/>
                <w:sz w:val="14"/>
                <w:szCs w:val="14"/>
              </w:rPr>
            </w:pPr>
            <w:r w:rsidRPr="00C37476">
              <w:rPr>
                <w:b/>
                <w:sz w:val="14"/>
                <w:szCs w:val="14"/>
              </w:rPr>
              <w:t>TE</w:t>
            </w:r>
          </w:p>
        </w:tc>
        <w:tc>
          <w:tcPr>
            <w:tcW w:w="360" w:type="dxa"/>
            <w:vAlign w:val="center"/>
          </w:tcPr>
          <w:p w:rsidR="00F92014" w:rsidRPr="00C37476" w:rsidP="00F92014">
            <w:pPr>
              <w:jc w:val="center"/>
              <w:rPr>
                <w:b/>
                <w:sz w:val="14"/>
                <w:szCs w:val="14"/>
              </w:rPr>
            </w:pPr>
            <w:r w:rsidRPr="00C37476">
              <w:rPr>
                <w:b/>
                <w:sz w:val="14"/>
                <w:szCs w:val="14"/>
              </w:rPr>
              <w:t>US</w:t>
            </w:r>
          </w:p>
        </w:tc>
        <w:tc>
          <w:tcPr>
            <w:tcW w:w="360" w:type="dxa"/>
            <w:vAlign w:val="center"/>
          </w:tcPr>
          <w:p w:rsidR="00F92014" w:rsidRPr="00C37476" w:rsidP="00F92014">
            <w:pPr>
              <w:jc w:val="center"/>
              <w:rPr>
                <w:b/>
                <w:sz w:val="14"/>
                <w:szCs w:val="14"/>
              </w:rPr>
            </w:pPr>
            <w:r w:rsidRPr="00C37476">
              <w:rPr>
                <w:b/>
                <w:sz w:val="14"/>
                <w:szCs w:val="14"/>
              </w:rPr>
              <w:t>UC</w:t>
            </w:r>
          </w:p>
        </w:tc>
        <w:tc>
          <w:tcPr>
            <w:tcW w:w="360" w:type="dxa"/>
            <w:vAlign w:val="center"/>
          </w:tcPr>
          <w:p w:rsidR="00F92014" w:rsidRPr="00C37476" w:rsidP="00F92014">
            <w:pPr>
              <w:jc w:val="center"/>
              <w:rPr>
                <w:b/>
                <w:sz w:val="14"/>
                <w:szCs w:val="14"/>
              </w:rPr>
            </w:pPr>
            <w:r w:rsidRPr="00C37476">
              <w:rPr>
                <w:b/>
                <w:sz w:val="14"/>
                <w:szCs w:val="14"/>
              </w:rPr>
              <w:t>MS</w:t>
            </w:r>
          </w:p>
        </w:tc>
        <w:tc>
          <w:tcPr>
            <w:tcW w:w="360" w:type="dxa"/>
            <w:vAlign w:val="center"/>
          </w:tcPr>
          <w:p w:rsidR="00F92014" w:rsidRPr="00C37476" w:rsidP="00F92014">
            <w:pPr>
              <w:jc w:val="center"/>
              <w:rPr>
                <w:b/>
                <w:sz w:val="14"/>
                <w:szCs w:val="14"/>
              </w:rPr>
            </w:pPr>
            <w:r w:rsidRPr="00C37476">
              <w:rPr>
                <w:b/>
                <w:sz w:val="14"/>
                <w:szCs w:val="14"/>
              </w:rPr>
              <w:t>DS</w:t>
            </w:r>
          </w:p>
        </w:tc>
        <w:tc>
          <w:tcPr>
            <w:tcW w:w="360" w:type="dxa"/>
            <w:vAlign w:val="center"/>
          </w:tcPr>
          <w:p w:rsidR="00F92014" w:rsidRPr="00C37476" w:rsidP="00F92014">
            <w:pPr>
              <w:jc w:val="center"/>
              <w:rPr>
                <w:b/>
                <w:sz w:val="14"/>
                <w:szCs w:val="14"/>
              </w:rPr>
            </w:pPr>
            <w:r w:rsidRPr="00C37476">
              <w:rPr>
                <w:b/>
                <w:sz w:val="14"/>
                <w:szCs w:val="14"/>
              </w:rPr>
              <w:t>CE</w:t>
            </w:r>
            <w:r w:rsidRPr="00C37476">
              <w:rPr>
                <w:b/>
                <w:sz w:val="14"/>
                <w:szCs w:val="14"/>
              </w:rPr>
              <w:noBreakHyphen/>
              <w:t xml:space="preserve"> LI</w:t>
            </w: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tabs>
                <w:tab w:val="center" w:pos="194"/>
              </w:tabs>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125</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4/1/89</w:t>
            </w:r>
          </w:p>
        </w:tc>
        <w:tc>
          <w:tcPr>
            <w:tcW w:w="990" w:type="dxa"/>
            <w:vAlign w:val="center"/>
          </w:tcPr>
          <w:p w:rsidR="00F92014" w:rsidRPr="00C37476" w:rsidP="00F92014">
            <w:pPr>
              <w:jc w:val="center"/>
              <w:rPr>
                <w:sz w:val="14"/>
                <w:szCs w:val="14"/>
              </w:rPr>
            </w:pPr>
            <w:r w:rsidRPr="00C37476">
              <w:rPr>
                <w:sz w:val="14"/>
                <w:szCs w:val="14"/>
              </w:rPr>
              <w:t>6/30/2004</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Y50 Cable(1)</w:t>
            </w:r>
          </w:p>
        </w:tc>
        <w:tc>
          <w:tcPr>
            <w:tcW w:w="720" w:type="dxa"/>
            <w:vAlign w:val="center"/>
          </w:tcPr>
          <w:p w:rsidR="00F92014" w:rsidRPr="00C37476" w:rsidP="00F92014">
            <w:pPr>
              <w:jc w:val="center"/>
              <w:rPr>
                <w:sz w:val="14"/>
                <w:szCs w:val="14"/>
              </w:rPr>
            </w:pPr>
            <w:r w:rsidRPr="00C37476">
              <w:rPr>
                <w:sz w:val="14"/>
                <w:szCs w:val="14"/>
              </w:rPr>
              <w:t>291</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Life of the facility</w:t>
            </w:r>
          </w:p>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291</w:t>
            </w:r>
          </w:p>
        </w:tc>
        <w:tc>
          <w:tcPr>
            <w:tcW w:w="72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160/</w:t>
            </w:r>
          </w:p>
          <w:p w:rsidR="00F92014" w:rsidRPr="00C37476" w:rsidP="00F92014">
            <w:pPr>
              <w:jc w:val="center"/>
              <w:rPr>
                <w:sz w:val="14"/>
                <w:szCs w:val="14"/>
              </w:rPr>
            </w:pPr>
            <w:r w:rsidRPr="00C37476">
              <w:rPr>
                <w:sz w:val="14"/>
                <w:szCs w:val="14"/>
              </w:rPr>
              <w:t>124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Upon 1 year notice from LIPA to NMPC</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160</w:t>
            </w:r>
          </w:p>
        </w:tc>
        <w:tc>
          <w:tcPr>
            <w:tcW w:w="720" w:type="dxa"/>
            <w:vAlign w:val="center"/>
          </w:tcPr>
          <w:p w:rsidR="00F92014" w:rsidRPr="00C37476" w:rsidP="00F92014">
            <w:pPr>
              <w:jc w:val="center"/>
              <w:rPr>
                <w:sz w:val="14"/>
                <w:szCs w:val="14"/>
              </w:rPr>
            </w:pPr>
            <w:r w:rsidRPr="00C37476">
              <w:rPr>
                <w:sz w:val="14"/>
                <w:szCs w:val="14"/>
              </w:rPr>
              <w:t>124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103/</w:t>
            </w:r>
            <w:r>
              <w:rPr>
                <w:sz w:val="14"/>
                <w:szCs w:val="14"/>
              </w:rPr>
              <w:t xml:space="preserve"> </w:t>
            </w:r>
          </w:p>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7/15/75</w:t>
            </w:r>
          </w:p>
        </w:tc>
        <w:tc>
          <w:tcPr>
            <w:tcW w:w="990" w:type="dxa"/>
            <w:vAlign w:val="center"/>
          </w:tcPr>
          <w:p w:rsidR="00F92014" w:rsidRPr="00C37476"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Y49 Cable</w:t>
            </w:r>
          </w:p>
        </w:tc>
        <w:tc>
          <w:tcPr>
            <w:tcW w:w="720" w:type="dxa"/>
            <w:vAlign w:val="center"/>
          </w:tcPr>
          <w:p w:rsidR="00F92014" w:rsidP="00F92014">
            <w:pPr>
              <w:jc w:val="center"/>
              <w:rPr>
                <w:sz w:val="14"/>
                <w:szCs w:val="14"/>
              </w:rPr>
            </w:pPr>
            <w:r w:rsidRPr="00C37476">
              <w:rPr>
                <w:sz w:val="14"/>
                <w:szCs w:val="14"/>
              </w:rPr>
              <w:t>307/</w:t>
            </w:r>
            <w:r>
              <w:rPr>
                <w:sz w:val="14"/>
                <w:szCs w:val="14"/>
              </w:rPr>
              <w:t xml:space="preserve"> </w:t>
            </w:r>
          </w:p>
          <w:p w:rsidR="00F92014" w:rsidRPr="00C37476" w:rsidP="00F92014">
            <w:pPr>
              <w:jc w:val="center"/>
              <w:rPr>
                <w:sz w:val="14"/>
                <w:szCs w:val="14"/>
              </w:rPr>
            </w:pPr>
            <w:r w:rsidRPr="00C37476">
              <w:rPr>
                <w:sz w:val="14"/>
                <w:szCs w:val="14"/>
              </w:rPr>
              <w:t>300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8/26/87</w:t>
            </w:r>
          </w:p>
        </w:tc>
        <w:tc>
          <w:tcPr>
            <w:tcW w:w="990" w:type="dxa"/>
            <w:vAlign w:val="center"/>
          </w:tcPr>
          <w:p w:rsidR="00F92014" w:rsidRPr="00C37476"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307</w:t>
            </w:r>
          </w:p>
        </w:tc>
        <w:tc>
          <w:tcPr>
            <w:tcW w:w="720" w:type="dxa"/>
            <w:vAlign w:val="center"/>
          </w:tcPr>
          <w:p w:rsidR="00F92014" w:rsidRPr="00C37476" w:rsidP="00F92014">
            <w:pPr>
              <w:jc w:val="center"/>
              <w:rPr>
                <w:sz w:val="14"/>
                <w:szCs w:val="14"/>
              </w:rPr>
            </w:pPr>
            <w:r w:rsidRPr="00C37476">
              <w:rPr>
                <w:sz w:val="14"/>
                <w:szCs w:val="14"/>
              </w:rPr>
              <w:t>300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307</w:t>
            </w:r>
          </w:p>
        </w:tc>
        <w:tc>
          <w:tcPr>
            <w:tcW w:w="360" w:type="dxa"/>
            <w:vAlign w:val="center"/>
          </w:tcPr>
          <w:p w:rsidR="00F92014" w:rsidRPr="00C37476" w:rsidP="00F92014">
            <w:pPr>
              <w:jc w:val="center"/>
              <w:rPr>
                <w:sz w:val="14"/>
                <w:szCs w:val="14"/>
              </w:rPr>
            </w:pPr>
            <w:r w:rsidRPr="00C37476">
              <w:rPr>
                <w:sz w:val="14"/>
                <w:szCs w:val="14"/>
              </w:rPr>
              <w:t>307</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F92014" w:rsidRPr="00C37476" w:rsidP="00F92014">
            <w:pPr>
              <w:jc w:val="center"/>
              <w:rPr>
                <w:sz w:val="14"/>
                <w:szCs w:val="14"/>
              </w:rPr>
            </w:pPr>
            <w:r w:rsidRPr="00C37476">
              <w:rPr>
                <w:sz w:val="14"/>
                <w:szCs w:val="14"/>
              </w:rPr>
              <w:t>14.2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 Con Edison</w:t>
            </w:r>
          </w:p>
        </w:tc>
        <w:tc>
          <w:tcPr>
            <w:tcW w:w="990" w:type="dxa"/>
            <w:vAlign w:val="center"/>
          </w:tcPr>
          <w:p w:rsidR="00F92014" w:rsidRPr="00C37476" w:rsidP="00F92014">
            <w:pPr>
              <w:jc w:val="center"/>
              <w:rPr>
                <w:sz w:val="14"/>
                <w:szCs w:val="14"/>
              </w:rPr>
            </w:pPr>
            <w:r w:rsidRPr="00C37476">
              <w:rPr>
                <w:sz w:val="14"/>
                <w:szCs w:val="14"/>
              </w:rPr>
              <w:t>Remainder of Interface Agreements (2)</w:t>
            </w:r>
          </w:p>
        </w:tc>
        <w:tc>
          <w:tcPr>
            <w:tcW w:w="720" w:type="dxa"/>
            <w:vAlign w:val="center"/>
          </w:tcPr>
          <w:p w:rsidR="00F92014" w:rsidRPr="00C37476" w:rsidP="00F92014">
            <w:pPr>
              <w:jc w:val="center"/>
              <w:rPr>
                <w:sz w:val="14"/>
                <w:szCs w:val="14"/>
              </w:rPr>
            </w:pPr>
            <w:r w:rsidRPr="00C37476">
              <w:rPr>
                <w:sz w:val="14"/>
                <w:szCs w:val="14"/>
              </w:rPr>
              <w:t>166</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894E1C">
            <w:pPr>
              <w:jc w:val="center"/>
              <w:rPr>
                <w:sz w:val="14"/>
                <w:szCs w:val="14"/>
              </w:rPr>
            </w:pPr>
            <w:r>
              <w:rPr>
                <w:sz w:val="14"/>
                <w:szCs w:val="14"/>
              </w:rPr>
              <w:t>202</w:t>
            </w:r>
          </w:p>
        </w:tc>
        <w:tc>
          <w:tcPr>
            <w:tcW w:w="720" w:type="dxa"/>
            <w:vAlign w:val="center"/>
          </w:tcPr>
          <w:p w:rsidR="003B64A4">
            <w:pPr>
              <w:jc w:val="center"/>
              <w:rPr>
                <w:sz w:val="14"/>
                <w:szCs w:val="14"/>
              </w:rPr>
            </w:pPr>
            <w:r>
              <w:rPr>
                <w:sz w:val="14"/>
                <w:szCs w:val="14"/>
              </w:rPr>
              <w:t>202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3B64A4">
            <w:pPr>
              <w:jc w:val="center"/>
              <w:rPr>
                <w:sz w:val="14"/>
                <w:szCs w:val="14"/>
              </w:rPr>
            </w:pPr>
            <w:r>
              <w:rPr>
                <w:sz w:val="14"/>
                <w:szCs w:val="14"/>
              </w:rPr>
              <w:t>202</w:t>
            </w:r>
          </w:p>
        </w:tc>
        <w:tc>
          <w:tcPr>
            <w:tcW w:w="360" w:type="dxa"/>
            <w:vAlign w:val="center"/>
          </w:tcPr>
          <w:p w:rsidR="003B64A4">
            <w:pPr>
              <w:jc w:val="center"/>
              <w:rPr>
                <w:sz w:val="14"/>
                <w:szCs w:val="14"/>
              </w:rPr>
            </w:pPr>
            <w:r>
              <w:rPr>
                <w:sz w:val="14"/>
                <w:szCs w:val="14"/>
              </w:rPr>
              <w:t>202</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17.1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 Delivery</w:t>
            </w:r>
          </w:p>
        </w:tc>
        <w:tc>
          <w:tcPr>
            <w:tcW w:w="72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3/31/89</w:t>
            </w:r>
          </w:p>
        </w:tc>
        <w:tc>
          <w:tcPr>
            <w:tcW w:w="990" w:type="dxa"/>
            <w:vAlign w:val="center"/>
          </w:tcPr>
          <w:p w:rsidR="00F92014" w:rsidRPr="00C37476" w:rsidP="00F92014">
            <w:pPr>
              <w:jc w:val="center"/>
              <w:rPr>
                <w:sz w:val="14"/>
                <w:szCs w:val="14"/>
              </w:rPr>
            </w:pPr>
            <w:r w:rsidRPr="00C37476">
              <w:rPr>
                <w:sz w:val="14"/>
                <w:szCs w:val="14"/>
              </w:rPr>
              <w:t>4/30/2015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P="00F92014">
            <w:pPr>
              <w:jc w:val="center"/>
              <w:rPr>
                <w:sz w:val="14"/>
                <w:szCs w:val="14"/>
              </w:rPr>
            </w:pPr>
            <w:r w:rsidRPr="00C37476">
              <w:rPr>
                <w:sz w:val="14"/>
                <w:szCs w:val="14"/>
              </w:rPr>
              <w:t>50</w:t>
            </w:r>
          </w:p>
        </w:tc>
        <w:tc>
          <w:tcPr>
            <w:tcW w:w="72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19</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AES Creative Resources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Settlement Agreement</w:t>
            </w:r>
          </w:p>
        </w:tc>
        <w:tc>
          <w:tcPr>
            <w:tcW w:w="720" w:type="dxa"/>
            <w:vAlign w:val="center"/>
          </w:tcPr>
          <w:p w:rsidR="00F92014" w:rsidRPr="00C37476" w:rsidP="00F92014">
            <w:pPr>
              <w:jc w:val="center"/>
              <w:rPr>
                <w:sz w:val="14"/>
                <w:szCs w:val="14"/>
              </w:rPr>
            </w:pPr>
            <w:r w:rsidRPr="00C37476">
              <w:rPr>
                <w:sz w:val="14"/>
                <w:szCs w:val="14"/>
              </w:rPr>
              <w:t>298(17)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298</w:t>
            </w:r>
          </w:p>
        </w:tc>
        <w:tc>
          <w:tcPr>
            <w:tcW w:w="72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20.1</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F92014" w:rsidRPr="00C37476" w:rsidP="00F92014">
            <w:pPr>
              <w:jc w:val="center"/>
              <w:rPr>
                <w:sz w:val="14"/>
                <w:szCs w:val="14"/>
              </w:rPr>
            </w:pPr>
            <w:r w:rsidRPr="00C37476">
              <w:rPr>
                <w:sz w:val="14"/>
                <w:szCs w:val="14"/>
              </w:rPr>
              <w:t>20.2</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20.4</w:t>
            </w:r>
          </w:p>
        </w:tc>
        <w:tc>
          <w:tcPr>
            <w:tcW w:w="810" w:type="dxa"/>
            <w:vAlign w:val="center"/>
          </w:tcPr>
          <w:p w:rsidR="00F92014" w:rsidRPr="00C37476" w:rsidP="00F92014">
            <w:pPr>
              <w:jc w:val="center"/>
              <w:rPr>
                <w:sz w:val="14"/>
                <w:szCs w:val="14"/>
              </w:rPr>
            </w:pPr>
            <w:r w:rsidRPr="00C37476">
              <w:rPr>
                <w:sz w:val="14"/>
                <w:szCs w:val="14"/>
              </w:rPr>
              <w:t>112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Wood Street</w:t>
            </w:r>
          </w:p>
        </w:tc>
        <w:tc>
          <w:tcPr>
            <w:tcW w:w="720" w:type="dxa"/>
            <w:vAlign w:val="center"/>
          </w:tcPr>
          <w:p w:rsidR="00F92014" w:rsidRPr="00C37476" w:rsidP="00F92014">
            <w:pPr>
              <w:jc w:val="center"/>
              <w:rPr>
                <w:sz w:val="14"/>
                <w:szCs w:val="14"/>
              </w:rPr>
            </w:pPr>
            <w:r w:rsidRPr="00C37476">
              <w:rPr>
                <w:sz w:val="14"/>
                <w:szCs w:val="14"/>
              </w:rPr>
              <w:t>205</w:t>
            </w:r>
          </w:p>
        </w:tc>
        <w:tc>
          <w:tcPr>
            <w:tcW w:w="900" w:type="dxa"/>
            <w:vAlign w:val="center"/>
          </w:tcPr>
          <w:p w:rsidR="00F92014" w:rsidRPr="00C37476" w:rsidP="00F92014">
            <w:pPr>
              <w:jc w:val="center"/>
              <w:rPr>
                <w:sz w:val="14"/>
                <w:szCs w:val="14"/>
              </w:rPr>
            </w:pPr>
            <w:r w:rsidRPr="00C37476">
              <w:rPr>
                <w:sz w:val="14"/>
                <w:szCs w:val="14"/>
              </w:rPr>
              <w:t>NYSEG - Hudson</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3/1/88</w:t>
            </w:r>
          </w:p>
        </w:tc>
        <w:tc>
          <w:tcPr>
            <w:tcW w:w="990" w:type="dxa"/>
            <w:vAlign w:val="center"/>
          </w:tcPr>
          <w:p w:rsidR="00F92014" w:rsidRPr="00C37476" w:rsidP="00F92014">
            <w:pPr>
              <w:jc w:val="center"/>
              <w:rPr>
                <w:sz w:val="14"/>
                <w:szCs w:val="14"/>
              </w:rPr>
            </w:pPr>
            <w:r w:rsidRPr="00C37476">
              <w:rPr>
                <w:sz w:val="14"/>
                <w:szCs w:val="14"/>
              </w:rPr>
              <w:t>4/1/2005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205</w:t>
            </w:r>
          </w:p>
        </w:tc>
        <w:tc>
          <w:tcPr>
            <w:tcW w:w="72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20.5</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187</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187</w:t>
            </w:r>
          </w:p>
        </w:tc>
        <w:tc>
          <w:tcPr>
            <w:tcW w:w="72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20.6</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NYSEG - Mech.</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20.7</w:t>
            </w:r>
          </w:p>
        </w:tc>
        <w:tc>
          <w:tcPr>
            <w:tcW w:w="810" w:type="dxa"/>
            <w:vAlign w:val="center"/>
          </w:tcPr>
          <w:p w:rsidR="00F92014" w:rsidRPr="00C37476" w:rsidP="00F92014">
            <w:pPr>
              <w:jc w:val="center"/>
              <w:rPr>
                <w:sz w:val="14"/>
                <w:szCs w:val="14"/>
              </w:rPr>
            </w:pPr>
            <w:r w:rsidRPr="00C37476">
              <w:rPr>
                <w:sz w:val="14"/>
                <w:szCs w:val="14"/>
              </w:rPr>
              <w:t>22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Fishkill/Sylvan Lake</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7/19/62</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20.8</w:t>
            </w:r>
          </w:p>
        </w:tc>
        <w:tc>
          <w:tcPr>
            <w:tcW w:w="810" w:type="dxa"/>
            <w:vAlign w:val="center"/>
          </w:tcPr>
          <w:p w:rsidR="00F92014" w:rsidRPr="00C37476" w:rsidP="00F92014">
            <w:pPr>
              <w:jc w:val="center"/>
              <w:rPr>
                <w:sz w:val="14"/>
                <w:szCs w:val="14"/>
              </w:rPr>
            </w:pPr>
            <w:r w:rsidRPr="00C37476">
              <w:rPr>
                <w:sz w:val="14"/>
                <w:szCs w:val="14"/>
              </w:rPr>
              <w:t>49</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Walden</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Hudson</w:t>
            </w:r>
          </w:p>
        </w:tc>
        <w:tc>
          <w:tcPr>
            <w:tcW w:w="720" w:type="dxa"/>
            <w:vAlign w:val="center"/>
          </w:tcPr>
          <w:p w:rsidR="00F92014" w:rsidRPr="00C37476" w:rsidP="00F92014">
            <w:pPr>
              <w:jc w:val="center"/>
              <w:rPr>
                <w:sz w:val="14"/>
                <w:szCs w:val="14"/>
              </w:rPr>
            </w:pPr>
            <w:r w:rsidRPr="00C37476">
              <w:rPr>
                <w:sz w:val="14"/>
                <w:szCs w:val="14"/>
              </w:rPr>
              <w:t>8/1/73</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15</w:t>
            </w:r>
          </w:p>
        </w:tc>
        <w:tc>
          <w:tcPr>
            <w:tcW w:w="72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Plattsburgh Export</w:t>
            </w:r>
          </w:p>
        </w:tc>
        <w:tc>
          <w:tcPr>
            <w:tcW w:w="720" w:type="dxa"/>
            <w:vAlign w:val="center"/>
          </w:tcPr>
          <w:p w:rsidR="00F92014" w:rsidP="00F92014">
            <w:pPr>
              <w:jc w:val="center"/>
              <w:rPr>
                <w:sz w:val="14"/>
                <w:szCs w:val="14"/>
              </w:rPr>
            </w:pPr>
            <w:r w:rsidRPr="00C37476">
              <w:rPr>
                <w:sz w:val="14"/>
                <w:szCs w:val="14"/>
              </w:rPr>
              <w:t>235/</w:t>
            </w:r>
          </w:p>
          <w:p w:rsidR="00F92014" w:rsidRPr="00C37476" w:rsidP="00F92014">
            <w:pPr>
              <w:jc w:val="center"/>
              <w:rPr>
                <w:sz w:val="14"/>
                <w:szCs w:val="14"/>
              </w:rPr>
            </w:pPr>
            <w:r w:rsidRPr="00C37476">
              <w:rPr>
                <w:sz w:val="14"/>
                <w:szCs w:val="14"/>
              </w:rPr>
              <w:t>225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6/21/2009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P="00F92014">
            <w:pPr>
              <w:jc w:val="center"/>
              <w:rPr>
                <w:sz w:val="14"/>
                <w:szCs w:val="14"/>
              </w:rPr>
            </w:pPr>
            <w:r w:rsidRPr="00C37476">
              <w:rPr>
                <w:sz w:val="14"/>
                <w:szCs w:val="14"/>
              </w:rPr>
              <w:t>235</w:t>
            </w:r>
          </w:p>
        </w:tc>
        <w:tc>
          <w:tcPr>
            <w:tcW w:w="720" w:type="dxa"/>
            <w:vAlign w:val="center"/>
          </w:tcPr>
          <w:p w:rsidR="00F92014" w:rsidRPr="00C37476" w:rsidP="00F92014">
            <w:pPr>
              <w:jc w:val="center"/>
              <w:rPr>
                <w:sz w:val="14"/>
                <w:szCs w:val="14"/>
              </w:rPr>
            </w:pPr>
            <w:r w:rsidRPr="00C37476">
              <w:rPr>
                <w:sz w:val="14"/>
                <w:szCs w:val="14"/>
              </w:rPr>
              <w:t>225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235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F92014" w:rsidRPr="00C37476"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49.1</w:t>
            </w:r>
          </w:p>
        </w:tc>
        <w:tc>
          <w:tcPr>
            <w:tcW w:w="810" w:type="dxa"/>
            <w:vAlign w:val="center"/>
          </w:tcPr>
          <w:p w:rsidR="00F92014" w:rsidRPr="00C37476"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Exit Agreement (3)</w:t>
            </w:r>
          </w:p>
        </w:tc>
        <w:tc>
          <w:tcPr>
            <w:tcW w:w="720" w:type="dxa"/>
            <w:vAlign w:val="center"/>
          </w:tcPr>
          <w:p w:rsidR="00F92014" w:rsidRPr="00C37476" w:rsidP="00F92014">
            <w:pPr>
              <w:jc w:val="center"/>
              <w:rPr>
                <w:sz w:val="14"/>
                <w:szCs w:val="14"/>
              </w:rPr>
            </w:pPr>
            <w:r w:rsidRPr="00C37476">
              <w:rPr>
                <w:sz w:val="14"/>
                <w:szCs w:val="14"/>
              </w:rPr>
              <w:t>77 to 40</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4/12/73</w:t>
            </w:r>
          </w:p>
        </w:tc>
        <w:tc>
          <w:tcPr>
            <w:tcW w:w="990" w:type="dxa"/>
            <w:vAlign w:val="center"/>
          </w:tcPr>
          <w:p w:rsidR="00F92014" w:rsidRPr="00C37476" w:rsidP="00F92014">
            <w:pPr>
              <w:jc w:val="center"/>
              <w:rPr>
                <w:sz w:val="14"/>
                <w:szCs w:val="14"/>
              </w:rPr>
            </w:pPr>
            <w:r w:rsidRPr="00C37476">
              <w:rPr>
                <w:sz w:val="14"/>
                <w:szCs w:val="14"/>
              </w:rPr>
              <w:t>6/30/2043</w:t>
            </w:r>
          </w:p>
        </w:tc>
        <w:tc>
          <w:tcPr>
            <w:tcW w:w="1260" w:type="dxa"/>
            <w:vAlign w:val="center"/>
          </w:tcPr>
          <w:p w:rsidR="00F92014" w:rsidRPr="00C37476" w:rsidP="00F92014">
            <w:pPr>
              <w:jc w:val="center"/>
              <w:rPr>
                <w:sz w:val="14"/>
                <w:szCs w:val="14"/>
              </w:rPr>
            </w:pPr>
            <w:r w:rsidRPr="00C37476">
              <w:rPr>
                <w:sz w:val="14"/>
                <w:szCs w:val="14"/>
              </w:rPr>
              <w:t>MWA</w:t>
            </w: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highlight w:val="lightGray"/>
              </w:rPr>
            </w:pPr>
            <w:r w:rsidRPr="00C37476">
              <w:rPr>
                <w:sz w:val="14"/>
                <w:szCs w:val="14"/>
              </w:rPr>
              <w:t>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P="00F92014">
            <w:pPr>
              <w:jc w:val="center"/>
              <w:rPr>
                <w:sz w:val="14"/>
                <w:szCs w:val="14"/>
              </w:rPr>
            </w:pPr>
            <w:r w:rsidRPr="00C37476">
              <w:rPr>
                <w:sz w:val="14"/>
                <w:szCs w:val="14"/>
              </w:rPr>
              <w:t>43 to 11</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 xml:space="preserve"> Gilboa</w:t>
            </w:r>
          </w:p>
        </w:tc>
        <w:tc>
          <w:tcPr>
            <w:tcW w:w="720" w:type="dxa"/>
            <w:vAlign w:val="center"/>
          </w:tcPr>
          <w:p w:rsidR="00F92014" w:rsidRPr="00C37476" w:rsidP="00F92014">
            <w:pPr>
              <w:jc w:val="center"/>
              <w:rPr>
                <w:sz w:val="14"/>
                <w:szCs w:val="14"/>
              </w:rPr>
            </w:pPr>
            <w:r w:rsidRPr="00C37476">
              <w:rPr>
                <w:sz w:val="14"/>
                <w:szCs w:val="14"/>
              </w:rPr>
              <w:t>10/22/99</w:t>
            </w:r>
          </w:p>
        </w:tc>
        <w:tc>
          <w:tcPr>
            <w:tcW w:w="990" w:type="dxa"/>
            <w:vAlign w:val="center"/>
          </w:tcPr>
          <w:p w:rsidR="00F92014" w:rsidRPr="00C37476" w:rsidP="00F92014">
            <w:pPr>
              <w:jc w:val="center"/>
              <w:rPr>
                <w:sz w:val="14"/>
                <w:szCs w:val="14"/>
              </w:rPr>
            </w:pPr>
            <w:r w:rsidRPr="00C37476">
              <w:rPr>
                <w:sz w:val="14"/>
                <w:szCs w:val="14"/>
              </w:rPr>
              <w:t>6/30/2035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43-11</w:t>
            </w:r>
          </w:p>
        </w:tc>
        <w:tc>
          <w:tcPr>
            <w:tcW w:w="72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55.1</w:t>
            </w:r>
          </w:p>
        </w:tc>
        <w:tc>
          <w:tcPr>
            <w:tcW w:w="810" w:type="dxa"/>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Ashokan</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Ashokan</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 xml:space="preserve"> 10/30/81</w:t>
            </w:r>
          </w:p>
        </w:tc>
        <w:tc>
          <w:tcPr>
            <w:tcW w:w="990" w:type="dxa"/>
            <w:vAlign w:val="center"/>
          </w:tcPr>
          <w:p w:rsidR="00F92014" w:rsidRPr="00C37476"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Kensico</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Jarvis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Jarvis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Vischers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57.3</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Crescent</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1/10/2013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58</w:t>
            </w:r>
          </w:p>
        </w:tc>
        <w:tc>
          <w:tcPr>
            <w:tcW w:w="810" w:type="dxa"/>
            <w:vAlign w:val="center"/>
          </w:tcPr>
          <w:p w:rsidR="00F92014" w:rsidRPr="00C37476" w:rsidP="00F92014">
            <w:pPr>
              <w:jc w:val="center"/>
              <w:rPr>
                <w:sz w:val="14"/>
                <w:szCs w:val="14"/>
              </w:rPr>
            </w:pPr>
            <w:r w:rsidRPr="00C37476">
              <w:rPr>
                <w:sz w:val="14"/>
                <w:szCs w:val="14"/>
              </w:rPr>
              <w:t>96</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P="00F92014">
            <w:pPr>
              <w:jc w:val="center"/>
              <w:rPr>
                <w:sz w:val="14"/>
                <w:szCs w:val="14"/>
              </w:rPr>
            </w:pPr>
            <w:r w:rsidRPr="00C37476">
              <w:rPr>
                <w:sz w:val="14"/>
                <w:szCs w:val="14"/>
              </w:rPr>
              <w:t>912</w:t>
            </w:r>
          </w:p>
        </w:tc>
        <w:tc>
          <w:tcPr>
            <w:tcW w:w="900" w:type="dxa"/>
            <w:vAlign w:val="center"/>
          </w:tcPr>
          <w:p w:rsidR="00F92014" w:rsidRPr="00C37476" w:rsidP="00F92014">
            <w:pPr>
              <w:jc w:val="center"/>
              <w:rPr>
                <w:sz w:val="14"/>
                <w:szCs w:val="14"/>
              </w:rPr>
            </w:pPr>
            <w:r w:rsidRPr="00C37476">
              <w:rPr>
                <w:sz w:val="14"/>
                <w:szCs w:val="14"/>
              </w:rPr>
              <w:t>Indian Pt 3</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912</w:t>
            </w:r>
          </w:p>
        </w:tc>
        <w:tc>
          <w:tcPr>
            <w:tcW w:w="72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11/24/86</w:t>
            </w:r>
          </w:p>
        </w:tc>
        <w:tc>
          <w:tcPr>
            <w:tcW w:w="990" w:type="dxa"/>
            <w:vAlign w:val="center"/>
          </w:tcPr>
          <w:p w:rsidR="00F92014" w:rsidRPr="00C37476" w:rsidP="00F92014">
            <w:pPr>
              <w:jc w:val="center"/>
              <w:rPr>
                <w:sz w:val="14"/>
                <w:szCs w:val="14"/>
              </w:rPr>
            </w:pPr>
            <w:r>
              <w:rPr>
                <w:sz w:val="14"/>
                <w:szCs w:val="14"/>
              </w:rPr>
              <w:t>12/31/2018</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P="00F92014">
            <w:pPr>
              <w:jc w:val="center"/>
              <w:rPr>
                <w:sz w:val="14"/>
                <w:szCs w:val="14"/>
              </w:rPr>
            </w:pPr>
            <w:r w:rsidRPr="00C37476">
              <w:rPr>
                <w:sz w:val="14"/>
                <w:szCs w:val="14"/>
              </w:rPr>
              <w:t>12/31/94</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MTA/SENY</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5/7/81</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 xml:space="preserve">3/10/89; 5/11/00 </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62.3</w:t>
            </w:r>
          </w:p>
        </w:tc>
        <w:tc>
          <w:tcPr>
            <w:tcW w:w="810" w:type="dxa"/>
            <w:vAlign w:val="center"/>
          </w:tcPr>
          <w:p w:rsidR="00F92014" w:rsidRPr="00C37476" w:rsidP="00F92014">
            <w:pPr>
              <w:jc w:val="center"/>
              <w:rPr>
                <w:sz w:val="14"/>
                <w:szCs w:val="14"/>
              </w:rPr>
            </w:pPr>
            <w:r w:rsidRPr="00C37476">
              <w:rPr>
                <w:sz w:val="14"/>
                <w:szCs w:val="14"/>
              </w:rPr>
              <w:t>97, 98</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114</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114</w:t>
            </w:r>
          </w:p>
        </w:tc>
        <w:tc>
          <w:tcPr>
            <w:tcW w:w="72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65.1</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65.2</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65.3</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Munis/Coops on Long </w:t>
            </w:r>
            <w:r w:rsidRPr="00C37476">
              <w:rPr>
                <w:sz w:val="14"/>
                <w:szCs w:val="14"/>
              </w:rPr>
              <w:t>Island</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65.4</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65.5</w:t>
            </w:r>
          </w:p>
        </w:tc>
        <w:tc>
          <w:tcPr>
            <w:tcW w:w="810" w:type="dxa"/>
            <w:vAlign w:val="center"/>
          </w:tcPr>
          <w:p w:rsidR="00F92014" w:rsidRPr="00C37476" w:rsidP="00F92014">
            <w:pPr>
              <w:jc w:val="center"/>
              <w:rPr>
                <w:sz w:val="14"/>
                <w:szCs w:val="14"/>
              </w:rPr>
            </w:pPr>
            <w:r w:rsidRPr="00C37476">
              <w:rPr>
                <w:sz w:val="14"/>
                <w:szCs w:val="14"/>
              </w:rPr>
              <w:t>Con Edison</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37</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37</w:t>
            </w:r>
          </w:p>
        </w:tc>
        <w:tc>
          <w:tcPr>
            <w:tcW w:w="72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65.6</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  (12)</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66</w:t>
            </w:r>
          </w:p>
        </w:tc>
        <w:tc>
          <w:tcPr>
            <w:tcW w:w="81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Festival of Lights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Festival of Lights</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73</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NYPA (EDP in O&amp;R)</w:t>
            </w:r>
          </w:p>
        </w:tc>
        <w:tc>
          <w:tcPr>
            <w:tcW w:w="810" w:type="dxa"/>
            <w:vAlign w:val="center"/>
          </w:tcPr>
          <w:p w:rsidR="00F92014" w:rsidRPr="00C37476" w:rsidP="00F92014">
            <w:pPr>
              <w:jc w:val="center"/>
              <w:rPr>
                <w:sz w:val="14"/>
                <w:szCs w:val="14"/>
              </w:rPr>
            </w:pPr>
            <w:r w:rsidRPr="00C37476">
              <w:rPr>
                <w:sz w:val="14"/>
                <w:szCs w:val="14"/>
              </w:rPr>
              <w:t>CHG</w:t>
            </w:r>
            <w:r w:rsidRPr="00C37476">
              <w:rPr>
                <w:sz w:val="14"/>
                <w:szCs w:val="14"/>
              </w:rPr>
              <w:t>&amp;E</w:t>
            </w:r>
          </w:p>
        </w:tc>
        <w:tc>
          <w:tcPr>
            <w:tcW w:w="990" w:type="dxa"/>
            <w:vAlign w:val="center"/>
          </w:tcPr>
          <w:p w:rsidR="00F92014" w:rsidRPr="00C37476" w:rsidP="00F92014">
            <w:pPr>
              <w:jc w:val="center"/>
              <w:rPr>
                <w:sz w:val="14"/>
                <w:szCs w:val="14"/>
              </w:rPr>
            </w:pPr>
            <w:r w:rsidRPr="00C37476">
              <w:rPr>
                <w:sz w:val="14"/>
                <w:szCs w:val="14"/>
              </w:rPr>
              <w:t>EDP in O&amp;R</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736582" w:rsidRPr="00C37476" w:rsidP="00736582">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74.2</w:t>
            </w:r>
          </w:p>
        </w:tc>
        <w:tc>
          <w:tcPr>
            <w:tcW w:w="810" w:type="dxa"/>
            <w:vAlign w:val="center"/>
          </w:tcPr>
          <w:p w:rsidR="00F92014" w:rsidRPr="00C37476" w:rsidP="00F92014">
            <w:pPr>
              <w:jc w:val="center"/>
              <w:rPr>
                <w:sz w:val="14"/>
                <w:szCs w:val="14"/>
              </w:rPr>
            </w:pPr>
            <w:r w:rsidRPr="00C37476">
              <w:rPr>
                <w:sz w:val="14"/>
                <w:szCs w:val="14"/>
              </w:rPr>
              <w:t>78</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MDAs</w:t>
            </w:r>
            <w:r w:rsidRPr="00C37476">
              <w:rPr>
                <w:sz w:val="14"/>
                <w:szCs w:val="14"/>
              </w:rPr>
              <w:t xml:space="preserve">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7/1/85 </w:t>
            </w:r>
          </w:p>
        </w:tc>
        <w:tc>
          <w:tcPr>
            <w:tcW w:w="990" w:type="dxa"/>
            <w:vAlign w:val="center"/>
          </w:tcPr>
          <w:p w:rsidR="003B64A4">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DE0301">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Nassau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 xml:space="preserve">MDAs </w:t>
            </w:r>
            <w:r w:rsidRPr="00C37476">
              <w:rPr>
                <w:sz w:val="14"/>
                <w:szCs w:val="14"/>
              </w:rPr>
              <w:t>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11/14/85</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Suffolk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7/21/99 (13)</w:t>
            </w:r>
          </w:p>
        </w:tc>
        <w:tc>
          <w:tcPr>
            <w:tcW w:w="990" w:type="dxa"/>
            <w:vAlign w:val="center"/>
          </w:tcPr>
          <w:p w:rsidR="00F92014" w:rsidRPr="00C37476"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P="00F92014">
            <w:pPr>
              <w:jc w:val="center"/>
              <w:rPr>
                <w:sz w:val="14"/>
                <w:szCs w:val="14"/>
              </w:rPr>
            </w:pPr>
            <w:r w:rsidRPr="00C37476">
              <w:rPr>
                <w:sz w:val="14"/>
                <w:szCs w:val="14"/>
              </w:rPr>
              <w:t xml:space="preserve">Third Party TWA </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 xml:space="preserve"> 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75.2</w:t>
            </w:r>
          </w:p>
        </w:tc>
        <w:tc>
          <w:tcPr>
            <w:tcW w:w="810" w:type="dxa"/>
            <w:vAlign w:val="center"/>
          </w:tcPr>
          <w:p w:rsidR="00F92014" w:rsidRPr="00C37476" w:rsidP="00F92014">
            <w:pPr>
              <w:jc w:val="center"/>
              <w:rPr>
                <w:sz w:val="14"/>
                <w:szCs w:val="14"/>
              </w:rPr>
            </w:pPr>
            <w:r w:rsidRPr="00C37476">
              <w:rPr>
                <w:sz w:val="14"/>
                <w:szCs w:val="14"/>
              </w:rPr>
              <w:t>102</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w:t>
            </w:r>
            <w:r w:rsidRPr="00C37476">
              <w:rPr>
                <w:sz w:val="14"/>
                <w:szCs w:val="14"/>
              </w:rPr>
              <w:t xml:space="preserve">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19/18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76.2</w:t>
            </w:r>
          </w:p>
        </w:tc>
        <w:tc>
          <w:tcPr>
            <w:tcW w:w="810" w:type="dxa"/>
            <w:vAlign w:val="center"/>
          </w:tcPr>
          <w:p w:rsidR="00F92014" w:rsidRPr="00C37476" w:rsidP="00F92014">
            <w:pPr>
              <w:jc w:val="center"/>
              <w:rPr>
                <w:sz w:val="14"/>
                <w:szCs w:val="14"/>
              </w:rPr>
            </w:pPr>
            <w:r w:rsidRPr="00C37476">
              <w:rPr>
                <w:sz w:val="14"/>
                <w:szCs w:val="14"/>
              </w:rPr>
              <w:t>60</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Grumman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Grumman</w:t>
            </w:r>
          </w:p>
        </w:tc>
        <w:tc>
          <w:tcPr>
            <w:tcW w:w="720" w:type="dxa"/>
            <w:vAlign w:val="center"/>
          </w:tcPr>
          <w:p w:rsidR="00F92014" w:rsidRPr="00C37476" w:rsidP="00F92014">
            <w:pPr>
              <w:jc w:val="center"/>
              <w:rPr>
                <w:sz w:val="14"/>
                <w:szCs w:val="14"/>
              </w:rPr>
            </w:pPr>
            <w:r w:rsidRPr="00C37476">
              <w:rPr>
                <w:sz w:val="14"/>
                <w:szCs w:val="14"/>
              </w:rPr>
              <w:t>0</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2 years’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NYSEG</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79.2</w:t>
            </w:r>
          </w:p>
        </w:tc>
        <w:tc>
          <w:tcPr>
            <w:tcW w:w="810" w:type="dxa"/>
            <w:vAlign w:val="center"/>
          </w:tcPr>
          <w:p w:rsidR="00F92014" w:rsidRPr="00C37476" w:rsidP="00F92014">
            <w:pPr>
              <w:jc w:val="center"/>
              <w:rPr>
                <w:sz w:val="14"/>
                <w:szCs w:val="14"/>
              </w:rPr>
            </w:pPr>
            <w:r w:rsidRPr="00C37476">
              <w:rPr>
                <w:sz w:val="14"/>
                <w:szCs w:val="14"/>
              </w:rPr>
              <w:t>179</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MDA/EDP</w:t>
            </w:r>
            <w:r w:rsidRPr="00C37476">
              <w:rPr>
                <w:sz w:val="14"/>
                <w:szCs w:val="14"/>
              </w:rPr>
              <w:t xml:space="preserve"> for NYSEG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80</w:t>
            </w:r>
          </w:p>
        </w:tc>
        <w:tc>
          <w:tcPr>
            <w:tcW w:w="810" w:type="dxa"/>
            <w:vAlign w:val="center"/>
          </w:tcPr>
          <w:p w:rsidR="00F92014" w:rsidRPr="00C37476" w:rsidP="00F92014">
            <w:pPr>
              <w:jc w:val="center"/>
              <w:rPr>
                <w:sz w:val="14"/>
                <w:szCs w:val="14"/>
              </w:rPr>
            </w:pPr>
            <w:r w:rsidRPr="00C37476">
              <w:rPr>
                <w:sz w:val="14"/>
                <w:szCs w:val="14"/>
              </w:rPr>
              <w:t>249</w:t>
            </w:r>
          </w:p>
        </w:tc>
        <w:tc>
          <w:tcPr>
            <w:tcW w:w="900" w:type="dxa"/>
            <w:vAlign w:val="center"/>
          </w:tcPr>
          <w:p w:rsidR="003B64A4">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NMPC</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P="00F92014">
            <w:pPr>
              <w:jc w:val="center"/>
              <w:rPr>
                <w:sz w:val="14"/>
                <w:szCs w:val="14"/>
              </w:rPr>
            </w:pPr>
          </w:p>
          <w:p w:rsidR="003B64A4">
            <w:pPr>
              <w:jc w:val="center"/>
              <w:rPr>
                <w:sz w:val="14"/>
                <w:szCs w:val="14"/>
              </w:rPr>
            </w:pPr>
            <w:r>
              <w:rPr>
                <w:sz w:val="14"/>
                <w:szCs w:val="14"/>
              </w:rPr>
              <w:t>7/27/2013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Industrials </w:t>
            </w:r>
            <w:r w:rsidRPr="00C37476">
              <w:rPr>
                <w:sz w:val="14"/>
                <w:szCs w:val="14"/>
              </w:rPr>
              <w:t>to NMPC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w:t>
            </w:r>
            <w:r w:rsidRPr="00C37476">
              <w:rPr>
                <w:sz w:val="14"/>
                <w:szCs w:val="14"/>
              </w:rPr>
              <w:t xml:space="preserve">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82.4</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82.6</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11/01/2003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Philadelphia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82.8</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82.10</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Bergen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2/29/2004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Green Island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Fairport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77</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77</w:t>
            </w:r>
          </w:p>
        </w:tc>
        <w:tc>
          <w:tcPr>
            <w:tcW w:w="720" w:type="dxa"/>
            <w:vAlign w:val="center"/>
          </w:tcPr>
          <w:p w:rsidR="00F92014" w:rsidRPr="00C37476" w:rsidP="00F92014">
            <w:pPr>
              <w:jc w:val="center"/>
              <w:rPr>
                <w:sz w:val="14"/>
                <w:szCs w:val="14"/>
              </w:rPr>
            </w:pPr>
            <w:r w:rsidRPr="00C37476">
              <w:rPr>
                <w:sz w:val="14"/>
                <w:szCs w:val="14"/>
              </w:rPr>
              <w:t>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Skaneateles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53</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53</w:t>
            </w:r>
          </w:p>
        </w:tc>
        <w:tc>
          <w:tcPr>
            <w:tcW w:w="720" w:type="dxa"/>
            <w:vAlign w:val="center"/>
          </w:tcPr>
          <w:p w:rsidR="00F92014" w:rsidRPr="00C37476" w:rsidP="00F92014">
            <w:pPr>
              <w:jc w:val="center"/>
              <w:rPr>
                <w:sz w:val="14"/>
                <w:szCs w:val="14"/>
              </w:rPr>
            </w:pPr>
            <w:r w:rsidRPr="00C37476">
              <w:rPr>
                <w:sz w:val="14"/>
                <w:szCs w:val="14"/>
              </w:rPr>
              <w:t>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72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72</w:t>
            </w:r>
          </w:p>
        </w:tc>
        <w:tc>
          <w:tcPr>
            <w:tcW w:w="72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spacing w:line="480" w:lineRule="auto"/>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7</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87.5</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Marathon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87.6</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Penn Yan</w:t>
            </w:r>
          </w:p>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Silver Springs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87.9</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Watkins Glen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t>-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Hamilton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88.3</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88.4</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Otsego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88.5</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89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Plattsburgh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103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noBreakHyphen/>
              <w:t>103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Massena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w:t>
            </w:r>
          </w:p>
        </w:tc>
        <w:tc>
          <w:tcPr>
            <w:tcW w:w="72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noBreakHyphen/>
              <w:t>23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NYSEG Energy Delivery</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7/1/92</w:t>
            </w:r>
          </w:p>
        </w:tc>
        <w:tc>
          <w:tcPr>
            <w:tcW w:w="990" w:type="dxa"/>
            <w:vAlign w:val="center"/>
          </w:tcPr>
          <w:p w:rsidR="00F92014" w:rsidRPr="00C37476" w:rsidP="00F92014">
            <w:pPr>
              <w:jc w:val="center"/>
              <w:rPr>
                <w:sz w:val="14"/>
                <w:szCs w:val="14"/>
              </w:rPr>
            </w:pPr>
            <w:r w:rsidRPr="00C37476">
              <w:rPr>
                <w:sz w:val="14"/>
                <w:szCs w:val="14"/>
              </w:rPr>
              <w:t>10/31/2002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30</w:t>
            </w:r>
          </w:p>
        </w:tc>
        <w:tc>
          <w:tcPr>
            <w:tcW w:w="72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noBreakHyphen/>
              <w:t>30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7/28/75</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r w:rsidRPr="00C37476">
              <w:rPr>
                <w:sz w:val="14"/>
                <w:szCs w:val="14"/>
              </w:rPr>
              <w:noBreakHyphen/>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98</w:t>
            </w:r>
          </w:p>
        </w:tc>
        <w:tc>
          <w:tcPr>
            <w:tcW w:w="810" w:type="dxa"/>
            <w:vAlign w:val="center"/>
          </w:tcPr>
          <w:p w:rsidR="00F92014" w:rsidRPr="00C37476" w:rsidP="00F92014">
            <w:pPr>
              <w:jc w:val="center"/>
              <w:rPr>
                <w:sz w:val="14"/>
                <w:szCs w:val="14"/>
              </w:rPr>
            </w:pPr>
            <w:r w:rsidRPr="00C37476">
              <w:rPr>
                <w:sz w:val="14"/>
                <w:szCs w:val="14"/>
              </w:rPr>
              <w:t>136</w:t>
            </w:r>
          </w:p>
        </w:tc>
        <w:tc>
          <w:tcPr>
            <w:tcW w:w="900" w:type="dxa"/>
            <w:vAlign w:val="center"/>
          </w:tcPr>
          <w:p w:rsidR="00F92014" w:rsidRPr="00C37476" w:rsidP="00F92014">
            <w:pPr>
              <w:jc w:val="center"/>
              <w:rPr>
                <w:sz w:val="14"/>
                <w:szCs w:val="14"/>
              </w:rPr>
            </w:pPr>
            <w:r w:rsidRPr="00C37476">
              <w:rPr>
                <w:sz w:val="14"/>
                <w:szCs w:val="14"/>
              </w:rPr>
              <w:t>NFTA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NFTA</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West</w:t>
            </w:r>
          </w:p>
        </w:tc>
        <w:tc>
          <w:tcPr>
            <w:tcW w:w="720" w:type="dxa"/>
            <w:vAlign w:val="center"/>
          </w:tcPr>
          <w:p w:rsidR="00F92014" w:rsidRPr="00C37476" w:rsidP="00F92014">
            <w:pPr>
              <w:jc w:val="center"/>
              <w:rPr>
                <w:sz w:val="14"/>
                <w:szCs w:val="14"/>
              </w:rPr>
            </w:pPr>
            <w:r w:rsidRPr="00C37476">
              <w:rPr>
                <w:sz w:val="14"/>
                <w:szCs w:val="14"/>
              </w:rPr>
              <w:t>7/30/85</w:t>
            </w:r>
          </w:p>
        </w:tc>
        <w:tc>
          <w:tcPr>
            <w:tcW w:w="990" w:type="dxa"/>
            <w:vAlign w:val="center"/>
          </w:tcPr>
          <w:p w:rsidR="00F92014" w:rsidRPr="00C37476" w:rsidP="00F92014">
            <w:pPr>
              <w:jc w:val="center"/>
              <w:rPr>
                <w:sz w:val="14"/>
                <w:szCs w:val="14"/>
              </w:rPr>
            </w:pPr>
            <w:r>
              <w:rPr>
                <w:sz w:val="14"/>
                <w:szCs w:val="14"/>
              </w:rPr>
              <w:t>7/31/2</w:t>
            </w:r>
            <w:r>
              <w:rPr>
                <w:sz w:val="14"/>
                <w:szCs w:val="14"/>
              </w:rPr>
              <w:t>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99</w:t>
            </w:r>
          </w:p>
        </w:tc>
        <w:tc>
          <w:tcPr>
            <w:tcW w:w="810" w:type="dxa"/>
            <w:vAlign w:val="center"/>
          </w:tcPr>
          <w:p w:rsidR="00F92014" w:rsidRPr="00C37476" w:rsidP="00F92014">
            <w:pPr>
              <w:jc w:val="center"/>
              <w:rPr>
                <w:sz w:val="14"/>
                <w:szCs w:val="14"/>
              </w:rPr>
            </w:pPr>
            <w:r w:rsidRPr="00C37476">
              <w:rPr>
                <w:sz w:val="14"/>
                <w:szCs w:val="14"/>
              </w:rPr>
              <w:t>159</w:t>
            </w:r>
          </w:p>
        </w:tc>
        <w:tc>
          <w:tcPr>
            <w:tcW w:w="900" w:type="dxa"/>
            <w:vAlign w:val="center"/>
          </w:tcPr>
          <w:p w:rsidR="003B64A4">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Expansion Industrials</w:t>
            </w:r>
          </w:p>
        </w:tc>
        <w:tc>
          <w:tcPr>
            <w:tcW w:w="720" w:type="dxa"/>
            <w:vAlign w:val="center"/>
          </w:tcPr>
          <w:p w:rsidR="00F92014" w:rsidRPr="00C37476" w:rsidP="00F92014">
            <w:pPr>
              <w:jc w:val="center"/>
              <w:rPr>
                <w:sz w:val="14"/>
                <w:szCs w:val="14"/>
              </w:rPr>
            </w:pPr>
            <w:r w:rsidRPr="00C37476">
              <w:rPr>
                <w:sz w:val="14"/>
                <w:szCs w:val="14"/>
              </w:rPr>
              <w:t>210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210</w:t>
            </w:r>
          </w:p>
        </w:tc>
        <w:tc>
          <w:tcPr>
            <w:tcW w:w="720" w:type="dxa"/>
            <w:vAlign w:val="center"/>
          </w:tcPr>
          <w:p w:rsidR="00F92014" w:rsidRPr="00C37476" w:rsidP="00F92014">
            <w:pPr>
              <w:jc w:val="center"/>
              <w:rPr>
                <w:sz w:val="14"/>
                <w:szCs w:val="14"/>
              </w:rPr>
            </w:pPr>
            <w:r w:rsidRPr="00C37476">
              <w:rPr>
                <w:sz w:val="14"/>
                <w:szCs w:val="14"/>
              </w:rPr>
              <w:t>210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RG&amp;E</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101.1</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Angelica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 xml:space="preserve">Munis &amp; </w:t>
            </w:r>
            <w:r w:rsidRPr="00C37476">
              <w:rPr>
                <w:sz w:val="14"/>
                <w:szCs w:val="14"/>
              </w:rPr>
              <w:t>Coops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Spencerport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Munis &amp; 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102</w:t>
            </w:r>
          </w:p>
        </w:tc>
        <w:tc>
          <w:tcPr>
            <w:tcW w:w="81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Exelon Generation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Sithe Delivery</w:t>
            </w:r>
          </w:p>
        </w:tc>
        <w:tc>
          <w:tcPr>
            <w:tcW w:w="720" w:type="dxa"/>
            <w:vAlign w:val="center"/>
          </w:tcPr>
          <w:p w:rsidR="00F92014" w:rsidRPr="00C37476" w:rsidP="00F92014">
            <w:pPr>
              <w:jc w:val="center"/>
              <w:rPr>
                <w:sz w:val="14"/>
                <w:szCs w:val="14"/>
              </w:rPr>
            </w:pPr>
            <w:r w:rsidRPr="00C37476">
              <w:rPr>
                <w:sz w:val="14"/>
                <w:szCs w:val="14"/>
              </w:rPr>
              <w:t>853</w:t>
            </w:r>
          </w:p>
        </w:tc>
        <w:tc>
          <w:tcPr>
            <w:tcW w:w="900" w:type="dxa"/>
            <w:vAlign w:val="center"/>
          </w:tcPr>
          <w:p w:rsidR="00F92014" w:rsidRPr="00C37476" w:rsidP="00F92014">
            <w:pPr>
              <w:jc w:val="center"/>
              <w:rPr>
                <w:sz w:val="14"/>
                <w:szCs w:val="14"/>
              </w:rPr>
            </w:pPr>
            <w:r w:rsidRPr="00C37476">
              <w:rPr>
                <w:sz w:val="14"/>
                <w:szCs w:val="14"/>
              </w:rPr>
              <w:t>Sithe Independence</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11/5/91</w:t>
            </w:r>
          </w:p>
        </w:tc>
        <w:tc>
          <w:tcPr>
            <w:tcW w:w="990" w:type="dxa"/>
            <w:vAlign w:val="center"/>
          </w:tcPr>
          <w:p w:rsidR="00F92014" w:rsidRPr="00C37476"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853</w:t>
            </w:r>
          </w:p>
        </w:tc>
        <w:tc>
          <w:tcPr>
            <w:tcW w:w="72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103</w:t>
            </w:r>
          </w:p>
        </w:tc>
        <w:tc>
          <w:tcPr>
            <w:tcW w:w="810" w:type="dxa"/>
            <w:vAlign w:val="center"/>
          </w:tcPr>
          <w:p w:rsidR="00F92014" w:rsidRPr="00C37476" w:rsidP="00F92014">
            <w:pPr>
              <w:jc w:val="center"/>
              <w:rPr>
                <w:sz w:val="14"/>
                <w:szCs w:val="14"/>
              </w:rPr>
            </w:pPr>
            <w:r w:rsidRPr="00C37476">
              <w:rPr>
                <w:sz w:val="14"/>
                <w:szCs w:val="14"/>
              </w:rPr>
              <w:t>175</w:t>
            </w:r>
          </w:p>
        </w:tc>
        <w:tc>
          <w:tcPr>
            <w:tcW w:w="900" w:type="dxa"/>
            <w:vAlign w:val="center"/>
          </w:tcPr>
          <w:p w:rsidR="00F92014" w:rsidRPr="00C37476"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Corinth Delivery</w:t>
            </w:r>
          </w:p>
        </w:tc>
        <w:tc>
          <w:tcPr>
            <w:tcW w:w="72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Indeck - Corinth</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6/26/91</w:t>
            </w:r>
          </w:p>
        </w:tc>
        <w:tc>
          <w:tcPr>
            <w:tcW w:w="990" w:type="dxa"/>
            <w:vAlign w:val="center"/>
          </w:tcPr>
          <w:p w:rsidR="00F92014" w:rsidRPr="00C37476" w:rsidP="00F92014">
            <w:pPr>
              <w:jc w:val="center"/>
              <w:rPr>
                <w:sz w:val="14"/>
                <w:szCs w:val="14"/>
              </w:rPr>
            </w:pPr>
            <w:r w:rsidRPr="00C37476">
              <w:rPr>
                <w:sz w:val="14"/>
                <w:szCs w:val="14"/>
              </w:rPr>
              <w:t>7/1/2015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F92014" w:rsidRPr="00C37476" w:rsidP="00F92014">
            <w:pPr>
              <w:jc w:val="center"/>
              <w:rPr>
                <w:sz w:val="14"/>
                <w:szCs w:val="14"/>
              </w:rPr>
            </w:pPr>
            <w:r w:rsidRPr="00C37476">
              <w:rPr>
                <w:sz w:val="14"/>
                <w:szCs w:val="14"/>
              </w:rPr>
              <w:t>105</w:t>
            </w:r>
          </w:p>
        </w:tc>
        <w:tc>
          <w:tcPr>
            <w:tcW w:w="810" w:type="dxa"/>
            <w:vAlign w:val="center"/>
          </w:tcPr>
          <w:p w:rsidR="00F92014" w:rsidRPr="00C37476" w:rsidP="00F92014">
            <w:pPr>
              <w:jc w:val="center"/>
              <w:rPr>
                <w:sz w:val="14"/>
                <w:szCs w:val="14"/>
              </w:rPr>
            </w:pPr>
            <w:r w:rsidRPr="00C37476">
              <w:rPr>
                <w:sz w:val="14"/>
                <w:szCs w:val="14"/>
              </w:rPr>
              <w:t>172</w:t>
            </w:r>
          </w:p>
        </w:tc>
        <w:tc>
          <w:tcPr>
            <w:tcW w:w="900" w:type="dxa"/>
            <w:vAlign w:val="center"/>
          </w:tcPr>
          <w:p w:rsidR="00F92014" w:rsidRPr="00C37476" w:rsidP="00F92014">
            <w:pPr>
              <w:jc w:val="center"/>
              <w:rPr>
                <w:sz w:val="14"/>
                <w:szCs w:val="14"/>
              </w:rPr>
            </w:pPr>
            <w:r w:rsidRPr="00C37476">
              <w:rPr>
                <w:sz w:val="14"/>
                <w:szCs w:val="14"/>
              </w:rPr>
              <w:t>Lockport Energy  LEA (NYSEG)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LEA Delivery</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NEG West LEA Lockport</w:t>
            </w:r>
          </w:p>
        </w:tc>
        <w:tc>
          <w:tcPr>
            <w:tcW w:w="900" w:type="dxa"/>
            <w:vAlign w:val="center"/>
          </w:tcPr>
          <w:p w:rsidR="00F92014" w:rsidRPr="00C37476" w:rsidP="00F92014">
            <w:pPr>
              <w:jc w:val="center"/>
              <w:rPr>
                <w:sz w:val="14"/>
                <w:szCs w:val="14"/>
              </w:rPr>
            </w:pPr>
            <w:r w:rsidRPr="00C37476">
              <w:rPr>
                <w:sz w:val="14"/>
                <w:szCs w:val="14"/>
              </w:rPr>
              <w:t xml:space="preserve">Gardnvlle </w:t>
            </w:r>
          </w:p>
        </w:tc>
        <w:tc>
          <w:tcPr>
            <w:tcW w:w="720" w:type="dxa"/>
            <w:vAlign w:val="center"/>
          </w:tcPr>
          <w:p w:rsidR="00F92014" w:rsidRPr="00C37476" w:rsidP="00F92014">
            <w:pPr>
              <w:jc w:val="center"/>
              <w:rPr>
                <w:sz w:val="14"/>
                <w:szCs w:val="14"/>
              </w:rPr>
            </w:pPr>
            <w:r w:rsidRPr="00C37476">
              <w:rPr>
                <w:sz w:val="14"/>
                <w:szCs w:val="14"/>
              </w:rPr>
              <w:t>4/11/91</w:t>
            </w:r>
          </w:p>
        </w:tc>
        <w:tc>
          <w:tcPr>
            <w:tcW w:w="990" w:type="dxa"/>
            <w:vAlign w:val="center"/>
          </w:tcPr>
          <w:p w:rsidR="00F92014" w:rsidRPr="00C37476" w:rsidP="00F92014">
            <w:pPr>
              <w:jc w:val="center"/>
              <w:rPr>
                <w:sz w:val="14"/>
                <w:szCs w:val="14"/>
              </w:rPr>
            </w:pPr>
            <w:r w:rsidRPr="00C37476">
              <w:rPr>
                <w:sz w:val="14"/>
                <w:szCs w:val="14"/>
              </w:rPr>
              <w:t>10/8/2007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106</w:t>
            </w:r>
          </w:p>
        </w:tc>
        <w:tc>
          <w:tcPr>
            <w:tcW w:w="810" w:type="dxa"/>
            <w:vAlign w:val="center"/>
          </w:tcPr>
          <w:p w:rsidR="00F92014" w:rsidRPr="00C37476" w:rsidP="00F92014">
            <w:pPr>
              <w:jc w:val="center"/>
              <w:rPr>
                <w:sz w:val="14"/>
                <w:szCs w:val="14"/>
              </w:rPr>
            </w:pPr>
            <w:r w:rsidRPr="00C37476">
              <w:rPr>
                <w:sz w:val="14"/>
                <w:szCs w:val="14"/>
              </w:rPr>
              <w:t>199</w:t>
            </w:r>
          </w:p>
        </w:tc>
        <w:tc>
          <w:tcPr>
            <w:tcW w:w="900" w:type="dxa"/>
            <w:vAlign w:val="center"/>
          </w:tcPr>
          <w:p w:rsidR="00F92014" w:rsidRPr="00C37476" w:rsidP="00F92014">
            <w:pPr>
              <w:jc w:val="center"/>
              <w:rPr>
                <w:sz w:val="14"/>
                <w:szCs w:val="14"/>
              </w:rPr>
            </w:pPr>
            <w:r w:rsidRPr="00C37476">
              <w:rPr>
                <w:sz w:val="14"/>
                <w:szCs w:val="14"/>
              </w:rPr>
              <w:t>Cornwall Elec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Rankin</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Gardenville F/C</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P="00F92014">
            <w:pPr>
              <w:jc w:val="center"/>
              <w:rPr>
                <w:sz w:val="14"/>
                <w:szCs w:val="14"/>
              </w:rPr>
            </w:pPr>
            <w:r w:rsidRPr="00C37476">
              <w:rPr>
                <w:sz w:val="14"/>
                <w:szCs w:val="14"/>
              </w:rPr>
              <w:t>11/1/89</w:t>
            </w:r>
          </w:p>
        </w:tc>
        <w:tc>
          <w:tcPr>
            <w:tcW w:w="990" w:type="dxa"/>
            <w:vAlign w:val="center"/>
          </w:tcPr>
          <w:p w:rsidR="00F92014" w:rsidRPr="00C37476" w:rsidP="00F92014">
            <w:pPr>
              <w:jc w:val="center"/>
              <w:rPr>
                <w:sz w:val="14"/>
                <w:szCs w:val="14"/>
              </w:rPr>
            </w:pPr>
            <w:r w:rsidRPr="00C37476">
              <w:rPr>
                <w:sz w:val="14"/>
                <w:szCs w:val="14"/>
              </w:rPr>
              <w:t>Ret. of Rankine</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spacing w:line="52" w:lineRule="exact"/>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108.3</w:t>
            </w:r>
          </w:p>
        </w:tc>
        <w:tc>
          <w:tcPr>
            <w:tcW w:w="81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O&amp;R</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O&amp;R</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6/28/85</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Out-of-State Munis/Coops - PA</w:t>
            </w:r>
          </w:p>
        </w:tc>
        <w:tc>
          <w:tcPr>
            <w:tcW w:w="720" w:type="dxa"/>
            <w:vAlign w:val="center"/>
          </w:tcPr>
          <w:p w:rsidR="00F92014" w:rsidRPr="00C37476" w:rsidP="00F92014">
            <w:pPr>
              <w:jc w:val="center"/>
              <w:rPr>
                <w:sz w:val="14"/>
                <w:szCs w:val="14"/>
              </w:rPr>
            </w:pPr>
            <w:r w:rsidRPr="00C37476">
              <w:rPr>
                <w:sz w:val="14"/>
                <w:szCs w:val="14"/>
              </w:rPr>
              <w:t>20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w:t>
            </w:r>
            <w:r w:rsidRPr="00C37476">
              <w:rPr>
                <w:sz w:val="14"/>
                <w:szCs w:val="14"/>
              </w:rPr>
              <w:t xml:space="preserve">  Generator Bus</w:t>
            </w:r>
          </w:p>
        </w:tc>
        <w:tc>
          <w:tcPr>
            <w:tcW w:w="720" w:type="dxa"/>
            <w:vAlign w:val="center"/>
          </w:tcPr>
          <w:p w:rsidR="00F92014" w:rsidRPr="00C37476" w:rsidP="00F92014">
            <w:pPr>
              <w:jc w:val="center"/>
              <w:rPr>
                <w:sz w:val="14"/>
                <w:szCs w:val="14"/>
              </w:rPr>
            </w:pPr>
            <w:r w:rsidRPr="00C37476">
              <w:rPr>
                <w:sz w:val="14"/>
                <w:szCs w:val="14"/>
              </w:rPr>
              <w:t>6/30/98</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36</w:t>
            </w:r>
          </w:p>
        </w:tc>
        <w:tc>
          <w:tcPr>
            <w:tcW w:w="720" w:type="dxa"/>
            <w:vAlign w:val="center"/>
          </w:tcPr>
          <w:p w:rsidR="00F92014" w:rsidRPr="00C37476" w:rsidP="00F92014">
            <w:pPr>
              <w:jc w:val="center"/>
              <w:rPr>
                <w:sz w:val="14"/>
                <w:szCs w:val="14"/>
              </w:rPr>
            </w:pPr>
            <w:r w:rsidRPr="00C37476">
              <w:rPr>
                <w:sz w:val="14"/>
                <w:szCs w:val="14"/>
              </w:rPr>
              <w:t>36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 State Munis/Coops - Ohio</w:t>
            </w:r>
          </w:p>
        </w:tc>
        <w:tc>
          <w:tcPr>
            <w:tcW w:w="720" w:type="dxa"/>
            <w:vAlign w:val="center"/>
          </w:tcPr>
          <w:p w:rsidR="00F92014" w:rsidRPr="00C37476" w:rsidP="00F92014">
            <w:pPr>
              <w:jc w:val="center"/>
              <w:rPr>
                <w:sz w:val="14"/>
                <w:szCs w:val="14"/>
              </w:rPr>
            </w:pPr>
            <w:r w:rsidRPr="00C37476">
              <w:rPr>
                <w:sz w:val="14"/>
                <w:szCs w:val="14"/>
              </w:rPr>
              <w:t>28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NYPA - 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St. </w:t>
            </w:r>
            <w:r w:rsidRPr="00C37476">
              <w:rPr>
                <w:sz w:val="14"/>
                <w:szCs w:val="14"/>
              </w:rPr>
              <w:t>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St. Law. </w:t>
            </w:r>
            <w:r w:rsidRPr="00C37476">
              <w:rPr>
                <w:sz w:val="14"/>
                <w:szCs w:val="14"/>
              </w:rPr>
              <w:t>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113.3</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PA</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18</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t>-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113.6</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83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83</w:t>
            </w:r>
          </w:p>
        </w:tc>
        <w:tc>
          <w:tcPr>
            <w:tcW w:w="720" w:type="dxa"/>
            <w:vAlign w:val="center"/>
          </w:tcPr>
          <w:p w:rsidR="00F92014" w:rsidRPr="00C37476" w:rsidP="00F92014">
            <w:pPr>
              <w:jc w:val="center"/>
              <w:rPr>
                <w:sz w:val="14"/>
                <w:szCs w:val="14"/>
              </w:rPr>
            </w:pPr>
            <w:r w:rsidRPr="00C37476">
              <w:rPr>
                <w:sz w:val="14"/>
                <w:szCs w:val="14"/>
              </w:rPr>
              <w:t>83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Andover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25</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w:t>
            </w:r>
          </w:p>
        </w:tc>
        <w:tc>
          <w:tcPr>
            <w:tcW w:w="720" w:type="dxa"/>
            <w:vAlign w:val="center"/>
          </w:tcPr>
          <w:p w:rsidR="00F92014" w:rsidRPr="00C37476" w:rsidP="00F92014">
            <w:pPr>
              <w:jc w:val="center"/>
              <w:rPr>
                <w:sz w:val="14"/>
                <w:szCs w:val="14"/>
              </w:rPr>
            </w:pPr>
            <w:r w:rsidRPr="00C37476">
              <w:rPr>
                <w:sz w:val="14"/>
                <w:szCs w:val="14"/>
              </w:rPr>
              <w:t>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151.4</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Little Valley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151.5</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151.6</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151.7</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151.8</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Wellsville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151.9</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 xml:space="preserve">Westfield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12/31/71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75</w:t>
            </w:r>
          </w:p>
        </w:tc>
        <w:tc>
          <w:tcPr>
            <w:tcW w:w="720" w:type="dxa"/>
            <w:vAlign w:val="center"/>
          </w:tcPr>
          <w:p w:rsidR="00F92014" w:rsidRPr="00C37476" w:rsidP="00F92014">
            <w:pPr>
              <w:jc w:val="center"/>
              <w:rPr>
                <w:sz w:val="14"/>
                <w:szCs w:val="14"/>
              </w:rPr>
            </w:pPr>
            <w:r w:rsidRPr="00C37476">
              <w:rPr>
                <w:sz w:val="14"/>
                <w:szCs w:val="14"/>
              </w:rPr>
              <w:t>75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154.2</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Incremental EDP</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Westfield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Firm Incremental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0/20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Central</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2/19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NMPC-Cent. Ea.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0/11</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H</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1/6</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161a</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OH Proxy Bus</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163</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OH Proxy </w:t>
            </w:r>
            <w:r w:rsidRPr="00C37476">
              <w:rPr>
                <w:sz w:val="14"/>
                <w:szCs w:val="14"/>
              </w:rPr>
              <w:t>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164</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0/7</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Groton </w:t>
            </w:r>
            <w:r w:rsidRPr="00C37476">
              <w:rPr>
                <w:sz w:val="14"/>
                <w:szCs w:val="14"/>
              </w:rPr>
              <w:t>(NYMPA)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166a</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Castile</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 (8)</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167</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RG&amp;E</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 OATT</w:t>
            </w:r>
          </w:p>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1/13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 xml:space="preserve">OH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Wellsville </w:t>
            </w:r>
            <w:r w:rsidRPr="00C37476">
              <w:rPr>
                <w:sz w:val="14"/>
                <w:szCs w:val="14"/>
              </w:rPr>
              <w:t>(NYMPA)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PG&amp;E Energy Trading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PG&amp;E Energy Trading</w:t>
            </w:r>
          </w:p>
        </w:tc>
        <w:tc>
          <w:tcPr>
            <w:tcW w:w="720" w:type="dxa"/>
            <w:vAlign w:val="center"/>
          </w:tcPr>
          <w:p w:rsidR="00F92014" w:rsidRPr="00C37476" w:rsidP="00F92014">
            <w:pPr>
              <w:jc w:val="center"/>
              <w:rPr>
                <w:sz w:val="14"/>
                <w:szCs w:val="14"/>
              </w:rPr>
            </w:pPr>
            <w:r w:rsidRPr="00C37476">
              <w:rPr>
                <w:sz w:val="14"/>
                <w:szCs w:val="14"/>
              </w:rPr>
              <w:t>40</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6/1/99</w:t>
            </w:r>
          </w:p>
        </w:tc>
        <w:tc>
          <w:tcPr>
            <w:tcW w:w="990" w:type="dxa"/>
            <w:vAlign w:val="center"/>
          </w:tcPr>
          <w:p w:rsidR="00F92014" w:rsidRPr="00C37476" w:rsidP="00F92014">
            <w:pPr>
              <w:jc w:val="center"/>
              <w:rPr>
                <w:sz w:val="14"/>
                <w:szCs w:val="14"/>
              </w:rPr>
            </w:pPr>
            <w:r w:rsidRPr="00C37476">
              <w:rPr>
                <w:sz w:val="14"/>
                <w:szCs w:val="14"/>
              </w:rPr>
              <w:t>5/31/2000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40</w:t>
            </w:r>
          </w:p>
        </w:tc>
        <w:tc>
          <w:tcPr>
            <w:tcW w:w="720" w:type="dxa"/>
            <w:vAlign w:val="center"/>
          </w:tcPr>
          <w:p w:rsidR="00F92014" w:rsidRPr="00C37476" w:rsidP="00F92014">
            <w:pPr>
              <w:jc w:val="center"/>
              <w:rPr>
                <w:sz w:val="14"/>
                <w:szCs w:val="14"/>
              </w:rPr>
            </w:pPr>
            <w:r w:rsidRPr="00C37476">
              <w:rPr>
                <w:sz w:val="14"/>
                <w:szCs w:val="14"/>
              </w:rPr>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Indeck - Illion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 xml:space="preserve">Indeck - </w:t>
            </w:r>
            <w:r w:rsidRPr="00C37476">
              <w:rPr>
                <w:sz w:val="14"/>
                <w:szCs w:val="14"/>
              </w:rPr>
              <w:t>Olean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2.55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11/1/97</w:t>
            </w:r>
          </w:p>
        </w:tc>
        <w:tc>
          <w:tcPr>
            <w:tcW w:w="990" w:type="dxa"/>
            <w:vAlign w:val="center"/>
          </w:tcPr>
          <w:p w:rsidR="00F92014" w:rsidRPr="00C37476" w:rsidP="00F92014">
            <w:pPr>
              <w:jc w:val="center"/>
              <w:rPr>
                <w:sz w:val="14"/>
                <w:szCs w:val="14"/>
              </w:rPr>
            </w:pPr>
            <w:r w:rsidRPr="00C37476">
              <w:rPr>
                <w:sz w:val="14"/>
                <w:szCs w:val="14"/>
              </w:rPr>
              <w:t>30 days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Air Products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9.1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3/1/97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180</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6/1/98</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OATT</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4/1/99</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184</w:t>
            </w:r>
          </w:p>
        </w:tc>
        <w:tc>
          <w:tcPr>
            <w:tcW w:w="810" w:type="dxa"/>
            <w:vAlign w:val="center"/>
          </w:tcPr>
          <w:p w:rsidR="00F92014" w:rsidRPr="00C37476" w:rsidP="00F92014">
            <w:pPr>
              <w:jc w:val="center"/>
              <w:rPr>
                <w:sz w:val="14"/>
                <w:szCs w:val="14"/>
              </w:rPr>
            </w:pPr>
            <w:r w:rsidRPr="00C37476">
              <w:rPr>
                <w:sz w:val="14"/>
                <w:szCs w:val="14"/>
              </w:rPr>
              <w:t>110</w:t>
            </w:r>
          </w:p>
        </w:tc>
        <w:tc>
          <w:tcPr>
            <w:tcW w:w="900" w:type="dxa"/>
            <w:vAlign w:val="center"/>
          </w:tcPr>
          <w:p w:rsidR="003B64A4">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Expansion Industrials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NYSEG - West</w:t>
            </w:r>
          </w:p>
        </w:tc>
        <w:tc>
          <w:tcPr>
            <w:tcW w:w="720" w:type="dxa"/>
            <w:vAlign w:val="center"/>
          </w:tcPr>
          <w:p w:rsidR="00F92014" w:rsidRPr="00C37476" w:rsidP="00F92014">
            <w:pPr>
              <w:jc w:val="center"/>
              <w:rPr>
                <w:sz w:val="14"/>
                <w:szCs w:val="14"/>
              </w:rPr>
            </w:pPr>
            <w:r w:rsidRPr="00C37476">
              <w:rPr>
                <w:sz w:val="14"/>
                <w:szCs w:val="14"/>
              </w:rPr>
              <w:t>12/13/88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Alcoa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General </w:t>
            </w:r>
            <w:r w:rsidRPr="00C37476">
              <w:rPr>
                <w:sz w:val="14"/>
                <w:szCs w:val="14"/>
              </w:rPr>
              <w:t>Motors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6/23/92</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OATT Reservation</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Height w:val="485"/>
        </w:trPr>
        <w:tc>
          <w:tcPr>
            <w:tcW w:w="450" w:type="dxa"/>
            <w:vAlign w:val="center"/>
          </w:tcPr>
          <w:p w:rsidR="00F92014" w:rsidRPr="00C37476" w:rsidP="00F92014">
            <w:pPr>
              <w:jc w:val="center"/>
              <w:rPr>
                <w:sz w:val="14"/>
                <w:szCs w:val="14"/>
              </w:rPr>
            </w:pPr>
            <w:r w:rsidRPr="00C37476">
              <w:rPr>
                <w:sz w:val="14"/>
                <w:szCs w:val="14"/>
              </w:rPr>
              <w:t>189.2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12/31/2017</w:t>
            </w:r>
          </w:p>
        </w:tc>
        <w:tc>
          <w:tcPr>
            <w:tcW w:w="1260" w:type="dxa"/>
            <w:vAlign w:val="center"/>
          </w:tcPr>
          <w:p w:rsidR="00F92014" w:rsidRPr="00C37476" w:rsidP="00F92014">
            <w:pPr>
              <w:jc w:val="center"/>
              <w:rPr>
                <w:sz w:val="14"/>
                <w:szCs w:val="14"/>
              </w:rPr>
            </w:pPr>
            <w:r w:rsidRPr="00C37476">
              <w:rPr>
                <w:sz w:val="14"/>
                <w:szCs w:val="14"/>
              </w:rPr>
              <w:t>Third Party TWA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OATT Reservation</w:t>
            </w:r>
          </w:p>
        </w:tc>
        <w:tc>
          <w:tcPr>
            <w:tcW w:w="72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178</w:t>
            </w:r>
          </w:p>
        </w:tc>
        <w:tc>
          <w:tcPr>
            <w:tcW w:w="72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191</w:t>
            </w:r>
          </w:p>
        </w:tc>
        <w:tc>
          <w:tcPr>
            <w:tcW w:w="810" w:type="dxa"/>
            <w:vAlign w:val="center"/>
          </w:tcPr>
          <w:p w:rsidR="00F92014" w:rsidRPr="00C37476" w:rsidP="00F92014">
            <w:pPr>
              <w:jc w:val="center"/>
              <w:rPr>
                <w:sz w:val="14"/>
                <w:szCs w:val="14"/>
              </w:rPr>
            </w:pPr>
            <w:r w:rsidRPr="00C37476">
              <w:rPr>
                <w:sz w:val="14"/>
                <w:szCs w:val="14"/>
              </w:rPr>
              <w:t>CHG&amp;E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97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97</w:t>
            </w:r>
          </w:p>
        </w:tc>
        <w:tc>
          <w:tcPr>
            <w:tcW w:w="72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31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31</w:t>
            </w:r>
          </w:p>
        </w:tc>
        <w:tc>
          <w:tcPr>
            <w:tcW w:w="720" w:type="dxa"/>
            <w:vAlign w:val="center"/>
          </w:tcPr>
          <w:p w:rsidR="00F92014" w:rsidRPr="00C37476" w:rsidP="00F92014">
            <w:pPr>
              <w:jc w:val="center"/>
              <w:rPr>
                <w:sz w:val="14"/>
                <w:szCs w:val="14"/>
              </w:rPr>
            </w:pPr>
            <w:r w:rsidRPr="00C37476">
              <w:rPr>
                <w:sz w:val="14"/>
                <w:szCs w:val="14"/>
              </w:rPr>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197.2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216</w:t>
            </w:r>
          </w:p>
        </w:tc>
        <w:tc>
          <w:tcPr>
            <w:tcW w:w="810" w:type="dxa"/>
            <w:vAlign w:val="center"/>
          </w:tcPr>
          <w:p w:rsidR="00F92014" w:rsidRPr="00C37476" w:rsidP="00F92014">
            <w:pPr>
              <w:jc w:val="center"/>
              <w:rPr>
                <w:sz w:val="14"/>
                <w:szCs w:val="14"/>
              </w:rPr>
            </w:pPr>
            <w:r w:rsidRPr="00C37476">
              <w:rPr>
                <w:sz w:val="14"/>
                <w:szCs w:val="14"/>
              </w:rPr>
              <w:t>18</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Adirondack/Marcy</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Adirondack</w:t>
            </w:r>
          </w:p>
        </w:tc>
        <w:tc>
          <w:tcPr>
            <w:tcW w:w="900" w:type="dxa"/>
            <w:vAlign w:val="center"/>
          </w:tcPr>
          <w:p w:rsidR="00F92014" w:rsidRPr="00C37476" w:rsidP="00F92014">
            <w:pPr>
              <w:jc w:val="center"/>
              <w:rPr>
                <w:sz w:val="14"/>
                <w:szCs w:val="14"/>
              </w:rPr>
            </w:pPr>
            <w:r w:rsidRPr="00C37476">
              <w:rPr>
                <w:sz w:val="14"/>
                <w:szCs w:val="14"/>
              </w:rPr>
              <w:t>Marcy</w:t>
            </w:r>
          </w:p>
        </w:tc>
        <w:tc>
          <w:tcPr>
            <w:tcW w:w="720" w:type="dxa"/>
            <w:vAlign w:val="center"/>
          </w:tcPr>
          <w:p w:rsidR="00F92014" w:rsidRPr="00C37476" w:rsidP="00F92014">
            <w:pPr>
              <w:jc w:val="center"/>
              <w:rPr>
                <w:sz w:val="14"/>
                <w:szCs w:val="14"/>
              </w:rPr>
            </w:pPr>
            <w:r w:rsidRPr="00C37476">
              <w:rPr>
                <w:sz w:val="14"/>
                <w:szCs w:val="14"/>
              </w:rPr>
              <w:t>8/26/62</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P="00F92014">
            <w:pPr>
              <w:jc w:val="center"/>
              <w:rPr>
                <w:sz w:val="14"/>
                <w:szCs w:val="14"/>
              </w:rPr>
            </w:pPr>
            <w:r w:rsidRPr="00C37476">
              <w:rPr>
                <w:sz w:val="14"/>
                <w:szCs w:val="14"/>
              </w:rPr>
              <w:t>829/865</w:t>
            </w:r>
          </w:p>
        </w:tc>
        <w:tc>
          <w:tcPr>
            <w:tcW w:w="900" w:type="dxa"/>
            <w:vAlign w:val="center"/>
          </w:tcPr>
          <w:p w:rsidR="00F92014" w:rsidRPr="00C37476" w:rsidP="00F92014">
            <w:pPr>
              <w:jc w:val="center"/>
              <w:rPr>
                <w:sz w:val="14"/>
                <w:szCs w:val="14"/>
              </w:rPr>
            </w:pPr>
            <w:r w:rsidRPr="00C37476">
              <w:rPr>
                <w:sz w:val="14"/>
                <w:szCs w:val="14"/>
              </w:rPr>
              <w:t>Poletti</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1/31/2010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829</w:t>
            </w:r>
          </w:p>
        </w:tc>
        <w:tc>
          <w:tcPr>
            <w:tcW w:w="720" w:type="dxa"/>
            <w:vAlign w:val="center"/>
          </w:tcPr>
          <w:p w:rsidR="00F92014" w:rsidRPr="00C37476" w:rsidP="00F92014">
            <w:pPr>
              <w:jc w:val="center"/>
              <w:rPr>
                <w:sz w:val="14"/>
                <w:szCs w:val="14"/>
              </w:rPr>
            </w:pPr>
            <w:r w:rsidRPr="00C37476">
              <w:rPr>
                <w:sz w:val="14"/>
                <w:szCs w:val="14"/>
              </w:rPr>
              <w:t>865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NYPA Load NYC - KIAC</w:t>
            </w:r>
          </w:p>
        </w:tc>
        <w:tc>
          <w:tcPr>
            <w:tcW w:w="720" w:type="dxa"/>
            <w:vAlign w:val="center"/>
          </w:tcPr>
          <w:p w:rsidR="00F92014" w:rsidRPr="00C37476" w:rsidP="00F92014">
            <w:pPr>
              <w:jc w:val="center"/>
              <w:rPr>
                <w:sz w:val="14"/>
                <w:szCs w:val="14"/>
              </w:rPr>
            </w:pPr>
            <w:r w:rsidRPr="00C37476">
              <w:rPr>
                <w:sz w:val="14"/>
                <w:szCs w:val="14"/>
              </w:rPr>
              <w:t>105</w:t>
            </w:r>
          </w:p>
        </w:tc>
        <w:tc>
          <w:tcPr>
            <w:tcW w:w="900" w:type="dxa"/>
            <w:vAlign w:val="center"/>
          </w:tcPr>
          <w:p w:rsidR="00F92014" w:rsidRPr="00C37476" w:rsidP="00F92014">
            <w:pPr>
              <w:jc w:val="center"/>
              <w:rPr>
                <w:sz w:val="14"/>
                <w:szCs w:val="14"/>
              </w:rPr>
            </w:pPr>
            <w:r w:rsidRPr="00C37476">
              <w:rPr>
                <w:sz w:val="14"/>
                <w:szCs w:val="14"/>
              </w:rPr>
              <w:t>KIAC JFK GT2</w:t>
            </w:r>
          </w:p>
        </w:tc>
        <w:tc>
          <w:tcPr>
            <w:tcW w:w="900" w:type="dxa"/>
            <w:vAlign w:val="center"/>
          </w:tcPr>
          <w:p w:rsidR="00F92014" w:rsidRPr="00C37476" w:rsidP="00F92014">
            <w:pPr>
              <w:jc w:val="center"/>
              <w:rPr>
                <w:sz w:val="14"/>
                <w:szCs w:val="14"/>
              </w:rPr>
            </w:pPr>
            <w:r w:rsidRPr="00C37476">
              <w:rPr>
                <w:sz w:val="14"/>
                <w:szCs w:val="14"/>
              </w:rPr>
              <w:t xml:space="preserve">Con </w:t>
            </w:r>
            <w:r w:rsidRPr="00C37476">
              <w:rPr>
                <w:sz w:val="14"/>
                <w:szCs w:val="14"/>
              </w:rPr>
              <w:t>Edison</w:t>
            </w:r>
          </w:p>
        </w:tc>
        <w:tc>
          <w:tcPr>
            <w:tcW w:w="720" w:type="dxa"/>
            <w:vAlign w:val="center"/>
          </w:tcPr>
          <w:p w:rsidR="00F92014" w:rsidRPr="00C37476" w:rsidP="00F92014">
            <w:pPr>
              <w:jc w:val="center"/>
              <w:rPr>
                <w:sz w:val="14"/>
                <w:szCs w:val="14"/>
              </w:rPr>
            </w:pPr>
            <w:r w:rsidRPr="00C37476">
              <w:rPr>
                <w:sz w:val="14"/>
                <w:szCs w:val="14"/>
              </w:rPr>
              <w:t>3/23/93</w:t>
            </w:r>
          </w:p>
        </w:tc>
        <w:tc>
          <w:tcPr>
            <w:tcW w:w="990" w:type="dxa"/>
            <w:vAlign w:val="center"/>
          </w:tcPr>
          <w:p w:rsidR="00F92014" w:rsidRPr="00C37476" w:rsidP="00F92014">
            <w:pPr>
              <w:jc w:val="center"/>
              <w:rPr>
                <w:sz w:val="14"/>
                <w:szCs w:val="14"/>
              </w:rPr>
            </w:pPr>
            <w:r>
              <w:rPr>
                <w:sz w:val="14"/>
                <w:szCs w:val="14"/>
              </w:rPr>
              <w:t>1/31/2020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105</w:t>
            </w:r>
          </w:p>
        </w:tc>
        <w:tc>
          <w:tcPr>
            <w:tcW w:w="720" w:type="dxa"/>
            <w:vAlign w:val="center"/>
          </w:tcPr>
          <w:p w:rsidR="00F92014" w:rsidRPr="00C37476" w:rsidP="00F92014">
            <w:pPr>
              <w:jc w:val="center"/>
              <w:rPr>
                <w:sz w:val="14"/>
                <w:szCs w:val="14"/>
              </w:rPr>
            </w:pPr>
            <w:r w:rsidRPr="00C37476">
              <w:rPr>
                <w:sz w:val="14"/>
                <w:szCs w:val="14"/>
              </w:rPr>
              <w:t>104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bl>
    <w:p w:rsidR="00F92014" w:rsidRPr="00A33E88" w:rsidP="00F92014">
      <w:pPr>
        <w:rPr>
          <w:rFonts w:ascii="CopperPlate" w:hAnsi="CopperPlate"/>
          <w:sz w:val="12"/>
        </w:rPr>
      </w:pPr>
    </w:p>
    <w:p w:rsidR="00F92014" w:rsidRPr="00A33E88" w:rsidP="00E60B0A">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P="00E60B0A">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P="00E60B0A">
      <w:pPr>
        <w:pStyle w:val="Table1ALegend"/>
        <w:tabs>
          <w:tab w:val="clear" w:pos="8280"/>
          <w:tab w:val="left" w:pos="8640"/>
          <w:tab w:val="clear" w:pos="10080"/>
          <w:tab w:val="left" w:pos="10890"/>
        </w:tabs>
      </w:pPr>
      <w:r>
        <w:tab/>
      </w:r>
      <w:r w:rsidRPr="00A33E88">
        <w:t xml:space="preserve">Cont. Est. Date - </w:t>
      </w:r>
      <w:r w:rsidRPr="00A33E88">
        <w:t>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P="00E60B0A">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P="00E60B0A">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P="00F92014">
      <w:pPr>
        <w:tabs>
          <w:tab w:val="left" w:pos="-1440"/>
        </w:tabs>
        <w:ind w:left="1440" w:hanging="720"/>
        <w:rPr>
          <w:sz w:val="16"/>
        </w:rPr>
      </w:pPr>
    </w:p>
    <w:p w:rsidR="00F92014" w:rsidRPr="00A33E88"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Pr>
          <w:sz w:val="16"/>
        </w:rPr>
        <w:t>27</w:t>
      </w:r>
      <w:r w:rsidRPr="00A33E88">
        <w:rPr>
          <w:sz w:val="16"/>
        </w:rPr>
        <w:t xml:space="preserve"> under its OATT.</w:t>
      </w:r>
    </w:p>
    <w:p w:rsidR="00F92014" w:rsidRPr="00A33E88" w:rsidP="00F92014">
      <w:pPr>
        <w:tabs>
          <w:tab w:val="left" w:pos="-1440"/>
          <w:tab w:val="left" w:pos="1170"/>
        </w:tabs>
        <w:ind w:left="1170" w:hanging="450"/>
        <w:rPr>
          <w:sz w:val="16"/>
        </w:rPr>
      </w:pPr>
      <w:r w:rsidRPr="00A33E88">
        <w:rPr>
          <w:sz w:val="16"/>
        </w:rPr>
        <w:t xml:space="preserve">(7) - </w:t>
      </w:r>
      <w:r w:rsidRPr="00A33E88">
        <w:rPr>
          <w:sz w:val="16"/>
        </w:rPr>
        <w:tab/>
      </w:r>
      <w:r w:rsidRPr="000C43E0">
        <w:rPr>
          <w:sz w:val="16"/>
        </w:rPr>
        <w:t>For Contract # 189.1 and 190.1, NYPA’s TCCs allocated to its SENY Governmental L</w:t>
      </w:r>
      <w:r w:rsidRPr="000C43E0">
        <w:rPr>
          <w:sz w:val="16"/>
        </w:rPr>
        <w:t>oad Customers will terminate on the earlier of December 31, 2027 or when NYPA no longer has an obligation to serve any of the SENY Governmental Load Customers; provided, however, that the term may be extended beyond December 31, 2027 if NYPA continues to h</w:t>
      </w:r>
      <w:r w:rsidRPr="000C43E0">
        <w:rPr>
          <w:sz w:val="16"/>
        </w:rPr>
        <w:t>ave an obligation to serve any of the SENY Governmental Load Customers.  For Contract # 189.2 and 190.2,</w:t>
      </w:r>
      <w:r>
        <w:rPr>
          <w:sz w:val="16"/>
        </w:rPr>
        <w:t xml:space="preserve"> </w:t>
      </w:r>
      <w:r w:rsidRPr="00A33E88">
        <w:rPr>
          <w:sz w:val="16"/>
        </w:rPr>
        <w:t>NYPA’s TCCs allocated to its SENY Governmental Load Customers will terminate on the earlier of December 31, 2017 or when NYPA no longer has an obligati</w:t>
      </w:r>
      <w:r w:rsidRPr="00A33E88">
        <w:rPr>
          <w:sz w:val="16"/>
        </w:rPr>
        <w:t>on to serve any of the SENY Loads or the retirement or sale of both IP#3 and Poletti.</w:t>
      </w:r>
    </w:p>
    <w:p w:rsidR="00F92014" w:rsidRPr="00A33E88"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w:t>
      </w:r>
      <w:r w:rsidRPr="00A33E88">
        <w:rPr>
          <w:rFonts w:ascii="CopperPlate" w:hAnsi="CopperPlate"/>
          <w:sz w:val="16"/>
        </w:rPr>
        <w:t xml:space="preserve"> for this service.</w:t>
      </w:r>
    </w:p>
    <w:p w:rsidR="00F92014" w:rsidRPr="00A33E88"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P="00F92014">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w:t>
      </w:r>
      <w:r w:rsidRPr="00A33E88">
        <w:rPr>
          <w:sz w:val="16"/>
        </w:rPr>
        <w:t>Con Edison’s GFTCCs  increased from 800 MW to 912 MW.</w:t>
      </w:r>
    </w:p>
    <w:p w:rsidR="00F92014" w:rsidRPr="00A33E88"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w:t>
      </w:r>
      <w:r w:rsidRPr="00A33E88">
        <w:rPr>
          <w:sz w:val="16"/>
        </w:rPr>
        <w:t>ty Public Utility Agency (“NCPUA”).  On July 21, 1999, LIPA and SCEA executed a revised agreement covering SCEA’s 5 MW portion of the MDA on LI allotment.  NCPUA continues to be governed by the terms of the 11/14/85 agreement.</w:t>
      </w:r>
    </w:p>
    <w:p w:rsidR="00F92014" w:rsidRPr="00A33E88"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w:t>
      </w:r>
      <w:r w:rsidRPr="00A33E88">
        <w:rPr>
          <w:sz w:val="16"/>
        </w:rPr>
        <w:t>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P="00F92014">
      <w:pPr>
        <w:tabs>
          <w:tab w:val="left" w:pos="-1440"/>
          <w:tab w:val="left" w:pos="1170"/>
        </w:tabs>
        <w:ind w:left="1170" w:hanging="450"/>
        <w:rPr>
          <w:sz w:val="16"/>
        </w:rPr>
      </w:pPr>
      <w:r w:rsidRPr="00A33E88">
        <w:rPr>
          <w:sz w:val="16"/>
        </w:rPr>
        <w:t>(1</w:t>
      </w:r>
      <w:r w:rsidRPr="00A33E88">
        <w:rPr>
          <w:sz w:val="16"/>
        </w:rPr>
        <w:t xml:space="preserve">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w:t>
      </w:r>
      <w:r w:rsidRPr="00A33E88">
        <w:rPr>
          <w:sz w:val="16"/>
        </w:rPr>
        <w:t>minated its purchase of Poletti effective January 1, 2000.  At that time, the residual amount of available Capacity increased from 765 MW to 865 MW for the Winter  Capability Period and from 733 MW to 829 MW for the Summer Capability Period.</w:t>
      </w:r>
    </w:p>
    <w:p w:rsidR="00F92014" w:rsidRPr="00A33E88"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pStyle w:val="BodyText2"/>
      </w:pPr>
      <w:r w:rsidRPr="00A33E88">
        <w:rPr>
          <w:sz w:val="16"/>
        </w:rPr>
        <w:t xml:space="preserve">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P="00F92014">
      <w:pPr>
        <w:pStyle w:val="BodyText"/>
        <w:tabs>
          <w:tab w:val="left" w:pos="1440"/>
          <w:tab w:val="left" w:pos="6480"/>
          <w:tab w:val="right" w:pos="9360"/>
        </w:tabs>
        <w:ind w:right="1440"/>
        <w:jc w:val="left"/>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P="00F92014">
            <w:pPr>
              <w:spacing w:line="52" w:lineRule="exact"/>
              <w:rPr>
                <w:rFonts w:ascii="CopperPlate" w:hAnsi="CopperPlate"/>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P="00F92014">
            <w:pPr>
              <w:jc w:val="center"/>
              <w:rPr>
                <w:b/>
                <w:sz w:val="16"/>
                <w:szCs w:val="16"/>
              </w:rPr>
            </w:pPr>
            <w:r w:rsidRPr="004314CA">
              <w:rPr>
                <w:b/>
                <w:sz w:val="16"/>
                <w:szCs w:val="16"/>
              </w:rPr>
              <w:t>POI/POW Modeled in Auctions by ISO</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NMPC - East</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 - Mid Hud</w:t>
            </w:r>
          </w:p>
        </w:tc>
        <w:tc>
          <w:tcPr>
            <w:tcW w:w="3012" w:type="dxa"/>
          </w:tcPr>
          <w:p w:rsidR="00F92014" w:rsidRPr="004314CA" w:rsidP="00F92014">
            <w:pPr>
              <w:jc w:val="center"/>
              <w:rPr>
                <w:sz w:val="16"/>
                <w:szCs w:val="16"/>
              </w:rPr>
            </w:pPr>
            <w:r>
              <w:rPr>
                <w:sz w:val="16"/>
                <w:szCs w:val="16"/>
              </w:rPr>
              <w:t xml:space="preserve">Hudson </w:t>
            </w:r>
            <w:r w:rsidRPr="004314CA">
              <w:rPr>
                <w:sz w:val="16"/>
                <w:szCs w:val="16"/>
              </w:rPr>
              <w:t>Valley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Edison</w:t>
            </w:r>
          </w:p>
        </w:tc>
        <w:tc>
          <w:tcPr>
            <w:tcW w:w="3012" w:type="dxa"/>
          </w:tcPr>
          <w:p w:rsidR="00F92014" w:rsidRPr="004314CA" w:rsidP="00F92014">
            <w:pPr>
              <w:jc w:val="center"/>
              <w:rPr>
                <w:sz w:val="16"/>
                <w:szCs w:val="16"/>
              </w:rPr>
            </w:pPr>
            <w:r w:rsidRPr="004314CA">
              <w:rPr>
                <w:sz w:val="16"/>
                <w:szCs w:val="16"/>
              </w:rPr>
              <w:t>New York City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Cent</w:t>
            </w:r>
          </w:p>
        </w:tc>
        <w:tc>
          <w:tcPr>
            <w:tcW w:w="3012" w:type="dxa"/>
          </w:tcPr>
          <w:p w:rsidR="00F92014" w:rsidRPr="004314CA" w:rsidP="00F92014">
            <w:pPr>
              <w:jc w:val="center"/>
              <w:rPr>
                <w:sz w:val="16"/>
                <w:szCs w:val="16"/>
              </w:rPr>
            </w:pPr>
            <w:r w:rsidRPr="004314CA">
              <w:rPr>
                <w:sz w:val="16"/>
                <w:szCs w:val="16"/>
              </w:rPr>
              <w:t>Central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Mech.</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lang w:val="fr-FR"/>
              </w:rPr>
              <w:t>NYSEG - West</w:t>
            </w:r>
          </w:p>
        </w:tc>
        <w:tc>
          <w:tcPr>
            <w:tcW w:w="3012" w:type="dxa"/>
          </w:tcPr>
          <w:p w:rsidR="00F92014" w:rsidRPr="004314CA" w:rsidP="00F92014">
            <w:pPr>
              <w:jc w:val="center"/>
              <w:rPr>
                <w:sz w:val="16"/>
                <w:szCs w:val="16"/>
              </w:rPr>
            </w:pPr>
            <w:r w:rsidRPr="004314CA">
              <w:rPr>
                <w:sz w:val="16"/>
                <w:szCs w:val="16"/>
              </w:rPr>
              <w:t>West</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P="00F92014">
      <w:pPr>
        <w:tabs>
          <w:tab w:val="left" w:pos="720"/>
          <w:tab w:val="left" w:pos="1710"/>
        </w:tabs>
        <w:ind w:left="2520" w:right="-86" w:hanging="108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P="00F92014">
      <w:pPr>
        <w:pStyle w:val="BodyText2"/>
      </w:pPr>
    </w:p>
    <w:p w:rsidR="00F92014" w:rsidRPr="00A33E88" w:rsidP="00F92014"/>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P="00F92014">
      <w:pPr>
        <w:pStyle w:val="BodyText2"/>
        <w:tabs>
          <w:tab w:val="left" w:pos="1440"/>
        </w:tabs>
      </w:pPr>
    </w:p>
    <w:p w:rsidR="00F92014" w:rsidRPr="00A33E88" w:rsidP="00F92014">
      <w:pPr>
        <w:pStyle w:val="SheetNo"/>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1440" w:header="720" w:footer="720" w:gutter="0"/>
          <w:cols w:space="720"/>
          <w:noEndnote/>
        </w:sectPr>
      </w:pPr>
    </w:p>
    <w:p w:rsidR="00804E41" w:rsidP="00EF1CAD">
      <w:pPr>
        <w:pStyle w:val="Heading10"/>
        <w:rPr>
          <w:rStyle w:val="DefaultParagraphFont"/>
        </w:rPr>
      </w:pPr>
      <w:bookmarkStart w:id="9" w:name="_Toc263333551"/>
      <w:bookmarkStart w:id="10" w:name="_GoBack_0"/>
      <w:bookmarkEnd w:id="10"/>
      <w:r>
        <w:rPr>
          <w:rStyle w:val="DefaultParagraphFont"/>
        </w:rPr>
        <w:t>19</w:t>
      </w:r>
      <w:r>
        <w:rPr>
          <w:rStyle w:val="DefaultParagraphFont"/>
        </w:rPr>
        <w:tab/>
        <w:t xml:space="preserve">Attachment M - </w:t>
      </w:r>
      <w:smartTag w:uri="urn:schemas-microsoft-com:office:smarttags" w:element="place">
        <w:smartTag w:uri="urn:schemas-microsoft-com:office:smarttags" w:element="City">
          <w:r w:rsidRPr="00D2241C">
            <w:rPr>
              <w:rStyle w:val="DefaultParagraphFont"/>
            </w:rPr>
            <w:t>Sale</w:t>
          </w:r>
        </w:smartTag>
      </w:smartTag>
      <w:r w:rsidRPr="00D2241C">
        <w:rPr>
          <w:rStyle w:val="DefaultParagraphFont"/>
        </w:rPr>
        <w:t xml:space="preserve"> </w:t>
      </w:r>
      <w:r>
        <w:rPr>
          <w:rStyle w:val="DefaultParagraphFont"/>
        </w:rPr>
        <w:t>a</w:t>
      </w:r>
      <w:r w:rsidRPr="00D2241C">
        <w:rPr>
          <w:rStyle w:val="DefaultParagraphFont"/>
        </w:rPr>
        <w:t xml:space="preserve">nd Award </w:t>
      </w:r>
      <w:r>
        <w:rPr>
          <w:rStyle w:val="DefaultParagraphFont"/>
        </w:rPr>
        <w:t>o</w:t>
      </w:r>
      <w:r w:rsidRPr="00D2241C">
        <w:rPr>
          <w:rStyle w:val="DefaultParagraphFont"/>
        </w:rPr>
        <w:t>f Transmission</w:t>
      </w:r>
      <w:r>
        <w:rPr>
          <w:rStyle w:val="DefaultParagraphFont"/>
        </w:rPr>
        <w:t xml:space="preserve"> Congestion Contracts ("TCCs")</w:t>
      </w:r>
      <w:bookmarkEnd w:id="9"/>
    </w:p>
    <w:p w:rsidR="0067020E" w:rsidP="000F7880">
      <w:pPr>
        <w:pStyle w:val="Normal0"/>
        <w:tabs>
          <w:tab w:val="left" w:pos="1440"/>
        </w:tabs>
        <w:jc w:val="center"/>
        <w:rPr>
          <w:rStyle w:val="DefaultParagraphFont"/>
        </w:rPr>
        <w:sectPr w:rsidSect="00513BAE">
          <w:headerReference w:type="even" r:id="rId11"/>
          <w:headerReference w:type="default" r:id="rId12"/>
          <w:footerReference w:type="even" r:id="rId13"/>
          <w:footerReference w:type="default" r:id="rId14"/>
          <w:headerReference w:type="first" r:id="rId15"/>
          <w:footerReference w:type="first" r:id="rId16"/>
          <w:type w:val="nextPage"/>
          <w:pgSz w:w="12240" w:h="15840" w:code="1"/>
          <w:pgMar w:top="1440" w:right="1440" w:bottom="1440" w:left="1440" w:header="720" w:footer="720" w:gutter="0"/>
          <w:cols w:space="720"/>
        </w:sectPr>
      </w:pPr>
    </w:p>
    <w:p w:rsidR="00EF5393">
      <w:pPr>
        <w:pStyle w:val="Heading20"/>
        <w:rPr>
          <w:rStyle w:val="DefaultParagraphFont"/>
        </w:rPr>
      </w:pPr>
      <w:bookmarkStart w:id="11" w:name="_Toc263333552"/>
      <w:bookmarkStart w:id="12" w:name="_GoBack_1"/>
      <w:bookmarkEnd w:id="12"/>
      <w:r>
        <w:rPr>
          <w:rStyle w:val="DefaultParagraphFont"/>
        </w:rPr>
        <w:t>19.1</w:t>
      </w:r>
      <w:r>
        <w:rPr>
          <w:rStyle w:val="DefaultParagraphFont"/>
        </w:rPr>
        <w:tab/>
        <w:t>Overview of the Sales of TCCs</w:t>
      </w:r>
      <w:bookmarkEnd w:id="11"/>
    </w:p>
    <w:p w:rsidR="00EF5393">
      <w:pPr>
        <w:pStyle w:val="Bodypara"/>
        <w:rPr>
          <w:rStyle w:val="DefaultParagraphFont"/>
        </w:rPr>
      </w:pPr>
      <w:r w:rsidRPr="006207DB">
        <w:rPr>
          <w:rStyle w:val="DefaultParagraphFont"/>
        </w:rPr>
        <w:t>TCCs will be made available through: (i) the Centralized TCC Auction  and Reconfiguration Auction, which will be conducted by the ISO; (ii) Direct Sales by the Transmission Owners, which will be non-discriminatory, auditable sales conducted solely on the O</w:t>
      </w:r>
      <w:r w:rsidRPr="006207DB">
        <w:rPr>
          <w:rStyle w:val="DefaultParagraphFont"/>
        </w:rPr>
        <w:t xml:space="preserve">ASIS in compliance with the applicable requirements and restrictions set forth in Order No. 889 </w:t>
      </w:r>
      <w:r w:rsidRPr="006207DB">
        <w:rPr>
          <w:rStyle w:val="DefaultParagraphFont"/>
          <w:u w:val="single"/>
        </w:rPr>
        <w:t>et</w:t>
      </w:r>
      <w:r w:rsidRPr="006207DB">
        <w:rPr>
          <w:rStyle w:val="DefaultParagraphFont"/>
        </w:rPr>
        <w:t xml:space="preserve"> </w:t>
      </w:r>
      <w:r w:rsidRPr="006207DB">
        <w:rPr>
          <w:rStyle w:val="DefaultParagraphFont"/>
          <w:u w:val="single"/>
        </w:rPr>
        <w:t>seq</w:t>
      </w:r>
      <w:r w:rsidRPr="006207DB">
        <w:rPr>
          <w:rStyle w:val="DefaultParagraphFont"/>
        </w:rPr>
        <w:t xml:space="preserve">.; </w:t>
      </w:r>
      <w:r w:rsidRPr="006207DB">
        <w:rPr>
          <w:rStyle w:val="DefaultParagraphFont"/>
          <w:bCs/>
        </w:rPr>
        <w:t xml:space="preserve">(iii) the conversion of transmission Capacity associated with certain Existing Transmission Agreements (“ETAs”) </w:t>
      </w:r>
      <w:r w:rsidRPr="006207DB">
        <w:rPr>
          <w:rStyle w:val="DefaultParagraphFont"/>
          <w:bCs/>
        </w:rPr>
        <w:t xml:space="preserve">to Historic Fixed Price TCCs </w:t>
      </w:r>
      <w:r w:rsidRPr="006207DB">
        <w:rPr>
          <w:rStyle w:val="DefaultParagraphFont"/>
          <w:bCs/>
        </w:rPr>
        <w:t>pursuant t</w:t>
      </w:r>
      <w:r w:rsidRPr="006207DB">
        <w:rPr>
          <w:rStyle w:val="DefaultParagraphFont"/>
          <w:bCs/>
        </w:rPr>
        <w:t xml:space="preserve">o Section </w:t>
      </w:r>
      <w:r w:rsidRPr="006207DB">
        <w:rPr>
          <w:rStyle w:val="DefaultParagraphFont"/>
        </w:rPr>
        <w:t>19.</w:t>
      </w:r>
      <w:r w:rsidRPr="006207DB">
        <w:rPr>
          <w:rStyle w:val="DefaultParagraphFont"/>
          <w:bCs/>
        </w:rPr>
        <w:t>2.1 of this Attachment M</w:t>
      </w:r>
      <w:r w:rsidRPr="006207DB">
        <w:rPr>
          <w:rStyle w:val="DefaultParagraphFont"/>
          <w:bCs/>
        </w:rPr>
        <w:t xml:space="preserve"> (including extensions of Historic Fixed Price TCCs </w:t>
      </w:r>
      <w:r w:rsidRPr="006207DB">
        <w:rPr>
          <w:rStyle w:val="DefaultParagraphFont"/>
          <w:bCs/>
        </w:rPr>
        <w:t xml:space="preserve">awarded </w:t>
      </w:r>
      <w:r w:rsidRPr="006207DB">
        <w:rPr>
          <w:rStyle w:val="DefaultParagraphFont"/>
          <w:bCs/>
        </w:rPr>
        <w:t xml:space="preserve">pursuant to Section 19.2.1.4 of </w:t>
      </w:r>
      <w:r w:rsidRPr="006207DB">
        <w:rPr>
          <w:rStyle w:val="DefaultParagraphFont"/>
          <w:bCs/>
        </w:rPr>
        <w:t xml:space="preserve">this </w:t>
      </w:r>
      <w:r w:rsidRPr="006207DB">
        <w:rPr>
          <w:rStyle w:val="DefaultParagraphFont"/>
          <w:bCs/>
        </w:rPr>
        <w:t>Attachment M)</w:t>
      </w:r>
      <w:r w:rsidRPr="006207DB">
        <w:rPr>
          <w:rStyle w:val="DefaultParagraphFont"/>
          <w:bCs/>
        </w:rPr>
        <w:t>; (iv) the award of  Non-Historic Fixed Price TCCs pursuant to Section 19.2.</w:t>
      </w:r>
      <w:r w:rsidRPr="006207DB">
        <w:rPr>
          <w:rStyle w:val="DefaultParagraphFont"/>
          <w:bCs/>
        </w:rPr>
        <w:t>2</w:t>
      </w:r>
      <w:r w:rsidRPr="006207DB">
        <w:rPr>
          <w:rStyle w:val="DefaultParagraphFont"/>
          <w:bCs/>
        </w:rPr>
        <w:t xml:space="preserve"> of this Attachment M; (v) the a</w:t>
      </w:r>
      <w:r w:rsidRPr="006207DB">
        <w:rPr>
          <w:rStyle w:val="DefaultParagraphFont"/>
          <w:bCs/>
        </w:rPr>
        <w:t>ward of Incremental TCCs pursuant to Section 19.2.4 of this Attachment M; (vi) the conversion of ETCNL into ETCNL TCCs; and (vii) the conversion of RCRRs into RCRR TCCs.  TCCs may also be available through resale on the Secondary Markets.  Prior to the fir</w:t>
      </w:r>
      <w:r w:rsidRPr="006207DB">
        <w:rPr>
          <w:rStyle w:val="DefaultParagraphFont"/>
          <w:bCs/>
        </w:rPr>
        <w:t>st Centralized TCC Auction, the NYISO distributed to Transmission Owners Original Residual TCCs, the NYISO designated certain transmission Capacity as ETCNL, and some Transmission Owners converted their Grandfathered Rights into Grandfathered TCCs.</w:t>
      </w:r>
      <w:r>
        <w:rPr>
          <w:rStyle w:val="DefaultParagraphFont"/>
          <w:bCs/>
        </w:rPr>
        <w:t xml:space="preserve"> </w:t>
      </w:r>
    </w:p>
    <w:p w:rsidR="00EF5393">
      <w:pPr>
        <w:pStyle w:val="Heading30"/>
        <w:rPr>
          <w:rStyle w:val="DefaultParagraphFont"/>
        </w:rPr>
      </w:pPr>
      <w:bookmarkStart w:id="13" w:name="_Toc263333553"/>
      <w:r>
        <w:rPr>
          <w:rStyle w:val="DefaultParagraphFont"/>
        </w:rPr>
        <w:t>19.1.1</w:t>
      </w:r>
      <w:r>
        <w:rPr>
          <w:rStyle w:val="DefaultParagraphFont"/>
        </w:rPr>
        <w:tab/>
        <w:t>Preservation of Tax-Exempt Financing</w:t>
      </w:r>
      <w:bookmarkEnd w:id="13"/>
    </w:p>
    <w:p w:rsidR="00EF5393">
      <w:pPr>
        <w:pStyle w:val="Bodypara"/>
        <w:rPr>
          <w:rStyle w:val="DefaultParagraphFont"/>
          <w:b/>
        </w:rPr>
        <w:sectPr>
          <w:headerReference w:type="even" r:id="rId17"/>
          <w:headerReference w:type="default" r:id="rId18"/>
          <w:footerReference w:type="even" r:id="rId19"/>
          <w:footerReference w:type="default" r:id="rId20"/>
          <w:headerReference w:type="first" r:id="rId21"/>
          <w:footerReference w:type="first" r:id="rId22"/>
          <w:type w:val="nextPage"/>
          <w:pgSz w:w="12240" w:h="15840" w:code="1"/>
          <w:pgMar w:top="1440" w:right="1440" w:bottom="1440" w:left="1440" w:header="720" w:footer="720" w:gutter="0"/>
          <w:cols w:space="720"/>
        </w:sectPr>
      </w:pPr>
      <w:r>
        <w:rPr>
          <w:rStyle w:val="DefaultParagraphFont"/>
        </w:rPr>
        <w:t>Notwithstanding</w:t>
      </w:r>
      <w:r>
        <w:rPr>
          <w:rStyle w:val="DefaultParagraphFont"/>
          <w:bCs/>
        </w:rPr>
        <w:t xml:space="preserve"> any other provision of this Attachment M, neither the ISO nor the Transmission Owners shall be required to grant, or allow the use of, transmission rights that would jeopardize the tax-exempt status of </w:t>
      </w:r>
      <w:r>
        <w:rPr>
          <w:rStyle w:val="DefaultParagraphFont"/>
          <w:bCs/>
        </w:rPr>
        <w:t>any Local Furnishing Bond(s), Government Bonds, LIPA Tax-Exempt Bonds or any other tax-exempt debt obligations, or impair the ability of a Transmission Owner to issue future tax-exempt obligations.</w:t>
      </w:r>
      <w:r>
        <w:rPr>
          <w:rStyle w:val="DefaultParagraphFont"/>
          <w:bCs/>
        </w:rPr>
        <w:t xml:space="preserve">  </w:t>
      </w:r>
      <w:r w:rsidRPr="008247E2">
        <w:rPr>
          <w:rStyle w:val="DefaultParagraphFont"/>
        </w:rPr>
        <w:t>Tran</w:t>
      </w:r>
      <w:r>
        <w:rPr>
          <w:rStyle w:val="DefaultParagraphFont"/>
        </w:rPr>
        <w:t>s</w:t>
      </w:r>
      <w:r w:rsidRPr="008247E2">
        <w:rPr>
          <w:rStyle w:val="DefaultParagraphFont"/>
        </w:rPr>
        <w:t>m</w:t>
      </w:r>
      <w:r>
        <w:rPr>
          <w:rStyle w:val="DefaultParagraphFont"/>
        </w:rPr>
        <w:t>i</w:t>
      </w:r>
      <w:r w:rsidRPr="008247E2">
        <w:rPr>
          <w:rStyle w:val="DefaultParagraphFont"/>
        </w:rPr>
        <w:t xml:space="preserve">ssion Owners advising the ISO </w:t>
      </w:r>
      <w:r>
        <w:rPr>
          <w:rStyle w:val="DefaultParagraphFont"/>
        </w:rPr>
        <w:t>that the granting or</w:t>
      </w:r>
      <w:r>
        <w:rPr>
          <w:rStyle w:val="DefaultParagraphFont"/>
        </w:rPr>
        <w:t xml:space="preserve"> use of transmission rights would jeopardize the tax-exempt status </w:t>
      </w:r>
      <w:r w:rsidRPr="00EE5817">
        <w:rPr>
          <w:rStyle w:val="DefaultParagraphFont"/>
          <w:bCs/>
        </w:rPr>
        <w:t xml:space="preserve">of any </w:t>
      </w:r>
      <w:r w:rsidRPr="00EE5817">
        <w:rPr>
          <w:rStyle w:val="DefaultParagraphFont"/>
          <w:bCs/>
        </w:rPr>
        <w:t>Local Furnishing Bond(s), Government Bonds, LIPA Tax-Exempt Bonds or any other tax-exempt debt obligations, or impair the ability of a Transmission Owner to issue future tax-exempt o</w:t>
      </w:r>
      <w:r w:rsidRPr="00EE5817">
        <w:rPr>
          <w:rStyle w:val="DefaultParagraphFont"/>
          <w:bCs/>
        </w:rPr>
        <w:t>bligations</w:t>
      </w:r>
      <w:r>
        <w:rPr>
          <w:rStyle w:val="DefaultParagraphFont"/>
          <w:bCs/>
        </w:rPr>
        <w:t>, shall advise the ISO of the duration of transmission rights that are unavailable pursuant to this section 19.1.1.</w:t>
      </w:r>
      <w:r w:rsidRPr="000722CB">
        <w:rPr>
          <w:rStyle w:val="DefaultParagraphFont"/>
          <w:bCs/>
        </w:rPr>
        <w:t xml:space="preserve"> </w:t>
      </w:r>
      <w:r>
        <w:rPr>
          <w:rStyle w:val="DefaultParagraphFont"/>
          <w:bCs/>
        </w:rPr>
        <w:t>and shall indicate whether transmission rights with a duration of one month are available or not available pursuant to this sectio</w:t>
      </w:r>
      <w:r>
        <w:rPr>
          <w:rStyle w:val="DefaultParagraphFont"/>
          <w:bCs/>
        </w:rPr>
        <w:t>n 19.1.1.</w:t>
      </w:r>
      <w:r>
        <w:rPr>
          <w:rStyle w:val="DefaultParagraphFont"/>
          <w:b/>
          <w:strike/>
        </w:rPr>
        <w:t xml:space="preserve">  </w:t>
      </w:r>
    </w:p>
    <w:p w:rsidR="008752D9" w:rsidRPr="004C0E53">
      <w:pPr>
        <w:pStyle w:val="Heading21"/>
        <w:rPr>
          <w:rStyle w:val="DefaultParagraphFont"/>
        </w:rPr>
      </w:pPr>
      <w:bookmarkStart w:id="14" w:name="_Toc263333554"/>
      <w:bookmarkStart w:id="15" w:name="_GoBack_2"/>
      <w:bookmarkEnd w:id="15"/>
      <w:r w:rsidRPr="004C0E53">
        <w:rPr>
          <w:rStyle w:val="DefaultParagraphFont"/>
        </w:rPr>
        <w:t>19.2</w:t>
      </w:r>
      <w:r w:rsidRPr="004C0E53">
        <w:rPr>
          <w:rStyle w:val="DefaultParagraphFont"/>
        </w:rPr>
        <w:tab/>
        <w:t>Award of TCCs Other Than Through TCC Auctions: Fixed Price TCCs and Incremental TCCs</w:t>
      </w:r>
      <w:bookmarkEnd w:id="14"/>
    </w:p>
    <w:p w:rsidR="008752D9" w:rsidRPr="004C0E53">
      <w:pPr>
        <w:pStyle w:val="Heading31"/>
        <w:rPr>
          <w:rStyle w:val="DefaultParagraphFont"/>
        </w:rPr>
      </w:pPr>
      <w:bookmarkStart w:id="16" w:name="_Toc263333555"/>
      <w:r w:rsidRPr="004C0E53">
        <w:rPr>
          <w:rStyle w:val="DefaultParagraphFont"/>
        </w:rPr>
        <w:t>19.2.1</w:t>
      </w:r>
      <w:r w:rsidRPr="004C0E53">
        <w:rPr>
          <w:rStyle w:val="DefaultParagraphFont"/>
        </w:rPr>
        <w:tab/>
        <w:t>Converting Transmission Capacity Associated with Expired, Terminated, or Expiring ETAs Into Historic Fixed Price TCCs</w:t>
      </w:r>
      <w:bookmarkEnd w:id="16"/>
      <w:r w:rsidRPr="004C0E53">
        <w:rPr>
          <w:rStyle w:val="DefaultParagraphFont"/>
        </w:rPr>
        <w:t xml:space="preserve"> </w:t>
      </w:r>
    </w:p>
    <w:p w:rsidR="008752D9" w:rsidRPr="004C0E53">
      <w:pPr>
        <w:pStyle w:val="Bodypara0"/>
        <w:rPr>
          <w:rStyle w:val="DefaultParagraphFont"/>
        </w:rPr>
      </w:pPr>
      <w:r w:rsidRPr="004C0E53">
        <w:rPr>
          <w:rStyle w:val="DefaultParagraphFont"/>
        </w:rPr>
        <w:t>As each ETA in effect on November 19, 1999 that was listed in Table 1A of Attachment L to this OATT (as it may be amended), and that conferred transmission rights on an LSE, expires or terminates, the transmission Capacity associated with it may be used to</w:t>
      </w:r>
      <w:r w:rsidRPr="004C0E53">
        <w:rPr>
          <w:rStyle w:val="DefaultParagraphFont"/>
        </w:rPr>
        <w:t xml:space="preserve"> create Historic </w:t>
      </w:r>
      <w:r w:rsidRPr="00035DCE">
        <w:rPr>
          <w:rStyle w:val="DefaultParagraphFont"/>
        </w:rPr>
        <w:t>Fixed Price TCCs, pursuant to Section 19.2.1 of this Attachment M</w:t>
      </w:r>
      <w:r w:rsidRPr="00035DCE">
        <w:rPr>
          <w:rStyle w:val="DefaultParagraphFont"/>
        </w:rPr>
        <w:t xml:space="preserve"> (including extensions of Historic Fixed Price TCCs </w:t>
      </w:r>
      <w:r w:rsidRPr="00035DCE">
        <w:rPr>
          <w:rStyle w:val="DefaultParagraphFont"/>
        </w:rPr>
        <w:t xml:space="preserve">awarded </w:t>
      </w:r>
      <w:r w:rsidRPr="00035DCE">
        <w:rPr>
          <w:rStyle w:val="DefaultParagraphFont"/>
        </w:rPr>
        <w:t xml:space="preserve">pursuant to Section 19.2.1.4 of </w:t>
      </w:r>
      <w:r w:rsidRPr="00035DCE">
        <w:rPr>
          <w:rStyle w:val="DefaultParagraphFont"/>
        </w:rPr>
        <w:t>this Attachment M</w:t>
      </w:r>
      <w:r w:rsidRPr="00035DCE">
        <w:rPr>
          <w:rStyle w:val="DefaultParagraphFont"/>
        </w:rPr>
        <w:t>)</w:t>
      </w:r>
      <w:r w:rsidRPr="00035DCE">
        <w:rPr>
          <w:rStyle w:val="DefaultParagraphFont"/>
        </w:rPr>
        <w:t>.  When any other ETA terminates, the Grandfathered Rights or Gr</w:t>
      </w:r>
      <w:r w:rsidRPr="00035DCE">
        <w:rPr>
          <w:rStyle w:val="DefaultParagraphFont"/>
        </w:rPr>
        <w:t xml:space="preserve">andfathered TCCs associated with it shall be converted into Residual Transmission Capacity.  The revenues associated with the sale or conversion of TCCs created from capacity associated with expired or terminated ETAs </w:t>
      </w:r>
      <w:r w:rsidRPr="00035DCE">
        <w:rPr>
          <w:rStyle w:val="DefaultParagraphFont"/>
        </w:rPr>
        <w:t>(including revenues from extensions of</w:t>
      </w:r>
      <w:r w:rsidRPr="00035DCE">
        <w:rPr>
          <w:rStyle w:val="DefaultParagraphFont"/>
        </w:rPr>
        <w:t xml:space="preserve"> Historic Fixed Price TCCs </w:t>
      </w:r>
      <w:r w:rsidRPr="00035DCE">
        <w:rPr>
          <w:rStyle w:val="DefaultParagraphFont"/>
        </w:rPr>
        <w:t xml:space="preserve">awarded </w:t>
      </w:r>
      <w:r w:rsidRPr="00035DCE">
        <w:rPr>
          <w:rStyle w:val="DefaultParagraphFont"/>
        </w:rPr>
        <w:t xml:space="preserve">pursuant to Section 19.2.1.4 of </w:t>
      </w:r>
      <w:r w:rsidRPr="00035DCE">
        <w:rPr>
          <w:rStyle w:val="DefaultParagraphFont"/>
        </w:rPr>
        <w:t>this Attachment M</w:t>
      </w:r>
      <w:r w:rsidRPr="00035DCE">
        <w:rPr>
          <w:rStyle w:val="DefaultParagraphFont"/>
        </w:rPr>
        <w:t xml:space="preserve">) </w:t>
      </w:r>
      <w:r w:rsidRPr="00035DCE">
        <w:rPr>
          <w:rStyle w:val="DefaultParagraphFont"/>
        </w:rPr>
        <w:t>shall be allocated among</w:t>
      </w:r>
      <w:r w:rsidRPr="004C0E53">
        <w:rPr>
          <w:rStyle w:val="DefaultParagraphFont"/>
        </w:rPr>
        <w:t xml:space="preserve"> the Transmission Owners as described in Attachment N.  All references to “ETAs listed in Table 1A of Attachment L” in this Attachment M shall enc</w:t>
      </w:r>
      <w:r w:rsidRPr="004C0E53">
        <w:rPr>
          <w:rStyle w:val="DefaultParagraphFont"/>
        </w:rPr>
        <w:t>ompass both those agreements that were previously converted into Grandfathered TCCs and those that were not.</w:t>
      </w:r>
    </w:p>
    <w:p w:rsidR="008752D9" w:rsidRPr="004C0E53">
      <w:pPr>
        <w:pStyle w:val="Bodypara0"/>
        <w:rPr>
          <w:rStyle w:val="DefaultParagraphFont"/>
        </w:rPr>
      </w:pPr>
      <w:bookmarkStart w:id="17" w:name="_DV_C96"/>
      <w:bookmarkStart w:id="18" w:name="OLE_LINK1"/>
      <w:r w:rsidRPr="004C0E53">
        <w:rPr>
          <w:rStyle w:val="DefaultParagraphFont"/>
        </w:rPr>
        <w:t xml:space="preserve">The ISO shall follow the procedures set forth in this Section 19.2.1 prior to the implementation of the End-State Auction process. </w:t>
      </w:r>
      <w:bookmarkEnd w:id="17"/>
      <w:bookmarkEnd w:id="18"/>
      <w:r w:rsidRPr="004C0E53">
        <w:rPr>
          <w:rStyle w:val="DefaultParagraphFont"/>
        </w:rPr>
        <w:t xml:space="preserve"> </w:t>
      </w:r>
      <w:bookmarkStart w:id="19" w:name="OLE_LINK13"/>
      <w:r w:rsidRPr="004C0E53">
        <w:rPr>
          <w:rStyle w:val="DefaultParagraphFont"/>
        </w:rPr>
        <w:t>For purposes of</w:t>
      </w:r>
      <w:r w:rsidRPr="004C0E53">
        <w:rPr>
          <w:rStyle w:val="DefaultParagraphFont"/>
        </w:rPr>
        <w:t xml:space="preserve"> this Section 19.2.1, references to “expired” ETAs shall include ETAs that have been terminated.  When determining the Points of Injection, Points of Withdrawal, and MW quantities associated with ETAs listed in Table 1A in effect on November 19, 1999, the </w:t>
      </w:r>
      <w:r w:rsidRPr="004C0E53">
        <w:rPr>
          <w:rStyle w:val="DefaultParagraphFont"/>
        </w:rPr>
        <w:t>ISO shall look to Attachment L of this OATT, as it may be amended, at the time of the conversion.</w:t>
      </w:r>
      <w:bookmarkEnd w:id="19"/>
      <w:r w:rsidRPr="004C0E53">
        <w:rPr>
          <w:rStyle w:val="DefaultParagraphFont"/>
        </w:rPr>
        <w:t xml:space="preserve"> </w:t>
      </w:r>
    </w:p>
    <w:p w:rsidR="008752D9" w:rsidRPr="004C0E53">
      <w:pPr>
        <w:pStyle w:val="Heading40"/>
        <w:rPr>
          <w:rStyle w:val="DefaultParagraphFont"/>
        </w:rPr>
      </w:pPr>
      <w:bookmarkStart w:id="20" w:name="_Toc263333556"/>
      <w:bookmarkStart w:id="21" w:name="_DV_C98"/>
      <w:r w:rsidRPr="004C0E53">
        <w:rPr>
          <w:rStyle w:val="DefaultParagraphFont"/>
        </w:rPr>
        <w:t>19.2.1.1</w:t>
      </w:r>
      <w:r w:rsidRPr="004C0E53">
        <w:rPr>
          <w:rStyle w:val="DefaultParagraphFont"/>
        </w:rPr>
        <w:tab/>
        <w:t>Conversion Rules</w:t>
      </w:r>
      <w:bookmarkEnd w:id="20"/>
    </w:p>
    <w:p w:rsidR="008752D9" w:rsidRPr="004C0E53">
      <w:pPr>
        <w:pStyle w:val="Bodypara0"/>
        <w:rPr>
          <w:rStyle w:val="DefaultParagraphFont"/>
        </w:rPr>
      </w:pPr>
      <w:r w:rsidRPr="004C0E53">
        <w:rPr>
          <w:rStyle w:val="DefaultParagraphFont"/>
          <w:bCs/>
        </w:rPr>
        <w:t xml:space="preserve">Any LSE that had </w:t>
      </w:r>
      <w:r w:rsidRPr="004C0E53">
        <w:rPr>
          <w:rStyle w:val="DefaultParagraphFont"/>
        </w:rPr>
        <w:t>transmission</w:t>
      </w:r>
      <w:r w:rsidRPr="004C0E53">
        <w:rPr>
          <w:rStyle w:val="DefaultParagraphFont"/>
          <w:bCs/>
        </w:rPr>
        <w:t xml:space="preserve"> rights under an ETA </w:t>
      </w:r>
      <w:r w:rsidRPr="004C0E53">
        <w:rPr>
          <w:rStyle w:val="DefaultParagraphFont"/>
        </w:rPr>
        <w:t>in effect on November 19, 1999 t</w:t>
      </w:r>
      <w:r w:rsidRPr="004C0E53">
        <w:rPr>
          <w:rStyle w:val="DefaultParagraphFont"/>
          <w:bCs/>
        </w:rPr>
        <w:t xml:space="preserve">hat was listed in </w:t>
      </w:r>
      <w:r w:rsidRPr="004C0E53">
        <w:rPr>
          <w:rStyle w:val="DefaultParagraphFont"/>
        </w:rPr>
        <w:t xml:space="preserve">Table </w:t>
      </w:r>
      <w:r w:rsidRPr="004C0E53">
        <w:rPr>
          <w:rStyle w:val="DefaultParagraphFont"/>
          <w:bCs/>
        </w:rPr>
        <w:t>1A of Attachment L to thi</w:t>
      </w:r>
      <w:r w:rsidRPr="004C0E53">
        <w:rPr>
          <w:rStyle w:val="DefaultParagraphFont"/>
          <w:bCs/>
        </w:rPr>
        <w:t xml:space="preserve">s </w:t>
      </w:r>
      <w:r w:rsidRPr="004C0E53">
        <w:rPr>
          <w:rStyle w:val="DefaultParagraphFont"/>
        </w:rPr>
        <w:t>OATT (as it may be amended), but</w:t>
      </w:r>
      <w:r w:rsidRPr="004C0E53">
        <w:rPr>
          <w:rStyle w:val="DefaultParagraphFont"/>
          <w:bCs/>
        </w:rPr>
        <w:t xml:space="preserve"> has since expired, shall have a right to </w:t>
      </w:r>
      <w:r w:rsidRPr="004C0E53">
        <w:rPr>
          <w:rStyle w:val="DefaultParagraphFont"/>
        </w:rPr>
        <w:t xml:space="preserve">obtain Historic Fixed Price </w:t>
      </w:r>
      <w:r w:rsidRPr="004C0E53">
        <w:rPr>
          <w:rStyle w:val="DefaultParagraphFont"/>
          <w:bCs/>
        </w:rPr>
        <w:t xml:space="preserve">TCCs with the same Point of Injection and Point of Withdrawal </w:t>
      </w:r>
      <w:r w:rsidRPr="004C0E53">
        <w:rPr>
          <w:rStyle w:val="DefaultParagraphFont"/>
        </w:rPr>
        <w:t xml:space="preserve">associated with that ETA.  </w:t>
      </w:r>
    </w:p>
    <w:p w:rsidR="008752D9" w:rsidRPr="004C0E53">
      <w:pPr>
        <w:pStyle w:val="Bodypara0"/>
        <w:rPr>
          <w:rStyle w:val="DefaultParagraphFont"/>
          <w:bCs/>
        </w:rPr>
      </w:pPr>
      <w:r w:rsidRPr="004C0E53">
        <w:rPr>
          <w:rStyle w:val="DefaultParagraphFont"/>
        </w:rPr>
        <w:t>Any LSE that currently has transmission rights under an ETA in</w:t>
      </w:r>
      <w:r w:rsidRPr="004C0E53">
        <w:rPr>
          <w:rStyle w:val="DefaultParagraphFont"/>
        </w:rPr>
        <w:t xml:space="preserve"> effect on November 19, 1999 that was </w:t>
      </w:r>
      <w:bookmarkEnd w:id="21"/>
      <w:r w:rsidRPr="004C0E53">
        <w:rPr>
          <w:rStyle w:val="DefaultParagraphFont"/>
          <w:bCs/>
        </w:rPr>
        <w:t>listed on Table 1A of Attachment L of the OATT (as it may be amended) but has not yet expired, shall likewise have a right to obtain Historic Fixed Price TCCs with the same Point of Injection and Point of Withdrawal as</w:t>
      </w:r>
      <w:r w:rsidRPr="004C0E53">
        <w:rPr>
          <w:rStyle w:val="DefaultParagraphFont"/>
          <w:bCs/>
        </w:rPr>
        <w:t xml:space="preserve"> that ETA after its expiration.</w:t>
      </w:r>
    </w:p>
    <w:p w:rsidR="008752D9" w:rsidRPr="004C0E53">
      <w:pPr>
        <w:pStyle w:val="Bodypara0"/>
        <w:rPr>
          <w:rStyle w:val="DefaultParagraphFont"/>
        </w:rPr>
      </w:pPr>
      <w:r w:rsidRPr="004C0E53">
        <w:rPr>
          <w:rStyle w:val="DefaultParagraphFont"/>
        </w:rPr>
        <w:t>LSEs that are eligible to obtain Historic Fixed Price TCCs shall be able to obtain them for a total duration of up to ten years, except as provided in the following paragraph</w:t>
      </w:r>
      <w:r>
        <w:rPr>
          <w:rStyle w:val="DefaultParagraphFont"/>
        </w:rPr>
        <w:t xml:space="preserve">; provided, however that </w:t>
      </w:r>
      <w:r w:rsidRPr="009F0B22">
        <w:rPr>
          <w:rStyle w:val="DefaultParagraphFont"/>
        </w:rPr>
        <w:t xml:space="preserve">LSEs </w:t>
      </w:r>
      <w:r>
        <w:rPr>
          <w:rStyle w:val="DefaultParagraphFont"/>
        </w:rPr>
        <w:t>that obtain Historic</w:t>
      </w:r>
      <w:r>
        <w:rPr>
          <w:rStyle w:val="DefaultParagraphFont"/>
        </w:rPr>
        <w:t xml:space="preserve"> Fixed Price TCCs </w:t>
      </w:r>
      <w:r w:rsidRPr="001B6B7C">
        <w:rPr>
          <w:rStyle w:val="DefaultParagraphFont"/>
        </w:rPr>
        <w:t>may</w:t>
      </w:r>
      <w:r>
        <w:rPr>
          <w:rStyle w:val="DefaultParagraphFont"/>
        </w:rPr>
        <w:t xml:space="preserve"> </w:t>
      </w:r>
      <w:r w:rsidRPr="009F0B22">
        <w:rPr>
          <w:rStyle w:val="DefaultParagraphFont"/>
        </w:rPr>
        <w:t xml:space="preserve">be eligible to </w:t>
      </w:r>
      <w:r>
        <w:rPr>
          <w:rStyle w:val="DefaultParagraphFont"/>
        </w:rPr>
        <w:t xml:space="preserve">purchase extensions of their </w:t>
      </w:r>
      <w:r w:rsidRPr="009F0B22">
        <w:rPr>
          <w:rStyle w:val="DefaultParagraphFont"/>
        </w:rPr>
        <w:t xml:space="preserve">Historic Fixed Price TCCs </w:t>
      </w:r>
      <w:r>
        <w:rPr>
          <w:rStyle w:val="DefaultParagraphFont"/>
        </w:rPr>
        <w:t xml:space="preserve">pursuant to </w:t>
      </w:r>
      <w:r w:rsidRPr="009F0B22">
        <w:rPr>
          <w:rStyle w:val="DefaultParagraphFont"/>
        </w:rPr>
        <w:t>Section 19.2.1.4</w:t>
      </w:r>
      <w:r>
        <w:rPr>
          <w:rStyle w:val="DefaultParagraphFont"/>
        </w:rPr>
        <w:t xml:space="preserve"> of this Attachment M</w:t>
      </w:r>
      <w:r w:rsidRPr="004C0E53">
        <w:rPr>
          <w:rStyle w:val="DefaultParagraphFont"/>
        </w:rPr>
        <w:t>.  The ISO shall offer eligible LSEs Historic Fixed Price TCCs with the same Points of Injection and Points of With</w:t>
      </w:r>
      <w:r w:rsidRPr="004C0E53">
        <w:rPr>
          <w:rStyle w:val="DefaultParagraphFont"/>
        </w:rPr>
        <w:t>drawal as shown on Table 1A of Attachment L, as it may be amended, associated with their expired or expiring ETAs and a duration of five or ten years (at the LSE’s option) at a price to be determined in accordance with Section 19.2.1.2 below.  Prior to the</w:t>
      </w:r>
      <w:r w:rsidRPr="004C0E53">
        <w:rPr>
          <w:rStyle w:val="DefaultParagraphFont"/>
        </w:rPr>
        <w:t xml:space="preserve"> expiration of Historic Fixed Price TCCs with a duration of five years that are created pursuant to the preceding sentence, the ISO shall offer those LSEs that hold such Historic Fixed Price TCCs an option to obtain new Historic Fixed Price TCCs with the s</w:t>
      </w:r>
      <w:r w:rsidRPr="004C0E53">
        <w:rPr>
          <w:rStyle w:val="DefaultParagraphFont"/>
        </w:rPr>
        <w:t>ame Points of Injection and Points of Withdrawal for one additional five-year term, effective upon the expiration of the original Historic Fixed Price TCCs’ five year term, at a new price calculated in accordance with Section 19.2.1.2 below.</w:t>
      </w:r>
    </w:p>
    <w:p w:rsidR="008752D9" w:rsidRPr="004C0E53">
      <w:pPr>
        <w:pStyle w:val="Bodypara0"/>
        <w:rPr>
          <w:rStyle w:val="DefaultParagraphFont"/>
        </w:rPr>
      </w:pPr>
      <w:r w:rsidRPr="004C0E53">
        <w:rPr>
          <w:rStyle w:val="DefaultParagraphFont"/>
        </w:rPr>
        <w:t>LSEs that cert</w:t>
      </w:r>
      <w:r w:rsidRPr="004C0E53">
        <w:rPr>
          <w:rStyle w:val="DefaultParagraphFont"/>
        </w:rPr>
        <w:t>ify to the ISO that they purchase Energy from the New York Power Authority (“NYPA”) under agreements that will expire in 2025 and that have ETAs listed on Table 1A to Attachment L, as it may be amended, that will expire in 2013, which they will use to hedg</w:t>
      </w:r>
      <w:r w:rsidRPr="004C0E53">
        <w:rPr>
          <w:rStyle w:val="DefaultParagraphFont"/>
        </w:rPr>
        <w:t>e the congestion costs associated with deliveries under their NYPA agreements, shall have the right to obtain Historic Fixed Price TCCs with the same Points of Injection and Points of Withdrawal as shown on Table 1A of Attachment L to the OATT, as it may b</w:t>
      </w:r>
      <w:r w:rsidRPr="004C0E53">
        <w:rPr>
          <w:rStyle w:val="DefaultParagraphFont"/>
        </w:rPr>
        <w:t>e amended, associated with the expiring ETA for a total duration of twelve years.  The ISO shall offer Historic Fixed Price TCCs with a duration of five years to LSEs that make the required certification (provided for in this paragraph) at a price to be de</w:t>
      </w:r>
      <w:r w:rsidRPr="004C0E53">
        <w:rPr>
          <w:rStyle w:val="DefaultParagraphFont"/>
        </w:rPr>
        <w:t>termined in accordance with Section 19.2.1.2 below.  Prior to, but effective upon, the expiration of those Historic  Fixed Price TCCs, the ISO shall offer the LSE an option to obtain new Historic Fixed Price TCCs with the same Points of Injection and Point</w:t>
      </w:r>
      <w:r w:rsidRPr="004C0E53">
        <w:rPr>
          <w:rStyle w:val="DefaultParagraphFont"/>
        </w:rPr>
        <w:t>s of Withdrawal for one additional seven-year term, effective upon the expiration of the original Historic Fixed Price TCCs, at a new price calculated in accordance with Section 19.2.1.2 below.</w:t>
      </w:r>
    </w:p>
    <w:p w:rsidR="008752D9" w:rsidRPr="004C0E53">
      <w:pPr>
        <w:pStyle w:val="Bodypara0"/>
        <w:rPr>
          <w:rStyle w:val="DefaultParagraphFont"/>
          <w:bCs/>
        </w:rPr>
      </w:pPr>
      <w:r w:rsidRPr="004C0E53">
        <w:rPr>
          <w:rStyle w:val="DefaultParagraphFont"/>
        </w:rPr>
        <w:t>To exercise this conversion right, an LSE must notify the ISO,</w:t>
      </w:r>
      <w:r w:rsidRPr="004C0E53">
        <w:rPr>
          <w:rStyle w:val="DefaultParagraphFont"/>
        </w:rPr>
        <w:t xml:space="preserve"> and the Transmission Owner that was (or is) a party to the ETA, in writing, of its decision to obtain Historic Fixed Price TCCs under this provision.  That notice must also specify the ETA’s expiration or termination date.  The LSE must provide this notic</w:t>
      </w:r>
      <w:r w:rsidRPr="004C0E53">
        <w:rPr>
          <w:rStyle w:val="DefaultParagraphFont"/>
        </w:rPr>
        <w:t>e prior to a deadline to be established by the ISO.  In the case of an ETA that has already expired or been terminated as of the effective date of this Section 19.2.1, or that will expire or be terminated prior to the end of the Winter 2008 Capability Peri</w:t>
      </w:r>
      <w:r w:rsidRPr="004C0E53">
        <w:rPr>
          <w:rStyle w:val="DefaultParagraphFont"/>
        </w:rPr>
        <w:t>od, the ISO shall set the deadline on a date prior to the beginning of the Autumn 2008 Centralized TCC Auction.  In the case of an ETA that will expire or terminate after the end of the 2008 Winter Capability Period, the ISO shall set the deadline on a dat</w:t>
      </w:r>
      <w:r w:rsidRPr="004C0E53">
        <w:rPr>
          <w:rStyle w:val="DefaultParagraphFont"/>
        </w:rPr>
        <w:t>e prior to the beginning of the Centralized TCC Auction for the Capability Period in which the ETA expires or terminates.  The specific deadlines shall be set forth in the ISO Procedures.</w:t>
      </w:r>
    </w:p>
    <w:p w:rsidR="008752D9" w:rsidRPr="004C0E53">
      <w:pPr>
        <w:pStyle w:val="Bodypara0"/>
        <w:rPr>
          <w:rStyle w:val="DefaultParagraphFont"/>
          <w:bCs/>
        </w:rPr>
      </w:pPr>
      <w:r w:rsidRPr="004C0E53">
        <w:rPr>
          <w:rStyle w:val="DefaultParagraphFont"/>
          <w:bCs/>
        </w:rPr>
        <w:t xml:space="preserve">When an LSE </w:t>
      </w:r>
      <w:r w:rsidRPr="004C0E53">
        <w:rPr>
          <w:rStyle w:val="DefaultParagraphFont"/>
        </w:rPr>
        <w:t>elects</w:t>
      </w:r>
      <w:r w:rsidRPr="004C0E53">
        <w:rPr>
          <w:rStyle w:val="DefaultParagraphFont"/>
          <w:bCs/>
        </w:rPr>
        <w:t xml:space="preserve"> to convert an ETA that: (i) has expired; (ii) is </w:t>
      </w:r>
      <w:r w:rsidRPr="004C0E53">
        <w:rPr>
          <w:rStyle w:val="DefaultParagraphFont"/>
          <w:bCs/>
        </w:rPr>
        <w:t xml:space="preserve">scheduled to expire, prior to November 1, 2008; or (iii) is scheduled to expire later but that is terminated before November 1, 2008, the term of the </w:t>
      </w:r>
      <w:r w:rsidRPr="004C0E53">
        <w:rPr>
          <w:rStyle w:val="DefaultParagraphFont"/>
        </w:rPr>
        <w:t>Historic</w:t>
      </w:r>
      <w:r w:rsidRPr="004C0E53">
        <w:rPr>
          <w:rStyle w:val="DefaultParagraphFont"/>
          <w:bCs/>
        </w:rPr>
        <w:t xml:space="preserve"> Fixed Price TCCs that LSE obtains shall begin on November 1, 2008.  When an LSE elects to convert</w:t>
      </w:r>
      <w:r w:rsidRPr="004C0E53">
        <w:rPr>
          <w:rStyle w:val="DefaultParagraphFont"/>
          <w:bCs/>
        </w:rPr>
        <w:t xml:space="preserve"> any other ETA it may choose to have the term of the </w:t>
      </w:r>
      <w:r w:rsidRPr="004C0E53">
        <w:rPr>
          <w:rStyle w:val="DefaultParagraphFont"/>
        </w:rPr>
        <w:t>Historic</w:t>
      </w:r>
      <w:r w:rsidRPr="004C0E53">
        <w:rPr>
          <w:rStyle w:val="DefaultParagraphFont"/>
          <w:bCs/>
        </w:rPr>
        <w:t xml:space="preserve"> Fixed Price TCCs that it obtains begin either on the day after the ETA’s expiration or termination, or at the start of the Capability Period following its expiration or termination.  If the LSE </w:t>
      </w:r>
      <w:r w:rsidRPr="004C0E53">
        <w:rPr>
          <w:rStyle w:val="DefaultParagraphFont"/>
          <w:bCs/>
        </w:rPr>
        <w:t xml:space="preserve">chooses the latter option, the ISO shall make the transmission Capacity associated with the expired ETA available to support the sale of TCCs in any Reconfiguration Auction(s) held </w:t>
      </w:r>
      <w:r w:rsidRPr="004C0E53">
        <w:rPr>
          <w:rStyle w:val="DefaultParagraphFont"/>
          <w:bCs/>
        </w:rPr>
        <w:t xml:space="preserve">for TCCs valid </w:t>
      </w:r>
      <w:r w:rsidRPr="004C0E53">
        <w:rPr>
          <w:rStyle w:val="DefaultParagraphFont"/>
          <w:bCs/>
        </w:rPr>
        <w:t>between the ETA’s expiration and the start of the next Capab</w:t>
      </w:r>
      <w:r w:rsidRPr="004C0E53">
        <w:rPr>
          <w:rStyle w:val="DefaultParagraphFont"/>
          <w:bCs/>
        </w:rPr>
        <w:t xml:space="preserve">ility Period.  Nothing in this Section </w:t>
      </w:r>
      <w:r w:rsidRPr="004C0E53">
        <w:rPr>
          <w:rStyle w:val="DefaultParagraphFont"/>
        </w:rPr>
        <w:t>19.</w:t>
      </w:r>
      <w:r w:rsidRPr="004C0E53">
        <w:rPr>
          <w:rStyle w:val="DefaultParagraphFont"/>
          <w:bCs/>
        </w:rPr>
        <w:t>2.1 shall be construed as authorizing the early termination of ETAs before their scheduled expiration dates or as excusing the parties to ETAs of their obligations thereunder.</w:t>
      </w:r>
      <w:bookmarkStart w:id="22" w:name="_DV_C101"/>
    </w:p>
    <w:p w:rsidR="008752D9" w:rsidRPr="004C0E53">
      <w:pPr>
        <w:pStyle w:val="Bodypara0"/>
        <w:rPr>
          <w:rStyle w:val="DefaultParagraphFont"/>
          <w:bCs/>
        </w:rPr>
      </w:pPr>
      <w:r w:rsidRPr="004C0E53">
        <w:rPr>
          <w:rStyle w:val="DefaultParagraphFont"/>
          <w:bCs/>
        </w:rPr>
        <w:t xml:space="preserve">An LSE that exercises its conversion rights under this Section </w:t>
      </w:r>
      <w:r w:rsidRPr="004C0E53">
        <w:rPr>
          <w:rStyle w:val="DefaultParagraphFont"/>
        </w:rPr>
        <w:t>19.</w:t>
      </w:r>
      <w:r w:rsidRPr="004C0E53">
        <w:rPr>
          <w:rStyle w:val="DefaultParagraphFont"/>
          <w:bCs/>
        </w:rPr>
        <w:t xml:space="preserve">2.1 may elect to receive a number of </w:t>
      </w:r>
      <w:r w:rsidRPr="004C0E53">
        <w:rPr>
          <w:rStyle w:val="DefaultParagraphFont"/>
        </w:rPr>
        <w:t>Historic</w:t>
      </w:r>
      <w:r w:rsidRPr="004C0E53">
        <w:rPr>
          <w:rStyle w:val="DefaultParagraphFont"/>
          <w:bCs/>
        </w:rPr>
        <w:t xml:space="preserve"> Fixed Price TCCs up to one hundred percent of the MW quantity specified for the ETA in Table 1A of Attachment L as it may be amended.  In the ca</w:t>
      </w:r>
      <w:r w:rsidRPr="004C0E53">
        <w:rPr>
          <w:rStyle w:val="DefaultParagraphFont"/>
          <w:bCs/>
        </w:rPr>
        <w:t xml:space="preserve">se of ETAs for which more than one MW quantity is listed in Attachment L, the LSE may elect to receive the higher quantity.  </w:t>
      </w:r>
    </w:p>
    <w:p w:rsidR="008752D9" w:rsidRPr="004C0E53">
      <w:pPr>
        <w:pStyle w:val="Bodypara0"/>
        <w:rPr>
          <w:rStyle w:val="DefaultParagraphFont"/>
          <w:bCs/>
        </w:rPr>
      </w:pPr>
      <w:r w:rsidRPr="004C0E53">
        <w:rPr>
          <w:rStyle w:val="DefaultParagraphFont"/>
        </w:rPr>
        <w:t>The LSE must submit a written certification to the ISO stating that it expects to: (i) be legally obligated to serve the Load that</w:t>
      </w:r>
      <w:r w:rsidRPr="004C0E53">
        <w:rPr>
          <w:rStyle w:val="DefaultParagraphFont"/>
        </w:rPr>
        <w:t xml:space="preserve"> it historically served under the ETA (or a portion of that Load at least equal to the number of Historic Fixed Price TCCs that it plans to obtain under this Section 19.2.1); and (ii) need the transmission Capacity between the Point of Injection and Point </w:t>
      </w:r>
      <w:r w:rsidRPr="004C0E53">
        <w:rPr>
          <w:rStyle w:val="DefaultParagraphFont"/>
        </w:rPr>
        <w:t xml:space="preserve">of Withdrawal specified in the ETA to serve that Load.  The LSE will not be allowed to obtain Historic Fixed Price TCCs under this Section to the extent that it cannot satisfy either or both of these requirements.  That is, the LSE’s conversion rights may </w:t>
      </w:r>
      <w:r w:rsidRPr="004C0E53">
        <w:rPr>
          <w:rStyle w:val="DefaultParagraphFont"/>
        </w:rPr>
        <w:t>be wholly or partially terminated to the extent that it anticipates losing all or part of the historic Load, or no longer needing all or part of the transmission Capacity associated with the expired ETA to serve it.  Additional information regarding the IS</w:t>
      </w:r>
      <w:r w:rsidRPr="004C0E53">
        <w:rPr>
          <w:rStyle w:val="DefaultParagraphFont"/>
        </w:rPr>
        <w:t>O's certification process shall be set forth in the ISO Procedures.</w:t>
      </w:r>
      <w:bookmarkEnd w:id="22"/>
    </w:p>
    <w:p w:rsidR="008752D9" w:rsidRPr="004C0E53">
      <w:pPr>
        <w:pStyle w:val="Bodypara0"/>
        <w:rPr>
          <w:rStyle w:val="DefaultParagraphFont"/>
          <w:bCs/>
        </w:rPr>
      </w:pPr>
      <w:r w:rsidRPr="004C0E53">
        <w:rPr>
          <w:rStyle w:val="DefaultParagraphFont"/>
          <w:bCs/>
        </w:rPr>
        <w:t xml:space="preserve">In addition, if the ISO concludes that an LSE’s requested conversion would make existing and valid TCCs infeasible, it will reduce the number of Historic Fixed Price TCCs that the LSE may </w:t>
      </w:r>
      <w:r w:rsidRPr="004C0E53">
        <w:rPr>
          <w:rStyle w:val="DefaultParagraphFont"/>
          <w:bCs/>
        </w:rPr>
        <w:t xml:space="preserve">obtain to the extent necessary to avoid the infeasibility.  The reduction procedure will use the same optimization model as the Centralized TCC Auctions, except that the expired or expiring transmission rights subject to conversion will not be represented </w:t>
      </w:r>
      <w:r w:rsidRPr="004C0E53">
        <w:rPr>
          <w:rStyle w:val="DefaultParagraphFont"/>
          <w:bCs/>
        </w:rPr>
        <w:t>as fixed injections and withdrawals but will be represented by a bid curve.  Additional details shall be specified in the ISO Procedures.</w:t>
      </w:r>
      <w:bookmarkStart w:id="23" w:name="_DV_C103"/>
    </w:p>
    <w:p w:rsidR="008752D9" w:rsidRPr="004C0E53" w:rsidP="00183520">
      <w:pPr>
        <w:pStyle w:val="subhead"/>
        <w:rPr>
          <w:rStyle w:val="DefaultParagraphFont"/>
        </w:rPr>
      </w:pPr>
      <w:bookmarkStart w:id="24" w:name="_Toc263333557"/>
      <w:r w:rsidRPr="004C0E53">
        <w:rPr>
          <w:rStyle w:val="DefaultParagraphFont"/>
        </w:rPr>
        <w:t xml:space="preserve">19.2.1.1.1 </w:t>
      </w:r>
      <w:r w:rsidRPr="004C0E53">
        <w:rPr>
          <w:rStyle w:val="DefaultParagraphFont"/>
        </w:rPr>
        <w:tab/>
        <w:t>Special Rules Applicable to LSEs That Were Eligible to Obtain Historic Fixed Price TCCs with a Duration Co</w:t>
      </w:r>
      <w:r w:rsidRPr="004C0E53">
        <w:rPr>
          <w:rStyle w:val="DefaultParagraphFont"/>
        </w:rPr>
        <w:t>mmencing on November 1, 2008</w:t>
      </w:r>
      <w:bookmarkEnd w:id="24"/>
    </w:p>
    <w:p w:rsidR="008752D9" w:rsidRPr="004C0E53">
      <w:pPr>
        <w:pStyle w:val="Bodypara0"/>
        <w:rPr>
          <w:rStyle w:val="DefaultParagraphFont"/>
        </w:rPr>
      </w:pPr>
      <w:r w:rsidRPr="004C0E53">
        <w:rPr>
          <w:rStyle w:val="DefaultParagraphFont"/>
        </w:rPr>
        <w:t>LSEs that obtained Historic Fixed Price TCCs with a duration of five years commencing on November 1, 2008 shall have a one-time opportunity to elect to replace those Historic Fixed Price TCCs, at no additional cost, with Histor</w:t>
      </w:r>
      <w:r w:rsidRPr="004C0E53">
        <w:rPr>
          <w:rStyle w:val="DefaultParagraphFont"/>
        </w:rPr>
        <w:t>ic Fixed Price TCCs with a duration of ten years.  The ten year duration shall be deemed to have commenced on November 1, 2008.  LSEs that elect to replace Historic Fixed Price TCCs under this paragraph shall not be eligible to obtain additional Historic F</w:t>
      </w:r>
      <w:r w:rsidRPr="004C0E53">
        <w:rPr>
          <w:rStyle w:val="DefaultParagraphFont"/>
        </w:rPr>
        <w:t>ixed Price TCCs for an additional five year term at the time that their replacement Historic Fixed Price TCCs expire.</w:t>
      </w:r>
    </w:p>
    <w:p w:rsidR="008752D9" w:rsidRPr="004C0E53">
      <w:pPr>
        <w:pStyle w:val="Bodypara0"/>
        <w:rPr>
          <w:rStyle w:val="DefaultParagraphFont"/>
        </w:rPr>
      </w:pPr>
      <w:r w:rsidRPr="004C0E53">
        <w:rPr>
          <w:rStyle w:val="DefaultParagraphFont"/>
        </w:rPr>
        <w:t>LSEs that were eligible to obtain Historic Fixed Price TCCs with a duration of five years commencing on November 1, 2008, but that opted n</w:t>
      </w:r>
      <w:r w:rsidRPr="004C0E53">
        <w:rPr>
          <w:rStyle w:val="DefaultParagraphFont"/>
        </w:rPr>
        <w:t xml:space="preserve">ot to obtain them, shall have a one-time opportunity to obtain Historic Fixed Price TCCs with a duration of ten years.  If an LSE makes this election the duration of the Historic Fixed Price TCCs that it obtains will commence at the beginning of a </w:t>
      </w:r>
      <w:bookmarkEnd w:id="23"/>
      <w:r w:rsidRPr="004C0E53">
        <w:rPr>
          <w:rStyle w:val="DefaultParagraphFont"/>
        </w:rPr>
        <w:t>subseque</w:t>
      </w:r>
      <w:r w:rsidRPr="004C0E53">
        <w:rPr>
          <w:rStyle w:val="DefaultParagraphFont"/>
        </w:rPr>
        <w:t>nt Capability Period, as specified in the ISO Procedures.  An LSE that elects to obtain Historic Fixed Price TCCs under this paragraph shall pay the same price that the ISO originally offered for the same Historic Fixed Price TCCs with a duration of five y</w:t>
      </w:r>
      <w:r w:rsidRPr="004C0E53">
        <w:rPr>
          <w:rStyle w:val="DefaultParagraphFont"/>
        </w:rPr>
        <w:t xml:space="preserve">ears, </w:t>
      </w:r>
      <w:r w:rsidRPr="004C0E53">
        <w:rPr>
          <w:rStyle w:val="DefaultParagraphFont"/>
          <w:i/>
        </w:rPr>
        <w:t>i.e.,</w:t>
      </w:r>
      <w:r w:rsidRPr="004C0E53">
        <w:rPr>
          <w:rStyle w:val="DefaultParagraphFont"/>
        </w:rPr>
        <w:t xml:space="preserve"> the price that the ISO calculated under Section 19.2.1.2 for Historic Fixed Price TCCs commencing on November 1, 2008 (including the original historic inflation adjustment) for the LSE in advance of the Autumn 2008 Centralized TCC Auction.</w:t>
      </w:r>
    </w:p>
    <w:p w:rsidR="008752D9" w:rsidRPr="004C0E53">
      <w:pPr>
        <w:pStyle w:val="Bodypara0"/>
        <w:rPr>
          <w:rStyle w:val="DefaultParagraphFont"/>
        </w:rPr>
      </w:pPr>
      <w:r w:rsidRPr="004C0E53">
        <w:rPr>
          <w:rStyle w:val="DefaultParagraphFont"/>
        </w:rPr>
        <w:t xml:space="preserve">All </w:t>
      </w:r>
      <w:r w:rsidRPr="004C0E53">
        <w:rPr>
          <w:rStyle w:val="DefaultParagraphFont"/>
        </w:rPr>
        <w:t xml:space="preserve">elections under this Section 19.2.1.1.1 shall be made during an election period specified in the ISO Procedures and shall be subject to all of the notification, certification, feasibility and other requirements established under Section 19.2.1 and the ISO </w:t>
      </w:r>
      <w:r w:rsidRPr="004C0E53">
        <w:rPr>
          <w:rStyle w:val="DefaultParagraphFont"/>
        </w:rPr>
        <w:t>Procedures.</w:t>
      </w:r>
    </w:p>
    <w:p w:rsidR="008752D9" w:rsidRPr="004C0E53">
      <w:pPr>
        <w:pStyle w:val="Heading40"/>
        <w:rPr>
          <w:rStyle w:val="DefaultParagraphFont"/>
        </w:rPr>
      </w:pPr>
      <w:bookmarkStart w:id="25" w:name="_Toc263333558"/>
      <w:r w:rsidRPr="004C0E53">
        <w:rPr>
          <w:rStyle w:val="DefaultParagraphFont"/>
        </w:rPr>
        <w:t>19.2.1.2</w:t>
      </w:r>
      <w:r w:rsidRPr="004C0E53">
        <w:rPr>
          <w:rStyle w:val="DefaultParagraphFont"/>
        </w:rPr>
        <w:tab/>
        <w:t>Calculating Prices for Historic Fixed Price TCCs</w:t>
      </w:r>
      <w:bookmarkStart w:id="26" w:name="_DV_C104"/>
      <w:bookmarkEnd w:id="25"/>
    </w:p>
    <w:p w:rsidR="008752D9" w:rsidRPr="004C0E53">
      <w:pPr>
        <w:pStyle w:val="Bodypara0"/>
        <w:rPr>
          <w:rStyle w:val="DefaultParagraphFont"/>
        </w:rPr>
      </w:pPr>
      <w:r w:rsidRPr="004C0E53">
        <w:rPr>
          <w:rStyle w:val="DefaultParagraphFont"/>
        </w:rPr>
        <w:t>Except as is specifically noted in Section 19.2.1.2 (iii)</w:t>
      </w:r>
      <w:r>
        <w:rPr>
          <w:rStyle w:val="DefaultParagraphFont"/>
        </w:rPr>
        <w:t xml:space="preserve"> and Section 19.2.1.4</w:t>
      </w:r>
      <w:r w:rsidRPr="004C0E53">
        <w:rPr>
          <w:rStyle w:val="DefaultParagraphFont"/>
        </w:rPr>
        <w:t xml:space="preserve">, if an LSE chooses to obtain Historic Fixed Price TCCs pursuant to this Section 19.2.1 it shall pay a base </w:t>
      </w:r>
      <w:r w:rsidRPr="004C0E53">
        <w:rPr>
          <w:rStyle w:val="DefaultParagraphFont"/>
        </w:rPr>
        <w:t xml:space="preserve">price per MW/year equal to the average of: </w:t>
      </w:r>
      <w:bookmarkEnd w:id="26"/>
    </w:p>
    <w:p w:rsidR="008752D9" w:rsidRPr="004C0E53">
      <w:pPr>
        <w:pStyle w:val="alphapara"/>
        <w:rPr>
          <w:rStyle w:val="DefaultParagraphFont"/>
        </w:rPr>
      </w:pPr>
      <w:bookmarkStart w:id="27" w:name="_DV_C105"/>
      <w:r w:rsidRPr="004C0E53">
        <w:rPr>
          <w:rStyle w:val="DefaultParagraphFont"/>
        </w:rPr>
        <w:t xml:space="preserve">(i) </w:t>
      </w:r>
      <w:r w:rsidRPr="004C0E53">
        <w:rPr>
          <w:rStyle w:val="DefaultParagraphFont"/>
        </w:rPr>
        <w:tab/>
        <w:t>the average of the inflation-adjusted market-clearing prices calculated for TCCs with the POI and POW associated with the Historic Fixed Price TCC in the one-year Sub-Auction rounds of each of the four previ</w:t>
      </w:r>
      <w:r w:rsidRPr="004C0E53">
        <w:rPr>
          <w:rStyle w:val="DefaultParagraphFont"/>
        </w:rPr>
        <w:t>ous Centralized TCC Auctions.  The average adjusted market-clearing price will be determined by first calculating the average market-clearing price in the one-year Sub-Auction rounds for each Centralized TCC Auction</w:t>
      </w:r>
      <w:r>
        <w:rPr>
          <w:rStyle w:val="DefaultParagraphFont"/>
        </w:rPr>
        <w:t>.  Notwithstanding anything to the contra</w:t>
      </w:r>
      <w:r>
        <w:rPr>
          <w:rStyle w:val="DefaultParagraphFont"/>
        </w:rPr>
        <w:t xml:space="preserve">ry herein, </w:t>
      </w:r>
      <w:r>
        <w:rPr>
          <w:rStyle w:val="DefaultParagraphFont"/>
        </w:rPr>
        <w:t>if a Centralized TCC Auction includes a</w:t>
      </w:r>
      <w:r>
        <w:rPr>
          <w:rStyle w:val="DefaultParagraphFont"/>
        </w:rPr>
        <w:t xml:space="preserve"> </w:t>
      </w:r>
      <w:r>
        <w:rPr>
          <w:rStyle w:val="DefaultParagraphFont"/>
        </w:rPr>
        <w:t xml:space="preserve">single round one-year Sub-Auction </w:t>
      </w:r>
      <w:r>
        <w:rPr>
          <w:rStyle w:val="DefaultParagraphFont"/>
        </w:rPr>
        <w:t xml:space="preserve">for TCCs with a start </w:t>
      </w:r>
      <w:r w:rsidRPr="00327384">
        <w:rPr>
          <w:rStyle w:val="DefaultParagraphFont"/>
        </w:rPr>
        <w:t xml:space="preserve">date that is </w:t>
      </w:r>
      <w:r w:rsidRPr="00327384">
        <w:rPr>
          <w:rStyle w:val="DefaultParagraphFont"/>
        </w:rPr>
        <w:t>after</w:t>
      </w:r>
      <w:r w:rsidRPr="00327384">
        <w:rPr>
          <w:rStyle w:val="DefaultParagraphFont"/>
        </w:rPr>
        <w:t xml:space="preserve"> the first day</w:t>
      </w:r>
      <w:r w:rsidRPr="00327384">
        <w:rPr>
          <w:rStyle w:val="DefaultParagraphFont"/>
        </w:rPr>
        <w:t xml:space="preserve"> of the Capability Period that commences immediately following the completion of such Centralized TCC Auction</w:t>
      </w:r>
      <w:r w:rsidRPr="00327384">
        <w:rPr>
          <w:rStyle w:val="DefaultParagraphFont"/>
        </w:rPr>
        <w:t xml:space="preserve">, </w:t>
      </w:r>
      <w:r w:rsidRPr="00327384">
        <w:rPr>
          <w:rStyle w:val="DefaultParagraphFont"/>
        </w:rPr>
        <w:t>the ma</w:t>
      </w:r>
      <w:r w:rsidRPr="00327384">
        <w:rPr>
          <w:rStyle w:val="DefaultParagraphFont"/>
        </w:rPr>
        <w:t xml:space="preserve">rket-clearing prices from </w:t>
      </w:r>
      <w:r w:rsidRPr="00327384">
        <w:rPr>
          <w:rStyle w:val="DefaultParagraphFont"/>
        </w:rPr>
        <w:t xml:space="preserve">such </w:t>
      </w:r>
      <w:r w:rsidRPr="00327384">
        <w:rPr>
          <w:rStyle w:val="DefaultParagraphFont"/>
        </w:rPr>
        <w:t xml:space="preserve">single </w:t>
      </w:r>
      <w:r w:rsidRPr="00327384">
        <w:rPr>
          <w:rStyle w:val="DefaultParagraphFont"/>
        </w:rPr>
        <w:t>round</w:t>
      </w:r>
      <w:r w:rsidRPr="00327384">
        <w:rPr>
          <w:rStyle w:val="DefaultParagraphFont"/>
        </w:rPr>
        <w:t xml:space="preserve"> one-year Sub-Auction</w:t>
      </w:r>
      <w:r w:rsidRPr="00327384">
        <w:rPr>
          <w:rStyle w:val="DefaultParagraphFont"/>
        </w:rPr>
        <w:t xml:space="preserve"> </w:t>
      </w:r>
      <w:r w:rsidRPr="00327384">
        <w:rPr>
          <w:rStyle w:val="DefaultParagraphFont"/>
        </w:rPr>
        <w:t xml:space="preserve">shall not be considered </w:t>
      </w:r>
      <w:r w:rsidRPr="00327384">
        <w:rPr>
          <w:rStyle w:val="DefaultParagraphFont"/>
        </w:rPr>
        <w:t>for purposes of this Section 19.2.1.</w:t>
      </w:r>
      <w:r>
        <w:rPr>
          <w:rStyle w:val="DefaultParagraphFont"/>
        </w:rPr>
        <w:t>2</w:t>
      </w:r>
      <w:r w:rsidRPr="004C0E53">
        <w:rPr>
          <w:rStyle w:val="DefaultParagraphFont"/>
        </w:rPr>
        <w:t>.  One-year Sub-Auction-round market-clearing prices from Centralized TCC Auctions conducted before May 1, 2010 are those from the</w:t>
      </w:r>
      <w:r w:rsidRPr="004C0E53">
        <w:rPr>
          <w:rStyle w:val="DefaultParagraphFont"/>
        </w:rPr>
        <w:t xml:space="preserve"> Stage 1 one-year rounds of the Centralized TCC Auctions.  The average market-clearing price for the first, second, and third of the four previous Centralized TCC Auctions will then be adjusted for inflation between: (a) the date that TCCs sold in them wen</w:t>
      </w:r>
      <w:r w:rsidRPr="004C0E53">
        <w:rPr>
          <w:rStyle w:val="DefaultParagraphFont"/>
        </w:rPr>
        <w:t xml:space="preserve">t into effect, and (b) the start of the Capability Period during which the TCCs sold in the fourth Centralized Auction went into effect; and </w:t>
      </w:r>
      <w:bookmarkEnd w:id="27"/>
    </w:p>
    <w:p w:rsidR="008752D9" w:rsidRPr="004C0E53">
      <w:pPr>
        <w:pStyle w:val="alphapara"/>
        <w:rPr>
          <w:rStyle w:val="DefaultParagraphFont"/>
        </w:rPr>
      </w:pPr>
      <w:r w:rsidRPr="004C0E53">
        <w:rPr>
          <w:rStyle w:val="DefaultParagraphFont"/>
          <w:bCs/>
        </w:rPr>
        <w:t xml:space="preserve">(ii) </w:t>
      </w:r>
      <w:r w:rsidRPr="004C0E53">
        <w:rPr>
          <w:rStyle w:val="DefaultParagraphFont"/>
          <w:bCs/>
        </w:rPr>
        <w:tab/>
      </w:r>
      <w:r w:rsidRPr="004C0E53">
        <w:rPr>
          <w:rStyle w:val="DefaultParagraphFont"/>
        </w:rPr>
        <w:t>the</w:t>
      </w:r>
      <w:r w:rsidRPr="004C0E53">
        <w:rPr>
          <w:rStyle w:val="DefaultParagraphFont"/>
          <w:bCs/>
        </w:rPr>
        <w:t xml:space="preserve"> inflation-adjusted average annual difference between the Day-Ahead Market Congestion Component at the PO</w:t>
      </w:r>
      <w:r w:rsidRPr="004C0E53">
        <w:rPr>
          <w:rStyle w:val="DefaultParagraphFont"/>
          <w:bCs/>
        </w:rPr>
        <w:t xml:space="preserve">W and the POI associated with the TCCs, summed over the hours of the four most recently concluded </w:t>
      </w:r>
      <w:r w:rsidRPr="004C0E53">
        <w:rPr>
          <w:rStyle w:val="DefaultParagraphFont"/>
        </w:rPr>
        <w:t>Capability</w:t>
      </w:r>
      <w:r w:rsidRPr="004C0E53">
        <w:rPr>
          <w:rStyle w:val="DefaultParagraphFont"/>
          <w:bCs/>
        </w:rPr>
        <w:t xml:space="preserve"> Periods.  The inflation-adjusted average annual difference for a given </w:t>
      </w:r>
      <w:r w:rsidRPr="004C0E53">
        <w:rPr>
          <w:rStyle w:val="DefaultParagraphFont"/>
        </w:rPr>
        <w:t>Historic</w:t>
      </w:r>
      <w:r w:rsidRPr="004C0E53">
        <w:rPr>
          <w:rStyle w:val="DefaultParagraphFont"/>
          <w:bCs/>
        </w:rPr>
        <w:t xml:space="preserve"> Fixed Price TCC would be calculated by summing the Day-Ahead Market</w:t>
      </w:r>
      <w:r w:rsidRPr="004C0E53">
        <w:rPr>
          <w:rStyle w:val="DefaultParagraphFont"/>
          <w:bCs/>
        </w:rPr>
        <w:t xml:space="preserve"> Congestion Component for the POW associated with that Historic Fixed Price TCC minus the Day-Ahead Market Congestion Component for the POI associated with that</w:t>
      </w:r>
      <w:r w:rsidRPr="004C0E53">
        <w:rPr>
          <w:rStyle w:val="DefaultParagraphFont"/>
        </w:rPr>
        <w:t xml:space="preserve"> Historic</w:t>
      </w:r>
      <w:r w:rsidRPr="004C0E53">
        <w:rPr>
          <w:rStyle w:val="DefaultParagraphFont"/>
          <w:bCs/>
        </w:rPr>
        <w:t xml:space="preserve"> Fixed Price TCC over the hours of each month of the four most recently concluded Capab</w:t>
      </w:r>
      <w:r w:rsidRPr="004C0E53">
        <w:rPr>
          <w:rStyle w:val="DefaultParagraphFont"/>
          <w:bCs/>
        </w:rPr>
        <w:t>ility Periods; adjusting each monthly total for inflation between the end of the month in question and the start of the most recently concluded Capability Period; summing those inflation-adjusted monthly totals over those four Capability Periods; and divid</w:t>
      </w:r>
      <w:r w:rsidRPr="004C0E53">
        <w:rPr>
          <w:rStyle w:val="DefaultParagraphFont"/>
          <w:bCs/>
        </w:rPr>
        <w:t xml:space="preserve">ing by two. </w:t>
      </w:r>
      <w:bookmarkStart w:id="28" w:name="_DV_C107"/>
    </w:p>
    <w:p w:rsidR="008752D9" w:rsidRPr="004C0E53" w:rsidP="005422F4">
      <w:pPr>
        <w:pStyle w:val="Bodypara0"/>
        <w:rPr>
          <w:rStyle w:val="DefaultParagraphFont"/>
        </w:rPr>
      </w:pPr>
      <w:bookmarkStart w:id="29" w:name="_DV_C109"/>
      <w:bookmarkEnd w:id="28"/>
      <w:r w:rsidRPr="004C0E53">
        <w:rPr>
          <w:rStyle w:val="DefaultParagraphFont"/>
        </w:rPr>
        <w:t>All inflation calculations referenced in this Section 19.2.1.2 shall be made using the most recently published inflation rates specified in the Personal Consumption Expenditures Implicit Price Deflator published by the Bureau of Economic Analy</w:t>
      </w:r>
      <w:r w:rsidRPr="004C0E53">
        <w:rPr>
          <w:rStyle w:val="DefaultParagraphFont"/>
        </w:rPr>
        <w:t>sis of the United States Department of Commerce.</w:t>
      </w:r>
      <w:bookmarkStart w:id="30" w:name="_DV_C110"/>
      <w:bookmarkEnd w:id="29"/>
      <w:r w:rsidRPr="004C0E53">
        <w:rPr>
          <w:rStyle w:val="DefaultParagraphFont"/>
        </w:rPr>
        <w:t xml:space="preserve">  A Historic Fixed Price TCC shall not have a price of less than zero.  To the extent that the formula in this Section 19.2.1.2 produces a price for a Historic Fixed Price TCC of less than zero, the price sha</w:t>
      </w:r>
      <w:r w:rsidRPr="004C0E53">
        <w:rPr>
          <w:rStyle w:val="DefaultParagraphFont"/>
        </w:rPr>
        <w:t>ll be zero.</w:t>
      </w:r>
    </w:p>
    <w:p w:rsidR="00EB72C3" w:rsidRPr="004C0E53">
      <w:pPr>
        <w:pStyle w:val="alphapara"/>
        <w:rPr>
          <w:rStyle w:val="DefaultParagraphFont"/>
          <w:bCs/>
        </w:rPr>
      </w:pPr>
      <w:r w:rsidRPr="004C0E53">
        <w:rPr>
          <w:rStyle w:val="DefaultParagraphFont"/>
          <w:bCs/>
        </w:rPr>
        <w:t xml:space="preserve">(iii) </w:t>
      </w:r>
      <w:r w:rsidRPr="004C0E53">
        <w:rPr>
          <w:rStyle w:val="DefaultParagraphFont"/>
          <w:bCs/>
        </w:rPr>
        <w:tab/>
        <w:t xml:space="preserve">If an LSE chooses to obtain a Historic Fixed Price TCC with a POW at or inside of Load Zone K (Long Island) pursuant to this Section 19.2.1 and bidding to or from Load Zone K was not permitted in any of the one-year Sub-Auctions of the </w:t>
      </w:r>
      <w:r w:rsidRPr="004C0E53">
        <w:rPr>
          <w:rStyle w:val="DefaultParagraphFont"/>
          <w:bCs/>
        </w:rPr>
        <w:t>four previous Centralized TCC Auctions at the time of the price calculation, it shall pay a base price per MW/year equal to the value calculated pursuant to Section 19.2.1.2 (ii).</w:t>
      </w:r>
    </w:p>
    <w:p w:rsidR="008752D9" w:rsidRPr="004C0E53">
      <w:pPr>
        <w:pStyle w:val="Heading40"/>
        <w:rPr>
          <w:rStyle w:val="DefaultParagraphFont"/>
        </w:rPr>
      </w:pPr>
      <w:r w:rsidRPr="004C0E53">
        <w:rPr>
          <w:rStyle w:val="DefaultParagraphFont"/>
        </w:rPr>
        <w:t xml:space="preserve">19.2.1.3 </w:t>
      </w:r>
      <w:r w:rsidRPr="004C0E53">
        <w:rPr>
          <w:rStyle w:val="DefaultParagraphFont"/>
        </w:rPr>
        <w:tab/>
        <w:t>Payment</w:t>
      </w:r>
    </w:p>
    <w:p w:rsidR="008752D9" w:rsidRPr="004C0E53">
      <w:pPr>
        <w:pStyle w:val="Bodypara0"/>
        <w:rPr>
          <w:rStyle w:val="DefaultParagraphFont"/>
          <w:bCs/>
        </w:rPr>
      </w:pPr>
      <w:r w:rsidRPr="004C0E53">
        <w:rPr>
          <w:rStyle w:val="DefaultParagraphFont"/>
          <w:bCs/>
        </w:rPr>
        <w:t xml:space="preserve">An LSE that obtains Historic Fixed Price TCCs pursuant to </w:t>
      </w:r>
      <w:r w:rsidRPr="004C0E53">
        <w:rPr>
          <w:rStyle w:val="DefaultParagraphFont"/>
          <w:bCs/>
        </w:rPr>
        <w:t xml:space="preserve">Section 19.2.1 shall be required to pay the ISO the total amount specified in equal annual payments for each year of the Historic Fixed Price TCC’s duration. </w:t>
      </w:r>
      <w:r w:rsidRPr="004C0E53">
        <w:rPr>
          <w:rStyle w:val="DefaultParagraphFont"/>
        </w:rPr>
        <w:t>Each annual payment shall entitle the LSE to extend the term of the Historic Fixed Price TCC for a</w:t>
      </w:r>
      <w:r w:rsidRPr="004C0E53">
        <w:rPr>
          <w:rStyle w:val="DefaultParagraphFont"/>
        </w:rPr>
        <w:t xml:space="preserve">n additional year, subject to the provisions of Section 19.2.1.1.  </w:t>
      </w:r>
      <w:r w:rsidRPr="004C0E53">
        <w:rPr>
          <w:rStyle w:val="DefaultParagraphFont"/>
          <w:bCs/>
        </w:rPr>
        <w:t>Billing for Historic Fixed Price TCCs shall be in accordance with ISO Procedures.</w:t>
      </w:r>
      <w:r w:rsidRPr="004C0E53">
        <w:rPr>
          <w:rStyle w:val="DefaultParagraphFont"/>
        </w:rPr>
        <w:t xml:space="preserve"> To challenge settlement information contained in an invoice, a purchaser of Historic Fixed Price TCCs shall</w:t>
      </w:r>
      <w:r w:rsidRPr="004C0E53">
        <w:rPr>
          <w:rStyle w:val="DefaultParagraphFont"/>
        </w:rPr>
        <w:t xml:space="preserve"> first make payment in full, including any amounts in dispute.</w:t>
      </w:r>
      <w:r w:rsidRPr="004C0E53">
        <w:rPr>
          <w:rStyle w:val="DefaultParagraphFont"/>
          <w:bCs/>
        </w:rPr>
        <w:t xml:space="preserve"> </w:t>
      </w:r>
    </w:p>
    <w:p w:rsidR="008752D9" w:rsidRPr="00035DCE">
      <w:pPr>
        <w:pStyle w:val="Bodypara0"/>
        <w:rPr>
          <w:rStyle w:val="DefaultParagraphFont"/>
          <w:bCs/>
        </w:rPr>
      </w:pPr>
      <w:r w:rsidRPr="004C0E53">
        <w:rPr>
          <w:rStyle w:val="DefaultParagraphFont"/>
          <w:bCs/>
        </w:rPr>
        <w:t xml:space="preserve">An LSE that fails to make any required annual payment for its Historic Fixed Price TCCs shall </w:t>
      </w:r>
      <w:r w:rsidRPr="00035DCE">
        <w:rPr>
          <w:rStyle w:val="DefaultParagraphFont"/>
          <w:bCs/>
        </w:rPr>
        <w:t>permanently surrender those Historic Fixed Price TCCs for that year and for all subsequent years (</w:t>
      </w:r>
      <w:r w:rsidRPr="00035DCE">
        <w:rPr>
          <w:rStyle w:val="DefaultParagraphFont"/>
          <w:bCs/>
        </w:rPr>
        <w:t>and shall not have a right to renew for additional  term(s)</w:t>
      </w:r>
      <w:r w:rsidRPr="00035DCE">
        <w:rPr>
          <w:rStyle w:val="DefaultParagraphFont"/>
          <w:bCs/>
        </w:rPr>
        <w:t xml:space="preserve"> or be eligible to purchase extensions of its Historic Fixed Price </w:t>
      </w:r>
      <w:r w:rsidRPr="00035DCE">
        <w:rPr>
          <w:rStyle w:val="DefaultParagraphFont"/>
          <w:bCs/>
        </w:rPr>
        <w:t xml:space="preserve">TCCs </w:t>
      </w:r>
      <w:r w:rsidRPr="00035DCE">
        <w:rPr>
          <w:rStyle w:val="DefaultParagraphFont"/>
          <w:bCs/>
        </w:rPr>
        <w:t>pursuant to Section 19.2.1.4 of this Attachment M</w:t>
      </w:r>
      <w:r w:rsidRPr="00035DCE">
        <w:rPr>
          <w:rStyle w:val="DefaultParagraphFont"/>
          <w:bCs/>
        </w:rPr>
        <w:t xml:space="preserve">), provided however that the ISO shall provide a one week cure period to an </w:t>
      </w:r>
      <w:r w:rsidRPr="00035DCE">
        <w:rPr>
          <w:rStyle w:val="DefaultParagraphFont"/>
          <w:bCs/>
        </w:rPr>
        <w:t>LSE that has failed to make the required annual payment for its Historic Fixed Price TCCs before the LSE has its Historic Fixed Price TCCs permanently surrendered, pursuant to ISO Procedures.</w:t>
      </w:r>
      <w:bookmarkStart w:id="31" w:name="_Toc263333559"/>
    </w:p>
    <w:p w:rsidR="00A744FD">
      <w:pPr>
        <w:pStyle w:val="Bodypara0"/>
        <w:rPr>
          <w:rStyle w:val="DefaultParagraphFont"/>
          <w:bCs/>
        </w:rPr>
      </w:pPr>
      <w:r w:rsidRPr="00035DCE">
        <w:rPr>
          <w:rStyle w:val="DefaultParagraphFont"/>
          <w:bCs/>
        </w:rPr>
        <w:t xml:space="preserve">Notwithstanding anything to the contrary herein, this Section 19.2.1.3 shall not apply to extensions of Historic Fixed Price TCCs </w:t>
      </w:r>
      <w:r w:rsidRPr="00035DCE">
        <w:rPr>
          <w:rStyle w:val="DefaultParagraphFont"/>
          <w:bCs/>
        </w:rPr>
        <w:t xml:space="preserve">awarded </w:t>
      </w:r>
      <w:r w:rsidRPr="00035DCE">
        <w:rPr>
          <w:rStyle w:val="DefaultParagraphFont"/>
          <w:bCs/>
        </w:rPr>
        <w:t xml:space="preserve">pursuant to Section 19.2.1.4 of this Attachment M.  The applicable billing and payment requirements for extensions of </w:t>
      </w:r>
      <w:r w:rsidRPr="00035DCE">
        <w:rPr>
          <w:rStyle w:val="DefaultParagraphFont"/>
          <w:bCs/>
        </w:rPr>
        <w:t>Historic Fixed Price TCCs are set forth in Section 19.2.1.4 of this Attachment M.</w:t>
      </w:r>
      <w:r>
        <w:rPr>
          <w:rStyle w:val="DefaultParagraphFont"/>
          <w:bCs/>
        </w:rPr>
        <w:t xml:space="preserve">  </w:t>
      </w:r>
    </w:p>
    <w:p w:rsidR="004C09DB" w:rsidRPr="009F0B22" w:rsidP="00183520">
      <w:pPr>
        <w:pStyle w:val="Heading40"/>
        <w:rPr>
          <w:rStyle w:val="DefaultParagraphFont"/>
        </w:rPr>
      </w:pPr>
      <w:r w:rsidRPr="009F0B22">
        <w:rPr>
          <w:rStyle w:val="DefaultParagraphFont"/>
        </w:rPr>
        <w:t>19.2.1.4</w:t>
      </w:r>
      <w:r w:rsidRPr="009F0B22">
        <w:rPr>
          <w:rStyle w:val="DefaultParagraphFont"/>
        </w:rPr>
        <w:tab/>
        <w:t>Extensions of Historic Fixed Price TCCs</w:t>
      </w:r>
    </w:p>
    <w:p w:rsidR="004C09DB" w:rsidP="00183520">
      <w:pPr>
        <w:pStyle w:val="Bodypara0"/>
        <w:rPr>
          <w:rStyle w:val="DefaultParagraphFont"/>
        </w:rPr>
      </w:pPr>
      <w:r w:rsidRPr="009F0B22">
        <w:rPr>
          <w:rStyle w:val="DefaultParagraphFont"/>
        </w:rPr>
        <w:t xml:space="preserve">LSEs </w:t>
      </w:r>
      <w:r>
        <w:rPr>
          <w:rStyle w:val="DefaultParagraphFont"/>
        </w:rPr>
        <w:t xml:space="preserve">that </w:t>
      </w:r>
      <w:r w:rsidRPr="009F0B22">
        <w:rPr>
          <w:rStyle w:val="DefaultParagraphFont"/>
        </w:rPr>
        <w:t>convert</w:t>
      </w:r>
      <w:r>
        <w:rPr>
          <w:rStyle w:val="DefaultParagraphFont"/>
        </w:rPr>
        <w:t>ed</w:t>
      </w:r>
      <w:r w:rsidRPr="009F0B22">
        <w:rPr>
          <w:rStyle w:val="DefaultParagraphFont"/>
        </w:rPr>
        <w:t xml:space="preserve"> expired or terminated ETAs to Historic Fixed Price TCCs pursuant to Section 19.2.1 of </w:t>
      </w:r>
      <w:r>
        <w:rPr>
          <w:rStyle w:val="DefaultParagraphFont"/>
        </w:rPr>
        <w:t xml:space="preserve">this </w:t>
      </w:r>
      <w:r w:rsidRPr="009F0B22">
        <w:rPr>
          <w:rStyle w:val="DefaultParagraphFont"/>
        </w:rPr>
        <w:t>Attachment M</w:t>
      </w:r>
      <w:r w:rsidRPr="009F0B22">
        <w:rPr>
          <w:rStyle w:val="DefaultParagraphFont"/>
        </w:rPr>
        <w:t xml:space="preserve"> </w:t>
      </w:r>
      <w:r>
        <w:rPr>
          <w:rStyle w:val="DefaultParagraphFont"/>
        </w:rPr>
        <w:t xml:space="preserve">and </w:t>
      </w:r>
      <w:r w:rsidRPr="00183520">
        <w:rPr>
          <w:rStyle w:val="DefaultParagraphFont"/>
        </w:rPr>
        <w:t>continued</w:t>
      </w:r>
      <w:r>
        <w:rPr>
          <w:rStyle w:val="DefaultParagraphFont"/>
        </w:rPr>
        <w:t xml:space="preserve"> to purchase </w:t>
      </w:r>
      <w:r w:rsidRPr="009F0B22">
        <w:rPr>
          <w:rStyle w:val="DefaultParagraphFont"/>
        </w:rPr>
        <w:t xml:space="preserve">Historic Fixed Price TCCs </w:t>
      </w:r>
      <w:r>
        <w:rPr>
          <w:rStyle w:val="DefaultParagraphFont"/>
        </w:rPr>
        <w:t xml:space="preserve">throughout the entire full term for which the LSE initially had </w:t>
      </w:r>
      <w:r w:rsidRPr="009F0B22">
        <w:rPr>
          <w:rStyle w:val="DefaultParagraphFont"/>
        </w:rPr>
        <w:t xml:space="preserve">the right to purchase and </w:t>
      </w:r>
      <w:r>
        <w:rPr>
          <w:rStyle w:val="DefaultParagraphFont"/>
        </w:rPr>
        <w:t xml:space="preserve">renew Historic Fixed Price TCCs </w:t>
      </w:r>
      <w:r w:rsidRPr="009F0B22">
        <w:rPr>
          <w:rStyle w:val="DefaultParagraphFont"/>
        </w:rPr>
        <w:t>(</w:t>
      </w:r>
      <w:r w:rsidRPr="0065573E">
        <w:rPr>
          <w:rStyle w:val="DefaultParagraphFont"/>
          <w:i/>
        </w:rPr>
        <w:t>i.e.</w:t>
      </w:r>
      <w:r w:rsidRPr="009F0B22">
        <w:rPr>
          <w:rStyle w:val="DefaultParagraphFont"/>
        </w:rPr>
        <w:t>, 10 or 12 years as set forth in Section 19.2.1.1 of this Attachment M)</w:t>
      </w:r>
      <w:r>
        <w:rPr>
          <w:rStyle w:val="DefaultParagraphFont"/>
        </w:rPr>
        <w:t xml:space="preserve"> </w:t>
      </w:r>
      <w:r w:rsidRPr="009F0B22">
        <w:rPr>
          <w:rStyle w:val="DefaultParagraphFont"/>
        </w:rPr>
        <w:t>shal</w:t>
      </w:r>
      <w:r w:rsidRPr="009F0B22">
        <w:rPr>
          <w:rStyle w:val="DefaultParagraphFont"/>
        </w:rPr>
        <w:t xml:space="preserve">l be eligible to </w:t>
      </w:r>
      <w:r>
        <w:rPr>
          <w:rStyle w:val="DefaultParagraphFont"/>
        </w:rPr>
        <w:t xml:space="preserve">purchase extensions of their </w:t>
      </w:r>
      <w:r w:rsidRPr="009F0B22">
        <w:rPr>
          <w:rStyle w:val="DefaultParagraphFont"/>
        </w:rPr>
        <w:t xml:space="preserve">Historic Fixed Price TCCs </w:t>
      </w:r>
      <w:r>
        <w:rPr>
          <w:rStyle w:val="DefaultParagraphFont"/>
        </w:rPr>
        <w:t xml:space="preserve">for one year at a time </w:t>
      </w:r>
      <w:r w:rsidRPr="009F0B22">
        <w:rPr>
          <w:rStyle w:val="DefaultParagraphFont"/>
        </w:rPr>
        <w:t xml:space="preserve">in accordance with the requirements of this Section 19.2.1.4.  </w:t>
      </w:r>
      <w:r>
        <w:rPr>
          <w:rStyle w:val="DefaultParagraphFont"/>
        </w:rPr>
        <w:t xml:space="preserve">A qualifying </w:t>
      </w:r>
      <w:r w:rsidRPr="009F0B22">
        <w:rPr>
          <w:rStyle w:val="DefaultParagraphFont"/>
        </w:rPr>
        <w:t xml:space="preserve">LSE </w:t>
      </w:r>
      <w:r>
        <w:rPr>
          <w:rStyle w:val="DefaultParagraphFont"/>
        </w:rPr>
        <w:t>shall</w:t>
      </w:r>
      <w:r w:rsidRPr="009F0B22">
        <w:rPr>
          <w:rStyle w:val="DefaultParagraphFont"/>
        </w:rPr>
        <w:t xml:space="preserve"> not </w:t>
      </w:r>
      <w:r>
        <w:rPr>
          <w:rStyle w:val="DefaultParagraphFont"/>
        </w:rPr>
        <w:t xml:space="preserve">be </w:t>
      </w:r>
      <w:r w:rsidRPr="009F0B22">
        <w:rPr>
          <w:rStyle w:val="DefaultParagraphFont"/>
        </w:rPr>
        <w:t>eligible to purchase extensions of Historic Fixed</w:t>
      </w:r>
      <w:r>
        <w:rPr>
          <w:rStyle w:val="DefaultParagraphFont"/>
        </w:rPr>
        <w:t xml:space="preserve"> Price TCCs until t</w:t>
      </w:r>
      <w:r>
        <w:rPr>
          <w:rStyle w:val="DefaultParagraphFont"/>
        </w:rPr>
        <w:t xml:space="preserve">he entire full term for which the LSE initially had </w:t>
      </w:r>
      <w:r w:rsidRPr="009F0B22">
        <w:rPr>
          <w:rStyle w:val="DefaultParagraphFont"/>
        </w:rPr>
        <w:t xml:space="preserve">the right to purchase and </w:t>
      </w:r>
      <w:r>
        <w:rPr>
          <w:rStyle w:val="DefaultParagraphFont"/>
        </w:rPr>
        <w:t xml:space="preserve">renew its Historic Fixed Price TCCs </w:t>
      </w:r>
      <w:r w:rsidRPr="009F0B22">
        <w:rPr>
          <w:rStyle w:val="DefaultParagraphFont"/>
        </w:rPr>
        <w:t>(</w:t>
      </w:r>
      <w:r w:rsidRPr="0065573E">
        <w:rPr>
          <w:rStyle w:val="DefaultParagraphFont"/>
          <w:i/>
        </w:rPr>
        <w:t>i.e.</w:t>
      </w:r>
      <w:r w:rsidRPr="009F0B22">
        <w:rPr>
          <w:rStyle w:val="DefaultParagraphFont"/>
        </w:rPr>
        <w:t>, 10 or 12 years as set forth in Section 19.2.1.1 of this Attachment M)</w:t>
      </w:r>
      <w:r>
        <w:rPr>
          <w:rStyle w:val="DefaultParagraphFont"/>
        </w:rPr>
        <w:t xml:space="preserve"> </w:t>
      </w:r>
      <w:r w:rsidRPr="009F0B22">
        <w:rPr>
          <w:rStyle w:val="DefaultParagraphFont"/>
        </w:rPr>
        <w:t>has expired.</w:t>
      </w:r>
      <w:r>
        <w:rPr>
          <w:rStyle w:val="DefaultParagraphFont"/>
        </w:rPr>
        <w:t xml:space="preserve">  </w:t>
      </w:r>
      <w:r w:rsidRPr="00035DCE">
        <w:rPr>
          <w:rStyle w:val="DefaultParagraphFont"/>
        </w:rPr>
        <w:t xml:space="preserve">For </w:t>
      </w:r>
      <w:r w:rsidRPr="00035DCE">
        <w:rPr>
          <w:rStyle w:val="DefaultParagraphFont"/>
        </w:rPr>
        <w:t>a qualifying LSE</w:t>
      </w:r>
      <w:r w:rsidRPr="00035DCE">
        <w:rPr>
          <w:rStyle w:val="DefaultParagraphFont"/>
        </w:rPr>
        <w:t xml:space="preserve"> </w:t>
      </w:r>
      <w:r w:rsidRPr="00035DCE">
        <w:rPr>
          <w:rStyle w:val="DefaultParagraphFont"/>
        </w:rPr>
        <w:t>that was awarded:</w:t>
      </w:r>
      <w:r w:rsidRPr="00035DCE">
        <w:rPr>
          <w:rStyle w:val="DefaultParagraphFont"/>
        </w:rPr>
        <w:t xml:space="preserve"> </w:t>
      </w:r>
      <w:r w:rsidRPr="00035DCE">
        <w:rPr>
          <w:rStyle w:val="DefaultParagraphFont"/>
        </w:rPr>
        <w:t xml:space="preserve">(1) </w:t>
      </w:r>
      <w:r w:rsidRPr="00035DCE">
        <w:rPr>
          <w:rStyle w:val="DefaultParagraphFont"/>
        </w:rPr>
        <w:t xml:space="preserve">sets of </w:t>
      </w:r>
      <w:r w:rsidRPr="00035DCE">
        <w:rPr>
          <w:rStyle w:val="DefaultParagraphFont"/>
        </w:rPr>
        <w:t>Historic Fixed Price TCCs associated with more than one ex</w:t>
      </w:r>
      <w:r w:rsidRPr="00035DCE">
        <w:rPr>
          <w:rStyle w:val="DefaultParagraphFont"/>
        </w:rPr>
        <w:t>pired or terminated ETA</w:t>
      </w:r>
      <w:r w:rsidRPr="00035DCE">
        <w:rPr>
          <w:rStyle w:val="DefaultParagraphFont"/>
        </w:rPr>
        <w:t>;</w:t>
      </w:r>
      <w:r w:rsidRPr="00035DCE">
        <w:rPr>
          <w:rStyle w:val="DefaultParagraphFont"/>
        </w:rPr>
        <w:t xml:space="preserve"> or</w:t>
      </w:r>
      <w:r w:rsidRPr="00035DCE">
        <w:rPr>
          <w:rStyle w:val="DefaultParagraphFont"/>
        </w:rPr>
        <w:t xml:space="preserve"> (2) </w:t>
      </w:r>
      <w:r w:rsidRPr="00035DCE">
        <w:rPr>
          <w:rStyle w:val="DefaultParagraphFont"/>
        </w:rPr>
        <w:t>as a result of the requirements of Section 19.2.1.1.1 of this Attachment M,</w:t>
      </w:r>
      <w:r w:rsidRPr="00035DCE">
        <w:rPr>
          <w:rStyle w:val="DefaultParagraphFont"/>
        </w:rPr>
        <w:t xml:space="preserve"> </w:t>
      </w:r>
      <w:r w:rsidRPr="00035DCE">
        <w:rPr>
          <w:rStyle w:val="DefaultParagraphFont"/>
        </w:rPr>
        <w:t xml:space="preserve">two </w:t>
      </w:r>
      <w:r w:rsidRPr="00035DCE">
        <w:rPr>
          <w:rStyle w:val="DefaultParagraphFont"/>
        </w:rPr>
        <w:t>sets of Historic Fixed Price TCCs related to the same expired or terminated ETA with d</w:t>
      </w:r>
      <w:r w:rsidRPr="00035DCE">
        <w:rPr>
          <w:rStyle w:val="DefaultParagraphFont"/>
        </w:rPr>
        <w:t>ifferent initial start dates following the termination or expiration of such ETA, the LSE’</w:t>
      </w:r>
      <w:r w:rsidRPr="00035DCE">
        <w:rPr>
          <w:rStyle w:val="DefaultParagraphFont"/>
        </w:rPr>
        <w:t xml:space="preserve">s eligibility </w:t>
      </w:r>
      <w:r w:rsidRPr="00035DCE">
        <w:rPr>
          <w:rStyle w:val="DefaultParagraphFont"/>
        </w:rPr>
        <w:t>to purchase</w:t>
      </w:r>
      <w:r w:rsidRPr="00035DCE">
        <w:rPr>
          <w:rStyle w:val="DefaultParagraphFont"/>
        </w:rPr>
        <w:t xml:space="preserve"> </w:t>
      </w:r>
      <w:r w:rsidRPr="00035DCE">
        <w:rPr>
          <w:rStyle w:val="DefaultParagraphFont"/>
        </w:rPr>
        <w:t>extensions of Historic Fixed Price TCCs shall be determined</w:t>
      </w:r>
      <w:r w:rsidRPr="00035DCE">
        <w:rPr>
          <w:rStyle w:val="DefaultParagraphFont"/>
        </w:rPr>
        <w:t>, and the requirements related to purchasing extensions hereunder shall be applie</w:t>
      </w:r>
      <w:r w:rsidRPr="00035DCE">
        <w:rPr>
          <w:rStyle w:val="DefaultParagraphFont"/>
        </w:rPr>
        <w:t>d,</w:t>
      </w:r>
      <w:r w:rsidRPr="00035DCE">
        <w:rPr>
          <w:rStyle w:val="DefaultParagraphFont"/>
        </w:rPr>
        <w:t xml:space="preserve"> separately</w:t>
      </w:r>
      <w:r w:rsidRPr="00035DCE">
        <w:rPr>
          <w:rStyle w:val="DefaultParagraphFont"/>
        </w:rPr>
        <w:t xml:space="preserve"> </w:t>
      </w:r>
      <w:r w:rsidRPr="00035DCE">
        <w:rPr>
          <w:rStyle w:val="DefaultParagraphFont"/>
        </w:rPr>
        <w:t>for each set of Histori</w:t>
      </w:r>
      <w:r w:rsidRPr="00035DCE">
        <w:rPr>
          <w:rStyle w:val="DefaultParagraphFont"/>
        </w:rPr>
        <w:t xml:space="preserve">c Fixed Price TCCs held by the qualifying </w:t>
      </w:r>
      <w:r w:rsidRPr="00035DCE">
        <w:rPr>
          <w:rStyle w:val="DefaultParagraphFont"/>
        </w:rPr>
        <w:t>LSE.</w:t>
      </w:r>
      <w:r>
        <w:rPr>
          <w:rStyle w:val="DefaultParagraphFont"/>
        </w:rPr>
        <w:t xml:space="preserve">  </w:t>
      </w:r>
      <w:r w:rsidRPr="001B6B7C">
        <w:rPr>
          <w:rStyle w:val="DefaultParagraphFont"/>
        </w:rPr>
        <w:t>Notwithstanding the foregoing, LSEs that</w:t>
      </w:r>
      <w:r w:rsidRPr="001B6B7C">
        <w:rPr>
          <w:rStyle w:val="DefaultParagraphFont"/>
        </w:rPr>
        <w:t>:</w:t>
      </w:r>
      <w:r w:rsidRPr="001B6B7C">
        <w:rPr>
          <w:rStyle w:val="DefaultParagraphFont"/>
        </w:rPr>
        <w:t xml:space="preserve"> </w:t>
      </w:r>
      <w:r w:rsidRPr="001B6B7C">
        <w:rPr>
          <w:rStyle w:val="DefaultParagraphFont"/>
        </w:rPr>
        <w:t xml:space="preserve">(i) </w:t>
      </w:r>
      <w:r w:rsidRPr="001B6B7C">
        <w:rPr>
          <w:rStyle w:val="DefaultParagraphFont"/>
        </w:rPr>
        <w:t>converted expired or terminated ETAs to Historic Fixed Price TCCs pursuant to Section 19.2.1 of this Attachment M and purchas</w:t>
      </w:r>
      <w:r w:rsidRPr="001B6B7C">
        <w:rPr>
          <w:rStyle w:val="DefaultParagraphFont"/>
        </w:rPr>
        <w:t>e</w:t>
      </w:r>
      <w:r w:rsidRPr="001B6B7C">
        <w:rPr>
          <w:rStyle w:val="DefaultParagraphFont"/>
        </w:rPr>
        <w:t>d</w:t>
      </w:r>
      <w:r w:rsidRPr="001B6B7C">
        <w:rPr>
          <w:rStyle w:val="DefaultParagraphFont"/>
        </w:rPr>
        <w:t xml:space="preserve"> Historic Fixed Price TCCs for a portion of the entire full term for which the LSE initially had the right to purchase and renew Historic Fixed Price TCCs (</w:t>
      </w:r>
      <w:r w:rsidRPr="001B6B7C">
        <w:rPr>
          <w:rStyle w:val="DefaultParagraphFont"/>
          <w:i/>
        </w:rPr>
        <w:t>i.e.</w:t>
      </w:r>
      <w:r w:rsidRPr="001B6B7C">
        <w:rPr>
          <w:rStyle w:val="DefaultParagraphFont"/>
        </w:rPr>
        <w:t>, 10 or 12 years as set forth in Section 19.2.1.1 of this Attachment M)</w:t>
      </w:r>
      <w:r w:rsidRPr="001B6B7C">
        <w:rPr>
          <w:rStyle w:val="DefaultParagraphFont"/>
        </w:rPr>
        <w:t xml:space="preserve">; </w:t>
      </w:r>
      <w:r w:rsidRPr="001B6B7C">
        <w:rPr>
          <w:rStyle w:val="DefaultParagraphFont"/>
        </w:rPr>
        <w:t xml:space="preserve">and </w:t>
      </w:r>
      <w:r w:rsidRPr="001B6B7C">
        <w:rPr>
          <w:rStyle w:val="DefaultParagraphFont"/>
        </w:rPr>
        <w:t xml:space="preserve">(ii) </w:t>
      </w:r>
      <w:r w:rsidRPr="001B6B7C">
        <w:rPr>
          <w:rStyle w:val="DefaultParagraphFont"/>
        </w:rPr>
        <w:t xml:space="preserve">elected to </w:t>
      </w:r>
      <w:r w:rsidRPr="00035DCE">
        <w:rPr>
          <w:rStyle w:val="DefaultParagraphFont"/>
        </w:rPr>
        <w:t>t</w:t>
      </w:r>
      <w:r w:rsidRPr="00035DCE">
        <w:rPr>
          <w:rStyle w:val="DefaultParagraphFont"/>
        </w:rPr>
        <w:t xml:space="preserve">erminate their Historic Fixed Price TCCs </w:t>
      </w:r>
      <w:r w:rsidRPr="00035DCE">
        <w:rPr>
          <w:rStyle w:val="DefaultParagraphFont"/>
        </w:rPr>
        <w:t>early</w:t>
      </w:r>
      <w:r w:rsidRPr="00035DCE">
        <w:rPr>
          <w:rStyle w:val="DefaultParagraphFont"/>
        </w:rPr>
        <w:t xml:space="preserve"> and </w:t>
      </w:r>
      <w:r w:rsidRPr="00035DCE">
        <w:rPr>
          <w:rStyle w:val="DefaultParagraphFont"/>
        </w:rPr>
        <w:t xml:space="preserve">such early termination occurred </w:t>
      </w:r>
      <w:r w:rsidRPr="00035DCE">
        <w:rPr>
          <w:rStyle w:val="DefaultParagraphFont"/>
        </w:rPr>
        <w:t>prior to</w:t>
      </w:r>
      <w:r w:rsidRPr="00035DCE">
        <w:rPr>
          <w:rStyle w:val="DefaultParagraphFont"/>
        </w:rPr>
        <w:t xml:space="preserve"> June 1, 2018</w:t>
      </w:r>
      <w:r w:rsidRPr="00035DCE">
        <w:rPr>
          <w:rStyle w:val="DefaultParagraphFont"/>
        </w:rPr>
        <w:t>,</w:t>
      </w:r>
      <w:r w:rsidRPr="001B6B7C">
        <w:rPr>
          <w:rStyle w:val="DefaultParagraphFont"/>
        </w:rPr>
        <w:t xml:space="preserve"> shall be eligible to purchase extensions of their </w:t>
      </w:r>
      <w:r w:rsidRPr="001B6B7C">
        <w:rPr>
          <w:rStyle w:val="DefaultParagraphFont"/>
        </w:rPr>
        <w:t xml:space="preserve">prior </w:t>
      </w:r>
      <w:r w:rsidRPr="001B6B7C">
        <w:rPr>
          <w:rStyle w:val="DefaultParagraphFont"/>
        </w:rPr>
        <w:t xml:space="preserve">Historic Fixed Price TCCs for one year at a time in accordance with the requirements of this Section 19.2.1.4; provided, however, that such LSEs shall not be eligible to purchase extensions of Historic Fixed Price TCCs until the entire full term for which </w:t>
      </w:r>
      <w:r w:rsidRPr="001B6B7C">
        <w:rPr>
          <w:rStyle w:val="DefaultParagraphFont"/>
        </w:rPr>
        <w:t xml:space="preserve">the LSE initially had the right to purchase and </w:t>
      </w:r>
      <w:r w:rsidRPr="001B6B7C">
        <w:rPr>
          <w:rStyle w:val="DefaultParagraphFont"/>
        </w:rPr>
        <w:t xml:space="preserve">renew its </w:t>
      </w:r>
      <w:r w:rsidRPr="001B6B7C">
        <w:rPr>
          <w:rStyle w:val="DefaultParagraphFont"/>
        </w:rPr>
        <w:t xml:space="preserve">prior </w:t>
      </w:r>
      <w:r w:rsidRPr="001B6B7C">
        <w:rPr>
          <w:rStyle w:val="DefaultParagraphFont"/>
        </w:rPr>
        <w:t>Historic Fixed Price TCCs (</w:t>
      </w:r>
      <w:r w:rsidRPr="001B6B7C">
        <w:rPr>
          <w:rStyle w:val="DefaultParagraphFont"/>
          <w:i/>
        </w:rPr>
        <w:t>i.e.</w:t>
      </w:r>
      <w:r w:rsidRPr="001B6B7C">
        <w:rPr>
          <w:rStyle w:val="DefaultParagraphFont"/>
        </w:rPr>
        <w:t>, 10 or 12 years as set forth in Section 19.2.1.1 of this Attachment M) has expired.</w:t>
      </w:r>
      <w:r>
        <w:rPr>
          <w:rStyle w:val="DefaultParagraphFont"/>
        </w:rPr>
        <w:t xml:space="preserve"> </w:t>
      </w:r>
    </w:p>
    <w:p w:rsidR="004C09DB" w:rsidP="00183520">
      <w:pPr>
        <w:pStyle w:val="Bodypara0"/>
        <w:rPr>
          <w:rStyle w:val="DefaultParagraphFont"/>
        </w:rPr>
      </w:pPr>
      <w:r w:rsidRPr="009F0B22">
        <w:rPr>
          <w:rStyle w:val="DefaultParagraphFont"/>
        </w:rPr>
        <w:t>For purposes of each one-year extension</w:t>
      </w:r>
      <w:r>
        <w:rPr>
          <w:rStyle w:val="DefaultParagraphFont"/>
        </w:rPr>
        <w:t xml:space="preserve"> period</w:t>
      </w:r>
      <w:r w:rsidRPr="009F0B22">
        <w:rPr>
          <w:rStyle w:val="DefaultParagraphFont"/>
        </w:rPr>
        <w:t xml:space="preserve">, </w:t>
      </w:r>
      <w:r>
        <w:rPr>
          <w:rStyle w:val="DefaultParagraphFont"/>
        </w:rPr>
        <w:t xml:space="preserve">a qualifying </w:t>
      </w:r>
      <w:r w:rsidRPr="009F0B22">
        <w:rPr>
          <w:rStyle w:val="DefaultParagraphFont"/>
        </w:rPr>
        <w:t>LSE shall be e</w:t>
      </w:r>
      <w:r w:rsidRPr="009F0B22">
        <w:rPr>
          <w:rStyle w:val="DefaultParagraphFont"/>
        </w:rPr>
        <w:t xml:space="preserve">ligible to purchase an extension </w:t>
      </w:r>
      <w:r>
        <w:rPr>
          <w:rStyle w:val="DefaultParagraphFont"/>
        </w:rPr>
        <w:t xml:space="preserve">of its Historic Fixed Price TCCs </w:t>
      </w:r>
      <w:r w:rsidRPr="009F0B22">
        <w:rPr>
          <w:rStyle w:val="DefaultParagraphFont"/>
        </w:rPr>
        <w:t xml:space="preserve">for any </w:t>
      </w:r>
      <w:r>
        <w:rPr>
          <w:rStyle w:val="DefaultParagraphFont"/>
        </w:rPr>
        <w:t xml:space="preserve">number of Historic Fixed Price TCCs </w:t>
      </w:r>
      <w:r w:rsidRPr="009F0B22">
        <w:rPr>
          <w:rStyle w:val="DefaultParagraphFont"/>
        </w:rPr>
        <w:t>equal to or lesser than the highest MW quantity specified in Table 1A of A</w:t>
      </w:r>
      <w:r>
        <w:rPr>
          <w:rStyle w:val="DefaultParagraphFont"/>
        </w:rPr>
        <w:t xml:space="preserve">ttachment L of the </w:t>
      </w:r>
      <w:r w:rsidRPr="00035DCE">
        <w:rPr>
          <w:rStyle w:val="DefaultParagraphFont"/>
        </w:rPr>
        <w:t xml:space="preserve">ISO </w:t>
      </w:r>
      <w:r w:rsidRPr="00035DCE">
        <w:rPr>
          <w:rStyle w:val="DefaultParagraphFont"/>
        </w:rPr>
        <w:t>OATT for the expired or terminated ETA associated</w:t>
      </w:r>
      <w:r w:rsidRPr="00035DCE">
        <w:rPr>
          <w:rStyle w:val="DefaultParagraphFont"/>
        </w:rPr>
        <w:t xml:space="preserve"> with the Historic Fixed Price TCCs that the LSE seeks to extend, subject to the requirements of this Section 19.2.1.4</w:t>
      </w:r>
      <w:r w:rsidRPr="00035DCE">
        <w:rPr>
          <w:rStyle w:val="DefaultParagraphFont"/>
        </w:rPr>
        <w:t xml:space="preserve">; provided, however, that </w:t>
      </w:r>
      <w:r w:rsidRPr="00035DCE">
        <w:rPr>
          <w:rStyle w:val="DefaultParagraphFont"/>
        </w:rPr>
        <w:t>for a qualify</w:t>
      </w:r>
      <w:r w:rsidRPr="00081DF4">
        <w:rPr>
          <w:rStyle w:val="DefaultParagraphFont"/>
        </w:rPr>
        <w:t>ing</w:t>
      </w:r>
      <w:r w:rsidRPr="00035DCE">
        <w:rPr>
          <w:rStyle w:val="DefaultParagraphFont"/>
        </w:rPr>
        <w:t xml:space="preserve"> LSE </w:t>
      </w:r>
      <w:r w:rsidRPr="00035DCE">
        <w:rPr>
          <w:rStyle w:val="DefaultParagraphFont"/>
        </w:rPr>
        <w:t>that, as a result of the requirements of Section 19.2.1.1.1 of this Attachment M, has</w:t>
      </w:r>
      <w:r w:rsidRPr="00035DCE">
        <w:rPr>
          <w:rStyle w:val="DefaultParagraphFont"/>
        </w:rPr>
        <w:t xml:space="preserve"> </w:t>
      </w:r>
      <w:r w:rsidRPr="00035DCE">
        <w:rPr>
          <w:rStyle w:val="DefaultParagraphFont"/>
        </w:rPr>
        <w:t xml:space="preserve">two </w:t>
      </w:r>
      <w:r w:rsidRPr="00035DCE">
        <w:rPr>
          <w:rStyle w:val="DefaultParagraphFont"/>
        </w:rPr>
        <w:t>s</w:t>
      </w:r>
      <w:r w:rsidRPr="00035DCE">
        <w:rPr>
          <w:rStyle w:val="DefaultParagraphFont"/>
        </w:rPr>
        <w:t>et</w:t>
      </w:r>
      <w:r w:rsidRPr="00035DCE">
        <w:rPr>
          <w:rStyle w:val="DefaultParagraphFont"/>
        </w:rPr>
        <w:t>s</w:t>
      </w:r>
      <w:r w:rsidRPr="00035DCE">
        <w:rPr>
          <w:rStyle w:val="DefaultParagraphFont"/>
        </w:rPr>
        <w:t xml:space="preserve"> of Historic Fixed Price TCCs related to the same expired or terminated ETA eligible for extension</w:t>
      </w:r>
      <w:r w:rsidRPr="00035DCE">
        <w:rPr>
          <w:rStyle w:val="DefaultParagraphFont"/>
        </w:rPr>
        <w:t>:</w:t>
      </w:r>
      <w:r w:rsidRPr="00035DCE">
        <w:rPr>
          <w:rStyle w:val="DefaultParagraphFont"/>
        </w:rPr>
        <w:t xml:space="preserve"> </w:t>
      </w:r>
      <w:r w:rsidRPr="00035DCE">
        <w:rPr>
          <w:rStyle w:val="DefaultParagraphFont"/>
        </w:rPr>
        <w:t>(i) the total number of Historic Fixed Price TCCs the LSE may seek to extend for the set of Historic Fixed Price TCCs that first becomes eligible for the</w:t>
      </w:r>
      <w:r w:rsidRPr="00035DCE">
        <w:rPr>
          <w:rStyle w:val="DefaultParagraphFont"/>
        </w:rPr>
        <w:t xml:space="preserve"> purchase of extensions pursuant to this Section 19.2.1.4 shall not exceed the highest number of Historic Fixed Price TCCs that the LSE purchased for such set of Historic Fixed Price TCCs during the entire full term for which the LSE initially had the righ</w:t>
      </w:r>
      <w:r w:rsidRPr="00035DCE">
        <w:rPr>
          <w:rStyle w:val="DefaultParagraphFont"/>
        </w:rPr>
        <w:t>t to purchase and renew such Historic Fixed Price TCCs (</w:t>
      </w:r>
      <w:r w:rsidRPr="00035DCE">
        <w:rPr>
          <w:rStyle w:val="DefaultParagraphFont"/>
          <w:i/>
        </w:rPr>
        <w:t>i.e.</w:t>
      </w:r>
      <w:r w:rsidRPr="00035DCE">
        <w:rPr>
          <w:rStyle w:val="DefaultParagraphFont"/>
        </w:rPr>
        <w:t xml:space="preserve">, 10 or 12 years as set forth in Section 19.2.1.1 of this Attachment M); and (ii) the </w:t>
      </w:r>
      <w:r w:rsidRPr="00035DCE">
        <w:rPr>
          <w:rStyle w:val="DefaultParagraphFont"/>
        </w:rPr>
        <w:t>total aggregate number of Historic Fixed Price TCCs</w:t>
      </w:r>
      <w:r w:rsidRPr="00035DCE">
        <w:rPr>
          <w:rStyle w:val="DefaultParagraphFont"/>
        </w:rPr>
        <w:t xml:space="preserve"> the qualifying LSE</w:t>
      </w:r>
      <w:r w:rsidRPr="00035DCE">
        <w:rPr>
          <w:rStyle w:val="DefaultParagraphFont"/>
        </w:rPr>
        <w:t xml:space="preserve"> may seek to extend for all such eligibl</w:t>
      </w:r>
      <w:r w:rsidRPr="00035DCE">
        <w:rPr>
          <w:rStyle w:val="DefaultParagraphFont"/>
        </w:rPr>
        <w:t xml:space="preserve">e sets of Historic Fixed Price TCCs shall not exceed the highest MW quantity specified in Table 1A of Attachment L of the </w:t>
      </w:r>
      <w:r w:rsidRPr="00035DCE">
        <w:rPr>
          <w:rStyle w:val="DefaultParagraphFont"/>
        </w:rPr>
        <w:t xml:space="preserve">ISO </w:t>
      </w:r>
      <w:r w:rsidRPr="00035DCE">
        <w:rPr>
          <w:rStyle w:val="DefaultParagraphFont"/>
        </w:rPr>
        <w:t xml:space="preserve">OATT for the applicable expired or terminated ETA.  Notwithstanding the foregoing, </w:t>
      </w:r>
      <w:r w:rsidRPr="00035DCE">
        <w:rPr>
          <w:rStyle w:val="DefaultParagraphFont"/>
        </w:rPr>
        <w:t xml:space="preserve">if </w:t>
      </w:r>
      <w:r w:rsidRPr="00035DCE">
        <w:rPr>
          <w:rStyle w:val="DefaultParagraphFont"/>
          <w:bCs/>
        </w:rPr>
        <w:t xml:space="preserve">the ISO concludes that the number of </w:t>
      </w:r>
      <w:r w:rsidRPr="00035DCE">
        <w:rPr>
          <w:rStyle w:val="DefaultParagraphFont"/>
          <w:bCs/>
        </w:rPr>
        <w:t>Histori</w:t>
      </w:r>
      <w:r w:rsidRPr="00035DCE">
        <w:rPr>
          <w:rStyle w:val="DefaultParagraphFont"/>
          <w:bCs/>
        </w:rPr>
        <w:t>c Fixed Price TCC</w:t>
      </w:r>
      <w:r w:rsidRPr="00035DCE">
        <w:rPr>
          <w:rStyle w:val="DefaultParagraphFont"/>
          <w:bCs/>
        </w:rPr>
        <w:t>s</w:t>
      </w:r>
      <w:r w:rsidRPr="00035DCE">
        <w:rPr>
          <w:rStyle w:val="DefaultParagraphFont"/>
          <w:bCs/>
        </w:rPr>
        <w:t xml:space="preserve"> </w:t>
      </w:r>
      <w:r w:rsidRPr="00035DCE">
        <w:rPr>
          <w:rStyle w:val="DefaultParagraphFont"/>
          <w:bCs/>
        </w:rPr>
        <w:t xml:space="preserve">a qualifying LSE seeks to extend </w:t>
      </w:r>
      <w:r w:rsidRPr="00035DCE">
        <w:rPr>
          <w:rStyle w:val="DefaultParagraphFont"/>
          <w:bCs/>
        </w:rPr>
        <w:t>for a given one-year extension period would make existing and valid TCCs infeasible, it will reduce the number of Historic Fixed Price TCCs that the LSE may extend for that one-year extension period to th</w:t>
      </w:r>
      <w:r w:rsidRPr="00035DCE">
        <w:rPr>
          <w:rStyle w:val="DefaultParagraphFont"/>
          <w:bCs/>
        </w:rPr>
        <w:t>e extent necessary to avoid the infeasibility.  The reduction procedure w</w:t>
      </w:r>
      <w:r w:rsidRPr="00035DCE">
        <w:rPr>
          <w:rStyle w:val="DefaultParagraphFont"/>
          <w:bCs/>
        </w:rPr>
        <w:t xml:space="preserve">ill be conducted in a manner </w:t>
      </w:r>
      <w:r w:rsidRPr="00035DCE">
        <w:rPr>
          <w:rStyle w:val="DefaultParagraphFont"/>
          <w:bCs/>
        </w:rPr>
        <w:t>consistent with t</w:t>
      </w:r>
      <w:r w:rsidRPr="00035DCE">
        <w:rPr>
          <w:rStyle w:val="DefaultParagraphFont"/>
          <w:bCs/>
        </w:rPr>
        <w:t xml:space="preserve">he procedure </w:t>
      </w:r>
      <w:r w:rsidRPr="00035DCE">
        <w:rPr>
          <w:rStyle w:val="DefaultParagraphFont"/>
          <w:bCs/>
        </w:rPr>
        <w:t>described in Section 19.8.2 of this Attachment M, except that the Historic Fixed Price TCCs that the qualify</w:t>
      </w:r>
      <w:r w:rsidRPr="00035DCE">
        <w:rPr>
          <w:rStyle w:val="DefaultParagraphFont"/>
          <w:bCs/>
        </w:rPr>
        <w:t>ing</w:t>
      </w:r>
      <w:r w:rsidRPr="00035DCE">
        <w:rPr>
          <w:rStyle w:val="DefaultParagraphFont"/>
          <w:bCs/>
        </w:rPr>
        <w:t xml:space="preserve"> LSE seeks to</w:t>
      </w:r>
      <w:r w:rsidRPr="00035DCE">
        <w:rPr>
          <w:rStyle w:val="DefaultParagraphFont"/>
          <w:bCs/>
        </w:rPr>
        <w:t xml:space="preserve"> extend will not be represented as fixed injections and withdrawals but will, instead, be represented by a bid curve</w:t>
      </w:r>
      <w:r w:rsidRPr="00035DCE">
        <w:rPr>
          <w:rStyle w:val="DefaultParagraphFont"/>
        </w:rPr>
        <w:t xml:space="preserve">.  </w:t>
      </w:r>
      <w:r w:rsidRPr="00035DCE">
        <w:rPr>
          <w:rStyle w:val="DefaultParagraphFont"/>
        </w:rPr>
        <w:t>I</w:t>
      </w:r>
      <w:r w:rsidRPr="009F0B22">
        <w:rPr>
          <w:rStyle w:val="DefaultParagraphFont"/>
        </w:rPr>
        <w:t>f the LSE declines to purchase an extension</w:t>
      </w:r>
      <w:r>
        <w:rPr>
          <w:rStyle w:val="DefaultParagraphFont"/>
        </w:rPr>
        <w:t xml:space="preserve"> of its Historic Fixed Price TCCs</w:t>
      </w:r>
      <w:r w:rsidRPr="009F0B22">
        <w:rPr>
          <w:rStyle w:val="DefaultParagraphFont"/>
        </w:rPr>
        <w:t xml:space="preserve"> for any given one-year period, it shall remain eligible to purchase </w:t>
      </w:r>
      <w:r>
        <w:rPr>
          <w:rStyle w:val="DefaultParagraphFont"/>
        </w:rPr>
        <w:t>extensions of its Historic Fixed Price TCCs for subsequent</w:t>
      </w:r>
      <w:r w:rsidRPr="009F0B22">
        <w:rPr>
          <w:rStyle w:val="DefaultParagraphFont"/>
        </w:rPr>
        <w:t xml:space="preserve"> year</w:t>
      </w:r>
      <w:r>
        <w:rPr>
          <w:rStyle w:val="DefaultParagraphFont"/>
        </w:rPr>
        <w:t>s</w:t>
      </w:r>
      <w:r w:rsidRPr="009F0B22">
        <w:rPr>
          <w:rStyle w:val="DefaultParagraphFont"/>
        </w:rPr>
        <w:t xml:space="preserve">, subject to the requirements of this Section 19.2.1.4. </w:t>
      </w:r>
    </w:p>
    <w:p w:rsidR="004C09DB" w:rsidP="00183520">
      <w:pPr>
        <w:pStyle w:val="Bodypara0"/>
        <w:rPr>
          <w:rStyle w:val="DefaultParagraphFont"/>
        </w:rPr>
      </w:pPr>
      <w:r w:rsidRPr="009F0B22">
        <w:rPr>
          <w:rStyle w:val="DefaultParagraphFont"/>
        </w:rPr>
        <w:t xml:space="preserve">The ISO shall offer </w:t>
      </w:r>
      <w:r>
        <w:rPr>
          <w:rStyle w:val="DefaultParagraphFont"/>
        </w:rPr>
        <w:t xml:space="preserve">each qualifying </w:t>
      </w:r>
      <w:r w:rsidRPr="009F0B22">
        <w:rPr>
          <w:rStyle w:val="DefaultParagraphFont"/>
        </w:rPr>
        <w:t xml:space="preserve">LSE the option to purchase an </w:t>
      </w:r>
      <w:r w:rsidRPr="009F0B22">
        <w:rPr>
          <w:rStyle w:val="DefaultParagraphFont"/>
        </w:rPr>
        <w:t>extension of its Historic Fixed Price TCCs only once per year</w:t>
      </w:r>
      <w:r>
        <w:rPr>
          <w:rStyle w:val="DefaultParagraphFont"/>
        </w:rPr>
        <w:t xml:space="preserve"> at a price determined in accordance with this Section 19.2.1.4 for the applicable one-year extension period</w:t>
      </w:r>
      <w:r w:rsidRPr="009F0B22">
        <w:rPr>
          <w:rStyle w:val="DefaultParagraphFont"/>
        </w:rPr>
        <w:t xml:space="preserve">.  </w:t>
      </w:r>
      <w:r>
        <w:rPr>
          <w:rStyle w:val="DefaultParagraphFont"/>
        </w:rPr>
        <w:t xml:space="preserve">Such offers by the ISO shall be provided to each qualifying </w:t>
      </w:r>
      <w:r w:rsidRPr="00035DCE">
        <w:rPr>
          <w:rStyle w:val="DefaultParagraphFont"/>
        </w:rPr>
        <w:t>LSE during the Capabilit</w:t>
      </w:r>
      <w:r w:rsidRPr="00035DCE">
        <w:rPr>
          <w:rStyle w:val="DefaultParagraphFont"/>
        </w:rPr>
        <w:t xml:space="preserve">y Period immediately prior to: (i) in the case of initial eligibility to purchase an extension of its Historic Fixed Price TCCs, the </w:t>
      </w:r>
      <w:r w:rsidRPr="00035DCE">
        <w:rPr>
          <w:rStyle w:val="DefaultParagraphFont"/>
        </w:rPr>
        <w:t xml:space="preserve">last </w:t>
      </w:r>
      <w:r w:rsidRPr="00035DCE">
        <w:rPr>
          <w:rStyle w:val="DefaultParagraphFont"/>
        </w:rPr>
        <w:t xml:space="preserve">Capability Period </w:t>
      </w:r>
      <w:r w:rsidRPr="00035DCE">
        <w:rPr>
          <w:rStyle w:val="DefaultParagraphFont"/>
        </w:rPr>
        <w:t xml:space="preserve">of the </w:t>
      </w:r>
      <w:r w:rsidRPr="00035DCE">
        <w:rPr>
          <w:rStyle w:val="DefaultParagraphFont"/>
        </w:rPr>
        <w:t>entire full term for which the LSE initially had the right to purchase and renew its Historic</w:t>
      </w:r>
      <w:r w:rsidRPr="00035DCE">
        <w:rPr>
          <w:rStyle w:val="DefaultParagraphFont"/>
        </w:rPr>
        <w:t xml:space="preserve"> Fixed Price TCCs (</w:t>
      </w:r>
      <w:r w:rsidRPr="00035DCE">
        <w:rPr>
          <w:rStyle w:val="DefaultParagraphFont"/>
          <w:i/>
        </w:rPr>
        <w:t>i.e.</w:t>
      </w:r>
      <w:r w:rsidRPr="00035DCE">
        <w:rPr>
          <w:rStyle w:val="DefaultParagraphFont"/>
        </w:rPr>
        <w:t xml:space="preserve">, 10 or 12 years as set forth in Section 19.2.1.1 of this Attachment M) </w:t>
      </w:r>
      <w:r w:rsidRPr="00035DCE">
        <w:rPr>
          <w:rStyle w:val="DefaultParagraphFont"/>
        </w:rPr>
        <w:t>in which the LSE’</w:t>
      </w:r>
      <w:r w:rsidRPr="00035DCE">
        <w:rPr>
          <w:rStyle w:val="DefaultParagraphFont"/>
        </w:rPr>
        <w:t>s Historic Fixed Price TCCs are (or</w:t>
      </w:r>
      <w:r w:rsidRPr="00035DCE">
        <w:rPr>
          <w:rStyle w:val="DefaultParagraphFont"/>
        </w:rPr>
        <w:t>, absent early termination by the qualifying LSE,</w:t>
      </w:r>
      <w:r w:rsidRPr="00035DCE">
        <w:rPr>
          <w:rStyle w:val="DefaultParagraphFont"/>
        </w:rPr>
        <w:t xml:space="preserve"> would have been) </w:t>
      </w:r>
      <w:r w:rsidRPr="00035DCE">
        <w:rPr>
          <w:rStyle w:val="DefaultParagraphFont"/>
        </w:rPr>
        <w:t>valid</w:t>
      </w:r>
      <w:r w:rsidRPr="00035DCE">
        <w:rPr>
          <w:rStyle w:val="DefaultParagraphFont"/>
        </w:rPr>
        <w:t>; or (ii) in the case of all subseque</w:t>
      </w:r>
      <w:r w:rsidRPr="00035DCE">
        <w:rPr>
          <w:rStyle w:val="DefaultParagraphFont"/>
        </w:rPr>
        <w:t xml:space="preserve">nt years for which the LSE is eligible to purchase an extension of its Historic Fixed Price TCCs, the </w:t>
      </w:r>
      <w:r w:rsidRPr="00035DCE">
        <w:rPr>
          <w:rStyle w:val="DefaultParagraphFont"/>
        </w:rPr>
        <w:t xml:space="preserve">last </w:t>
      </w:r>
      <w:r w:rsidRPr="00035DCE">
        <w:rPr>
          <w:rStyle w:val="DefaultParagraphFont"/>
        </w:rPr>
        <w:t xml:space="preserve">Capability Period in which the prior Historic Fixed Price TCC extension right </w:t>
      </w:r>
      <w:r w:rsidRPr="00035DCE">
        <w:rPr>
          <w:rStyle w:val="DefaultParagraphFont"/>
        </w:rPr>
        <w:t xml:space="preserve">is valid </w:t>
      </w:r>
      <w:r w:rsidRPr="00035DCE">
        <w:rPr>
          <w:rStyle w:val="DefaultParagraphFont"/>
        </w:rPr>
        <w:t>(regardless</w:t>
      </w:r>
      <w:r w:rsidRPr="009F0B22">
        <w:rPr>
          <w:rStyle w:val="DefaultParagraphFont"/>
        </w:rPr>
        <w:t xml:space="preserve"> of whether the LSE purchased an extension </w:t>
      </w:r>
      <w:r>
        <w:rPr>
          <w:rStyle w:val="DefaultParagraphFont"/>
        </w:rPr>
        <w:t>of its H</w:t>
      </w:r>
      <w:r>
        <w:rPr>
          <w:rStyle w:val="DefaultParagraphFont"/>
        </w:rPr>
        <w:t xml:space="preserve">istoric Fixed Price TCCs </w:t>
      </w:r>
      <w:r w:rsidRPr="009F0B22">
        <w:rPr>
          <w:rStyle w:val="DefaultParagraphFont"/>
        </w:rPr>
        <w:t xml:space="preserve">for </w:t>
      </w:r>
      <w:r>
        <w:rPr>
          <w:rStyle w:val="DefaultParagraphFont"/>
        </w:rPr>
        <w:t xml:space="preserve">such </w:t>
      </w:r>
      <w:r w:rsidRPr="009F0B22">
        <w:rPr>
          <w:rStyle w:val="DefaultParagraphFont"/>
        </w:rPr>
        <w:t xml:space="preserve">one-year period).  </w:t>
      </w:r>
      <w:r>
        <w:rPr>
          <w:rStyle w:val="DefaultParagraphFont"/>
        </w:rPr>
        <w:t>A qualifying</w:t>
      </w:r>
      <w:r w:rsidRPr="009F0B22">
        <w:rPr>
          <w:rStyle w:val="DefaultParagraphFont"/>
        </w:rPr>
        <w:t xml:space="preserve"> LSE must </w:t>
      </w:r>
      <w:r>
        <w:rPr>
          <w:rStyle w:val="DefaultParagraphFont"/>
        </w:rPr>
        <w:t xml:space="preserve">provide notice to the ISO, in accordance with ISO Procedures, </w:t>
      </w:r>
      <w:r w:rsidRPr="009F0B22">
        <w:rPr>
          <w:rStyle w:val="DefaultParagraphFont"/>
        </w:rPr>
        <w:t xml:space="preserve">of its decision to purchase </w:t>
      </w:r>
      <w:r>
        <w:rPr>
          <w:rStyle w:val="DefaultParagraphFont"/>
        </w:rPr>
        <w:t xml:space="preserve">or decline to purchase </w:t>
      </w:r>
      <w:r w:rsidRPr="009F0B22">
        <w:rPr>
          <w:rStyle w:val="DefaultParagraphFont"/>
        </w:rPr>
        <w:t>an extension of its Historic Fixed Price TCCs for the one-year perio</w:t>
      </w:r>
      <w:r w:rsidRPr="009F0B22">
        <w:rPr>
          <w:rStyle w:val="DefaultParagraphFont"/>
        </w:rPr>
        <w:t>d at issue by the deadline established by the ISO,</w:t>
      </w:r>
      <w:r>
        <w:rPr>
          <w:rStyle w:val="DefaultParagraphFont"/>
        </w:rPr>
        <w:t xml:space="preserve"> as set forth in ISO Procedures.  The deadline for qualifying LSEs to provide notice of such decision to the ISO</w:t>
      </w:r>
      <w:r w:rsidRPr="009F0B22">
        <w:rPr>
          <w:rStyle w:val="DefaultParagraphFont"/>
        </w:rPr>
        <w:t xml:space="preserve"> shall be a date prior to the </w:t>
      </w:r>
      <w:r>
        <w:rPr>
          <w:rStyle w:val="DefaultParagraphFont"/>
        </w:rPr>
        <w:t>commencement of the Centralized TCC Auction in which the six-mon</w:t>
      </w:r>
      <w:r>
        <w:rPr>
          <w:rStyle w:val="DefaultParagraphFont"/>
        </w:rPr>
        <w:t xml:space="preserve">th Sub-Auction will make transmission capacity available to support </w:t>
      </w:r>
      <w:r w:rsidRPr="00081DF4">
        <w:rPr>
          <w:rStyle w:val="DefaultParagraphFont"/>
        </w:rPr>
        <w:t xml:space="preserve">the sale of TCCs for the </w:t>
      </w:r>
      <w:r w:rsidRPr="00081DF4">
        <w:rPr>
          <w:rStyle w:val="DefaultParagraphFont"/>
        </w:rPr>
        <w:t xml:space="preserve">first </w:t>
      </w:r>
      <w:r w:rsidRPr="00081DF4">
        <w:rPr>
          <w:rStyle w:val="DefaultParagraphFont"/>
        </w:rPr>
        <w:t xml:space="preserve">Capability Period in which the applicable Historic Fixed Price TCC extension would </w:t>
      </w:r>
      <w:r w:rsidRPr="00081DF4">
        <w:rPr>
          <w:rStyle w:val="DefaultParagraphFont"/>
        </w:rPr>
        <w:t>be valid</w:t>
      </w:r>
      <w:r w:rsidRPr="00081DF4">
        <w:rPr>
          <w:rStyle w:val="DefaultParagraphFont"/>
        </w:rPr>
        <w:t>.</w:t>
      </w:r>
      <w:r w:rsidRPr="009F0B22">
        <w:rPr>
          <w:rStyle w:val="DefaultParagraphFont"/>
        </w:rPr>
        <w:t xml:space="preserve">  Notice by </w:t>
      </w:r>
      <w:r>
        <w:rPr>
          <w:rStyle w:val="DefaultParagraphFont"/>
        </w:rPr>
        <w:t>a qualifying</w:t>
      </w:r>
      <w:r w:rsidRPr="009F0B22">
        <w:rPr>
          <w:rStyle w:val="DefaultParagraphFont"/>
        </w:rPr>
        <w:t xml:space="preserve"> LSE of </w:t>
      </w:r>
      <w:r>
        <w:rPr>
          <w:rStyle w:val="DefaultParagraphFont"/>
        </w:rPr>
        <w:t>a</w:t>
      </w:r>
      <w:r w:rsidRPr="009F0B22">
        <w:rPr>
          <w:rStyle w:val="DefaultParagraphFont"/>
        </w:rPr>
        <w:t xml:space="preserve"> decision to purchase an extensi</w:t>
      </w:r>
      <w:r w:rsidRPr="009F0B22">
        <w:rPr>
          <w:rStyle w:val="DefaultParagraphFont"/>
        </w:rPr>
        <w:t xml:space="preserve">on of its Historic Fixed Price TCCs for a given one-year period shall also: (1) specify the </w:t>
      </w:r>
      <w:r>
        <w:rPr>
          <w:rStyle w:val="DefaultParagraphFont"/>
        </w:rPr>
        <w:t>number of Historic Fixed Price TCCs</w:t>
      </w:r>
      <w:r w:rsidRPr="009F0B22">
        <w:rPr>
          <w:rStyle w:val="DefaultParagraphFont"/>
        </w:rPr>
        <w:t xml:space="preserve"> that the LSE seeks to </w:t>
      </w:r>
      <w:r>
        <w:rPr>
          <w:rStyle w:val="DefaultParagraphFont"/>
        </w:rPr>
        <w:t>extend</w:t>
      </w:r>
      <w:r w:rsidRPr="009F0B22">
        <w:rPr>
          <w:rStyle w:val="DefaultParagraphFont"/>
        </w:rPr>
        <w:t xml:space="preserve">; and (2) include the certification required by this Section 19.2.1.4.  </w:t>
      </w:r>
      <w:r>
        <w:rPr>
          <w:rStyle w:val="DefaultParagraphFont"/>
        </w:rPr>
        <w:t xml:space="preserve">Notwithstanding anything to </w:t>
      </w:r>
      <w:r>
        <w:rPr>
          <w:rStyle w:val="DefaultParagraphFont"/>
        </w:rPr>
        <w:t xml:space="preserve">the contrary in this Section 19.2.1.4, if an otherwise qualifying LSE does not provide notice of a decision to purchase or decline to purchase an extension of its Historic Fixed Price TCCs for a given one-year period </w:t>
      </w:r>
      <w:r w:rsidRPr="00AC427C">
        <w:rPr>
          <w:rStyle w:val="DefaultParagraphFont"/>
        </w:rPr>
        <w:t>by t</w:t>
      </w:r>
      <w:r>
        <w:rPr>
          <w:rStyle w:val="DefaultParagraphFont"/>
        </w:rPr>
        <w:t>he applicable deadline to provide n</w:t>
      </w:r>
      <w:r>
        <w:rPr>
          <w:rStyle w:val="DefaultParagraphFont"/>
        </w:rPr>
        <w:t>otice of such decision</w:t>
      </w:r>
      <w:r w:rsidRPr="00AC427C">
        <w:rPr>
          <w:rStyle w:val="DefaultParagraphFont"/>
        </w:rPr>
        <w:t xml:space="preserve"> </w:t>
      </w:r>
      <w:r>
        <w:rPr>
          <w:rStyle w:val="DefaultParagraphFont"/>
        </w:rPr>
        <w:t xml:space="preserve">to </w:t>
      </w:r>
      <w:r w:rsidRPr="00AC427C">
        <w:rPr>
          <w:rStyle w:val="DefaultParagraphFont"/>
        </w:rPr>
        <w:t>the</w:t>
      </w:r>
      <w:r>
        <w:rPr>
          <w:rStyle w:val="DefaultParagraphFont"/>
        </w:rPr>
        <w:t xml:space="preserve"> ISO, the LSE shall become ineligible </w:t>
      </w:r>
      <w:r w:rsidRPr="00AC427C">
        <w:rPr>
          <w:rStyle w:val="DefaultParagraphFont"/>
        </w:rPr>
        <w:t xml:space="preserve">to purchase </w:t>
      </w:r>
      <w:r>
        <w:rPr>
          <w:rStyle w:val="DefaultParagraphFont"/>
        </w:rPr>
        <w:t xml:space="preserve">any </w:t>
      </w:r>
      <w:r w:rsidRPr="00AC427C">
        <w:rPr>
          <w:rStyle w:val="DefaultParagraphFont"/>
        </w:rPr>
        <w:t>future extensions of its Historic Fixed Price TCC</w:t>
      </w:r>
      <w:r>
        <w:rPr>
          <w:rStyle w:val="DefaultParagraphFont"/>
        </w:rPr>
        <w:t xml:space="preserve">s and the ISO shall cease providing Historic Fixed Price TCC extension offers to such LSE. </w:t>
      </w:r>
    </w:p>
    <w:p w:rsidR="004C09DB" w:rsidP="00183520">
      <w:pPr>
        <w:pStyle w:val="Bodypara0"/>
        <w:rPr>
          <w:rStyle w:val="DefaultParagraphFont"/>
        </w:rPr>
      </w:pPr>
      <w:r w:rsidRPr="009F0B22">
        <w:rPr>
          <w:rStyle w:val="DefaultParagraphFont"/>
        </w:rPr>
        <w:t xml:space="preserve">The one-year term of each </w:t>
      </w:r>
      <w:r>
        <w:rPr>
          <w:rStyle w:val="DefaultParagraphFont"/>
        </w:rPr>
        <w:t>Histor</w:t>
      </w:r>
      <w:r>
        <w:rPr>
          <w:rStyle w:val="DefaultParagraphFont"/>
        </w:rPr>
        <w:t xml:space="preserve">ic Fixed Price TCC </w:t>
      </w:r>
      <w:r w:rsidRPr="009F0B22">
        <w:rPr>
          <w:rStyle w:val="DefaultParagraphFont"/>
        </w:rPr>
        <w:t>extension shall commence</w:t>
      </w:r>
      <w:r>
        <w:rPr>
          <w:rStyle w:val="DefaultParagraphFont"/>
        </w:rPr>
        <w:t>:</w:t>
      </w:r>
      <w:r w:rsidRPr="009F0B22">
        <w:rPr>
          <w:rStyle w:val="DefaultParagraphFont"/>
        </w:rPr>
        <w:t xml:space="preserve"> </w:t>
      </w:r>
      <w:r>
        <w:rPr>
          <w:rStyle w:val="DefaultParagraphFont"/>
        </w:rPr>
        <w:t xml:space="preserve">(i) </w:t>
      </w:r>
      <w:r w:rsidRPr="009F0B22">
        <w:rPr>
          <w:rStyle w:val="DefaultParagraphFont"/>
        </w:rPr>
        <w:t xml:space="preserve">in the case of initial eligibility </w:t>
      </w:r>
      <w:r>
        <w:rPr>
          <w:rStyle w:val="DefaultParagraphFont"/>
        </w:rPr>
        <w:t xml:space="preserve">of a qualifying LSE </w:t>
      </w:r>
      <w:r w:rsidRPr="009F0B22">
        <w:rPr>
          <w:rStyle w:val="DefaultParagraphFont"/>
        </w:rPr>
        <w:t>to purchase an extension of its Historic Fixed Price TCCs</w:t>
      </w:r>
      <w:r>
        <w:rPr>
          <w:rStyle w:val="DefaultParagraphFont"/>
        </w:rPr>
        <w:t xml:space="preserve">, </w:t>
      </w:r>
      <w:r w:rsidRPr="009F0B22">
        <w:rPr>
          <w:rStyle w:val="DefaultParagraphFont"/>
        </w:rPr>
        <w:t xml:space="preserve">on the first day of the Capability </w:t>
      </w:r>
      <w:r w:rsidRPr="00035DCE">
        <w:rPr>
          <w:rStyle w:val="DefaultParagraphFont"/>
        </w:rPr>
        <w:t xml:space="preserve">Period following </w:t>
      </w:r>
      <w:r w:rsidRPr="00035DCE">
        <w:rPr>
          <w:rStyle w:val="DefaultParagraphFont"/>
        </w:rPr>
        <w:t xml:space="preserve">the last Capability Period </w:t>
      </w:r>
      <w:r w:rsidRPr="00035DCE">
        <w:rPr>
          <w:rStyle w:val="DefaultParagraphFont"/>
        </w:rPr>
        <w:t xml:space="preserve">of the entire </w:t>
      </w:r>
      <w:r w:rsidRPr="00035DCE">
        <w:rPr>
          <w:rStyle w:val="DefaultParagraphFont"/>
        </w:rPr>
        <w:t>full term for which the LSE initially had the right to purchase and renew its Historic Fixed Price TCCs (</w:t>
      </w:r>
      <w:r w:rsidRPr="00035DCE">
        <w:rPr>
          <w:rStyle w:val="DefaultParagraphFont"/>
          <w:i/>
        </w:rPr>
        <w:t>i.e.</w:t>
      </w:r>
      <w:r w:rsidRPr="00035DCE">
        <w:rPr>
          <w:rStyle w:val="DefaultParagraphFont"/>
        </w:rPr>
        <w:t>, 10 or 12 years as set forth in Section 19.2.1.1 of this Attachment M)</w:t>
      </w:r>
      <w:r w:rsidRPr="00035DCE">
        <w:rPr>
          <w:rStyle w:val="DefaultParagraphFont"/>
        </w:rPr>
        <w:t xml:space="preserve"> in which the LSE’s Historic Fixed Price TCCs are (or</w:t>
      </w:r>
      <w:r w:rsidRPr="00035DCE">
        <w:rPr>
          <w:rStyle w:val="DefaultParagraphFont"/>
        </w:rPr>
        <w:t>, absent early terminat</w:t>
      </w:r>
      <w:r w:rsidRPr="00035DCE">
        <w:rPr>
          <w:rStyle w:val="DefaultParagraphFont"/>
        </w:rPr>
        <w:t>ion by the qualifying LSE,</w:t>
      </w:r>
      <w:r w:rsidRPr="00035DCE">
        <w:rPr>
          <w:rStyle w:val="DefaultParagraphFont"/>
        </w:rPr>
        <w:t xml:space="preserve"> would have been) valid</w:t>
      </w:r>
      <w:r w:rsidRPr="00035DCE">
        <w:rPr>
          <w:rStyle w:val="DefaultParagraphFont"/>
        </w:rPr>
        <w:t>; or (ii) in</w:t>
      </w:r>
      <w:r w:rsidRPr="009F0B22">
        <w:rPr>
          <w:rStyle w:val="DefaultParagraphFont"/>
        </w:rPr>
        <w:t xml:space="preserve"> the case of all subsequent years for which </w:t>
      </w:r>
      <w:r>
        <w:rPr>
          <w:rStyle w:val="DefaultParagraphFont"/>
        </w:rPr>
        <w:t>a qualifying</w:t>
      </w:r>
      <w:r w:rsidRPr="009F0B22">
        <w:rPr>
          <w:rStyle w:val="DefaultParagraphFont"/>
        </w:rPr>
        <w:t xml:space="preserve"> LSE is eligible to purchase </w:t>
      </w:r>
      <w:r w:rsidRPr="00035DCE">
        <w:rPr>
          <w:rStyle w:val="DefaultParagraphFont"/>
        </w:rPr>
        <w:t xml:space="preserve">an extension of its Historic Fixed Price TCCs, on the first day of the Capability Period following the </w:t>
      </w:r>
      <w:r w:rsidRPr="00035DCE">
        <w:rPr>
          <w:rStyle w:val="DefaultParagraphFont"/>
        </w:rPr>
        <w:t>last Ca</w:t>
      </w:r>
      <w:r w:rsidRPr="00035DCE">
        <w:rPr>
          <w:rStyle w:val="DefaultParagraphFont"/>
        </w:rPr>
        <w:t xml:space="preserve">pability Period in which </w:t>
      </w:r>
      <w:r w:rsidRPr="00035DCE">
        <w:rPr>
          <w:rStyle w:val="DefaultParagraphFont"/>
        </w:rPr>
        <w:t>the prior Historic Fixed Price TCC extension right</w:t>
      </w:r>
      <w:r w:rsidRPr="00035DCE">
        <w:rPr>
          <w:rStyle w:val="DefaultParagraphFont"/>
        </w:rPr>
        <w:t xml:space="preserve"> is valid</w:t>
      </w:r>
      <w:r w:rsidRPr="00035DCE">
        <w:rPr>
          <w:rStyle w:val="DefaultParagraphFont"/>
        </w:rPr>
        <w:t xml:space="preserve"> (regardless</w:t>
      </w:r>
      <w:r w:rsidRPr="009F0B22">
        <w:rPr>
          <w:rStyle w:val="DefaultParagraphFont"/>
        </w:rPr>
        <w:t xml:space="preserve"> of whether the LSE purchased an extension</w:t>
      </w:r>
      <w:r>
        <w:rPr>
          <w:rStyle w:val="DefaultParagraphFont"/>
        </w:rPr>
        <w:t xml:space="preserve"> of its Historic Fixed Price TCCs</w:t>
      </w:r>
      <w:r w:rsidRPr="009F0B22">
        <w:rPr>
          <w:rStyle w:val="DefaultParagraphFont"/>
        </w:rPr>
        <w:t xml:space="preserve"> for </w:t>
      </w:r>
      <w:r>
        <w:rPr>
          <w:rStyle w:val="DefaultParagraphFont"/>
        </w:rPr>
        <w:t xml:space="preserve">such </w:t>
      </w:r>
      <w:r w:rsidRPr="009F0B22">
        <w:rPr>
          <w:rStyle w:val="DefaultParagraphFont"/>
        </w:rPr>
        <w:t>one-</w:t>
      </w:r>
      <w:r w:rsidRPr="00035DCE">
        <w:rPr>
          <w:rStyle w:val="DefaultParagraphFont"/>
        </w:rPr>
        <w:t xml:space="preserve">year period).  </w:t>
      </w:r>
      <w:r w:rsidRPr="00035DCE">
        <w:rPr>
          <w:rStyle w:val="DefaultParagraphFont"/>
        </w:rPr>
        <w:t>The term of each His</w:t>
      </w:r>
      <w:r w:rsidRPr="00035DCE">
        <w:rPr>
          <w:rStyle w:val="DefaultParagraphFont"/>
        </w:rPr>
        <w:t xml:space="preserve">toric Fixed Price TCC extension </w:t>
      </w:r>
      <w:r w:rsidRPr="00035DCE">
        <w:rPr>
          <w:rStyle w:val="DefaultParagraphFont"/>
        </w:rPr>
        <w:t>shal</w:t>
      </w:r>
      <w:r w:rsidRPr="00035DCE">
        <w:rPr>
          <w:rStyle w:val="DefaultParagraphFont"/>
        </w:rPr>
        <w:t xml:space="preserve">l expire after the last day of the Capability Period immediately following the Capability Period in which the Historic Fixed Price TCC extension becomes effective.  </w:t>
      </w:r>
      <w:r w:rsidRPr="00035DCE">
        <w:rPr>
          <w:rStyle w:val="DefaultParagraphFont"/>
        </w:rPr>
        <w:t>If</w:t>
      </w:r>
      <w:r w:rsidRPr="009F0B22">
        <w:rPr>
          <w:rStyle w:val="DefaultParagraphFont"/>
        </w:rPr>
        <w:t xml:space="preserve"> the </w:t>
      </w:r>
      <w:r>
        <w:rPr>
          <w:rStyle w:val="DefaultParagraphFont"/>
        </w:rPr>
        <w:t xml:space="preserve">entire </w:t>
      </w:r>
      <w:r w:rsidRPr="009F0B22">
        <w:rPr>
          <w:rStyle w:val="DefaultParagraphFont"/>
        </w:rPr>
        <w:t xml:space="preserve">full term </w:t>
      </w:r>
      <w:r>
        <w:rPr>
          <w:rStyle w:val="DefaultParagraphFont"/>
        </w:rPr>
        <w:t>for which</w:t>
      </w:r>
      <w:r w:rsidRPr="009F0B22">
        <w:rPr>
          <w:rStyle w:val="DefaultParagraphFont"/>
        </w:rPr>
        <w:t xml:space="preserve"> </w:t>
      </w:r>
      <w:r>
        <w:rPr>
          <w:rStyle w:val="DefaultParagraphFont"/>
        </w:rPr>
        <w:t>a qualifying</w:t>
      </w:r>
      <w:r w:rsidRPr="009F0B22">
        <w:rPr>
          <w:rStyle w:val="DefaultParagraphFont"/>
        </w:rPr>
        <w:t xml:space="preserve"> </w:t>
      </w:r>
      <w:r>
        <w:rPr>
          <w:rStyle w:val="DefaultParagraphFont"/>
        </w:rPr>
        <w:t xml:space="preserve">LSE initially had </w:t>
      </w:r>
      <w:r w:rsidRPr="009F0B22">
        <w:rPr>
          <w:rStyle w:val="DefaultParagraphFont"/>
        </w:rPr>
        <w:t xml:space="preserve">the right to purchase and </w:t>
      </w:r>
      <w:r>
        <w:rPr>
          <w:rStyle w:val="DefaultParagraphFont"/>
        </w:rPr>
        <w:t>renew its</w:t>
      </w:r>
      <w:r w:rsidRPr="009F0B22">
        <w:rPr>
          <w:rStyle w:val="DefaultParagraphFont"/>
        </w:rPr>
        <w:t xml:space="preserve"> Historic Fixed Price TCCs (</w:t>
      </w:r>
      <w:r w:rsidRPr="0065573E">
        <w:rPr>
          <w:rStyle w:val="DefaultParagraphFont"/>
          <w:i/>
        </w:rPr>
        <w:t>i</w:t>
      </w:r>
      <w:r w:rsidRPr="00035DCE">
        <w:rPr>
          <w:rStyle w:val="DefaultParagraphFont"/>
          <w:i/>
        </w:rPr>
        <w:t>.e.</w:t>
      </w:r>
      <w:r w:rsidRPr="00035DCE">
        <w:rPr>
          <w:rStyle w:val="DefaultParagraphFont"/>
        </w:rPr>
        <w:t xml:space="preserve">, 10 or 12 years as set forth in Section 19.2.1.1 of this Attachment M) expires on a date other than </w:t>
      </w:r>
      <w:r w:rsidRPr="00035DCE">
        <w:rPr>
          <w:rStyle w:val="DefaultParagraphFont"/>
        </w:rPr>
        <w:t xml:space="preserve">following </w:t>
      </w:r>
      <w:r w:rsidRPr="00035DCE">
        <w:rPr>
          <w:rStyle w:val="DefaultParagraphFont"/>
        </w:rPr>
        <w:t>the last day</w:t>
      </w:r>
      <w:r w:rsidRPr="009F0B22">
        <w:rPr>
          <w:rStyle w:val="DefaultParagraphFont"/>
        </w:rPr>
        <w:t xml:space="preserve"> of a Capability Period and the LSE elects to purchase an extension of its Historic Fixed Pr</w:t>
      </w:r>
      <w:r w:rsidRPr="009F0B22">
        <w:rPr>
          <w:rStyle w:val="DefaultParagraphFont"/>
        </w:rPr>
        <w:t xml:space="preserve">ice TCCs for the first available one-year period, the ISO shall make the transmission capacity associated with </w:t>
      </w:r>
      <w:r>
        <w:rPr>
          <w:rStyle w:val="DefaultParagraphFont"/>
        </w:rPr>
        <w:t>the prior</w:t>
      </w:r>
      <w:r w:rsidRPr="009F0B22">
        <w:rPr>
          <w:rStyle w:val="DefaultParagraphFont"/>
        </w:rPr>
        <w:t xml:space="preserve"> Historic Fixed Price TCCs available to support the sale of TCCs in any Reconfiguration Auction(s) held for TCCs valid between the expir</w:t>
      </w:r>
      <w:r w:rsidRPr="009F0B22">
        <w:rPr>
          <w:rStyle w:val="DefaultParagraphFont"/>
        </w:rPr>
        <w:t xml:space="preserve">ation of the </w:t>
      </w:r>
      <w:r>
        <w:rPr>
          <w:rStyle w:val="DefaultParagraphFont"/>
        </w:rPr>
        <w:t xml:space="preserve">prior </w:t>
      </w:r>
      <w:r w:rsidRPr="009F0B22">
        <w:rPr>
          <w:rStyle w:val="DefaultParagraphFont"/>
        </w:rPr>
        <w:t xml:space="preserve">Historic Fixed Price TCCs and the start date of the extension of </w:t>
      </w:r>
      <w:r>
        <w:rPr>
          <w:rStyle w:val="DefaultParagraphFont"/>
        </w:rPr>
        <w:t>the</w:t>
      </w:r>
      <w:r w:rsidRPr="009F0B22">
        <w:rPr>
          <w:rStyle w:val="DefaultParagraphFont"/>
        </w:rPr>
        <w:t xml:space="preserve"> Historic Fixed Price TCCs.</w:t>
      </w:r>
    </w:p>
    <w:p w:rsidR="004C09DB" w:rsidP="00183520">
      <w:pPr>
        <w:pStyle w:val="Bodypara0"/>
        <w:rPr>
          <w:rStyle w:val="DefaultParagraphFont"/>
        </w:rPr>
      </w:pPr>
      <w:r w:rsidRPr="009F0B22">
        <w:rPr>
          <w:rStyle w:val="DefaultParagraphFont"/>
        </w:rPr>
        <w:t xml:space="preserve">To purchase an extension of its Historic Fixed Price TCCs, </w:t>
      </w:r>
      <w:r>
        <w:rPr>
          <w:rStyle w:val="DefaultParagraphFont"/>
        </w:rPr>
        <w:t>a qualifying</w:t>
      </w:r>
      <w:r w:rsidRPr="009F0B22">
        <w:rPr>
          <w:rStyle w:val="DefaultParagraphFont"/>
        </w:rPr>
        <w:t xml:space="preserve"> LSE must </w:t>
      </w:r>
      <w:r>
        <w:rPr>
          <w:rStyle w:val="DefaultParagraphFont"/>
        </w:rPr>
        <w:t xml:space="preserve">certify </w:t>
      </w:r>
      <w:r w:rsidRPr="009F0B22">
        <w:rPr>
          <w:rStyle w:val="DefaultParagraphFont"/>
        </w:rPr>
        <w:t xml:space="preserve">to the ISO that for the one-year term of the </w:t>
      </w:r>
      <w:r>
        <w:rPr>
          <w:rStyle w:val="DefaultParagraphFont"/>
        </w:rPr>
        <w:t>Histori</w:t>
      </w:r>
      <w:r>
        <w:rPr>
          <w:rStyle w:val="DefaultParagraphFont"/>
        </w:rPr>
        <w:t xml:space="preserve">c Fixed Price TCC </w:t>
      </w:r>
      <w:r w:rsidRPr="009F0B22">
        <w:rPr>
          <w:rStyle w:val="DefaultParagraphFont"/>
        </w:rPr>
        <w:t>extension, the LSE expects to: (i) be legally obligated to serve the Load it hi</w:t>
      </w:r>
      <w:r>
        <w:rPr>
          <w:rStyle w:val="DefaultParagraphFont"/>
        </w:rPr>
        <w:t>storically served under the ETA associated with the Historic Fixed Price TCCs that the LSE seeks to extend</w:t>
      </w:r>
      <w:r w:rsidRPr="009F0B22">
        <w:rPr>
          <w:rStyle w:val="DefaultParagraphFont"/>
        </w:rPr>
        <w:t xml:space="preserve"> (or a portion of that Load at least equal to the num</w:t>
      </w:r>
      <w:r w:rsidRPr="009F0B22">
        <w:rPr>
          <w:rStyle w:val="DefaultParagraphFont"/>
        </w:rPr>
        <w:t xml:space="preserve">ber of Historic Fixed Price </w:t>
      </w:r>
      <w:r>
        <w:rPr>
          <w:rStyle w:val="DefaultParagraphFont"/>
        </w:rPr>
        <w:t xml:space="preserve">TCCs that the LSE seeks </w:t>
      </w:r>
      <w:r w:rsidRPr="009F0B22">
        <w:rPr>
          <w:rStyle w:val="DefaultParagraphFont"/>
        </w:rPr>
        <w:t>to extend for the applicable one-year period); and (ii) need transmission capacity between the Point of Injection and Poin</w:t>
      </w:r>
      <w:r>
        <w:rPr>
          <w:rStyle w:val="DefaultParagraphFont"/>
        </w:rPr>
        <w:t>t of Withdrawal specified in such</w:t>
      </w:r>
      <w:r w:rsidRPr="009F0B22">
        <w:rPr>
          <w:rStyle w:val="DefaultParagraphFont"/>
        </w:rPr>
        <w:t xml:space="preserve"> ETA to serve that Load</w:t>
      </w:r>
      <w:r w:rsidRPr="00081DF4">
        <w:rPr>
          <w:rStyle w:val="DefaultParagraphFont"/>
        </w:rPr>
        <w:t xml:space="preserve">.  </w:t>
      </w:r>
      <w:r w:rsidRPr="00081DF4">
        <w:rPr>
          <w:rStyle w:val="DefaultParagraphFont"/>
        </w:rPr>
        <w:t>The ISO may request tha</w:t>
      </w:r>
      <w:r w:rsidRPr="00081DF4">
        <w:rPr>
          <w:rStyle w:val="DefaultParagraphFont"/>
        </w:rPr>
        <w:t>t a qualifying LSE submit additional information to verify the accuracy of any such certification its provides to the ISO</w:t>
      </w:r>
      <w:r w:rsidRPr="00081DF4">
        <w:rPr>
          <w:rStyle w:val="DefaultParagraphFont"/>
        </w:rPr>
        <w:t>, and the qualifying LSE shall provide any such additional information requested by the ISO</w:t>
      </w:r>
      <w:r w:rsidRPr="00081DF4">
        <w:rPr>
          <w:rStyle w:val="DefaultParagraphFont"/>
        </w:rPr>
        <w:t xml:space="preserve">.  </w:t>
      </w:r>
      <w:r w:rsidRPr="00081DF4">
        <w:rPr>
          <w:rStyle w:val="DefaultParagraphFont"/>
        </w:rPr>
        <w:t>A qualifying LSE shall not be eligible to</w:t>
      </w:r>
      <w:r w:rsidRPr="00081DF4">
        <w:rPr>
          <w:rStyle w:val="DefaultParagraphFont"/>
        </w:rPr>
        <w:t xml:space="preserve"> purchase an extension of its Historic Fixed Price TCCs for a given one-year period for any MW quantity that exceeds its ability to make these required certifications.</w:t>
      </w:r>
    </w:p>
    <w:p w:rsidR="004C09DB" w:rsidP="00183520">
      <w:pPr>
        <w:pStyle w:val="Bodypara0"/>
        <w:rPr>
          <w:rStyle w:val="DefaultParagraphFont"/>
        </w:rPr>
      </w:pPr>
      <w:r w:rsidRPr="009F0B22">
        <w:rPr>
          <w:rStyle w:val="DefaultParagraphFont"/>
        </w:rPr>
        <w:t xml:space="preserve">The purchase price </w:t>
      </w:r>
      <w:r>
        <w:rPr>
          <w:rStyle w:val="DefaultParagraphFont"/>
        </w:rPr>
        <w:t xml:space="preserve">(in $/MW-year) </w:t>
      </w:r>
      <w:r w:rsidRPr="009F0B22">
        <w:rPr>
          <w:rStyle w:val="DefaultParagraphFont"/>
        </w:rPr>
        <w:t xml:space="preserve">for each one-year </w:t>
      </w:r>
      <w:r>
        <w:rPr>
          <w:rStyle w:val="DefaultParagraphFont"/>
        </w:rPr>
        <w:t>period of a Historic Fixed Price TCC</w:t>
      </w:r>
      <w:r>
        <w:rPr>
          <w:rStyle w:val="DefaultParagraphFont"/>
        </w:rPr>
        <w:t xml:space="preserve"> </w:t>
      </w:r>
      <w:r w:rsidRPr="009F0B22">
        <w:rPr>
          <w:rStyle w:val="DefaultParagraphFont"/>
        </w:rPr>
        <w:t xml:space="preserve">extension shall be </w:t>
      </w:r>
      <w:r>
        <w:rPr>
          <w:rStyle w:val="DefaultParagraphFont"/>
        </w:rPr>
        <w:t xml:space="preserve">equal to </w:t>
      </w:r>
      <w:r w:rsidRPr="009F0B22">
        <w:rPr>
          <w:rStyle w:val="DefaultParagraphFont"/>
        </w:rPr>
        <w:t xml:space="preserve">the weighted average </w:t>
      </w:r>
      <w:r>
        <w:rPr>
          <w:rStyle w:val="DefaultParagraphFont"/>
        </w:rPr>
        <w:t xml:space="preserve">of the </w:t>
      </w:r>
      <w:r w:rsidRPr="009F0B22">
        <w:rPr>
          <w:rStyle w:val="DefaultParagraphFont"/>
        </w:rPr>
        <w:t xml:space="preserve">market-clearing prices from </w:t>
      </w:r>
      <w:r>
        <w:rPr>
          <w:rStyle w:val="DefaultParagraphFont"/>
        </w:rPr>
        <w:t xml:space="preserve">the most recently completed </w:t>
      </w:r>
      <w:r w:rsidRPr="009F0B22">
        <w:rPr>
          <w:rStyle w:val="DefaultParagraphFont"/>
        </w:rPr>
        <w:t xml:space="preserve">one-year Sub-Auction </w:t>
      </w:r>
      <w:r>
        <w:rPr>
          <w:rStyle w:val="DefaultParagraphFont"/>
        </w:rPr>
        <w:t xml:space="preserve">rounds of a Centralized TCC Auction </w:t>
      </w:r>
      <w:r w:rsidRPr="009F0B22">
        <w:rPr>
          <w:rStyle w:val="DefaultParagraphFont"/>
        </w:rPr>
        <w:t xml:space="preserve">at the time the </w:t>
      </w:r>
      <w:r>
        <w:rPr>
          <w:rStyle w:val="DefaultParagraphFont"/>
        </w:rPr>
        <w:t xml:space="preserve">Historic Fixed Price TCC </w:t>
      </w:r>
      <w:r w:rsidRPr="009F0B22">
        <w:rPr>
          <w:rStyle w:val="DefaultParagraphFont"/>
        </w:rPr>
        <w:t xml:space="preserve">extension offer is made by the </w:t>
      </w:r>
      <w:r w:rsidRPr="00035DCE">
        <w:rPr>
          <w:rStyle w:val="DefaultParagraphFont"/>
        </w:rPr>
        <w:t>ISO</w:t>
      </w:r>
      <w:r w:rsidRPr="00035DCE">
        <w:rPr>
          <w:rStyle w:val="DefaultParagraphFont"/>
        </w:rPr>
        <w:t>,</w:t>
      </w:r>
      <w:r w:rsidRPr="00035DCE">
        <w:rPr>
          <w:rStyle w:val="DefaultParagraphFont"/>
        </w:rPr>
        <w:t xml:space="preserve"> f</w:t>
      </w:r>
      <w:r>
        <w:rPr>
          <w:rStyle w:val="DefaultParagraphFont"/>
        </w:rPr>
        <w:t>or a TCC</w:t>
      </w:r>
      <w:r>
        <w:rPr>
          <w:rStyle w:val="DefaultParagraphFont"/>
        </w:rPr>
        <w:t xml:space="preserve"> with the same Point of Injection and Point of Withdrawal as the Historic Fixed Price TCCs that the qualifying LSE seeks to extend</w:t>
      </w:r>
      <w:r w:rsidRPr="009F0B22">
        <w:rPr>
          <w:rStyle w:val="DefaultParagraphFont"/>
        </w:rPr>
        <w:t xml:space="preserve">.  </w:t>
      </w:r>
      <w:r w:rsidRPr="00327384">
        <w:rPr>
          <w:rStyle w:val="DefaultParagraphFont"/>
        </w:rPr>
        <w:t>Notwithstanding anything to the contrary herein, if a Centralized TCC A</w:t>
      </w:r>
      <w:r w:rsidRPr="00327384">
        <w:rPr>
          <w:rStyle w:val="DefaultParagraphFont"/>
        </w:rPr>
        <w:t xml:space="preserve">uction includes a single round one-year Sub-Auction </w:t>
      </w:r>
      <w:r w:rsidRPr="00327384">
        <w:rPr>
          <w:rStyle w:val="DefaultParagraphFont"/>
        </w:rPr>
        <w:t xml:space="preserve">for TCCs with a start date that is </w:t>
      </w:r>
      <w:r w:rsidRPr="00327384">
        <w:rPr>
          <w:rStyle w:val="DefaultParagraphFont"/>
        </w:rPr>
        <w:t xml:space="preserve">after the </w:t>
      </w:r>
      <w:r w:rsidRPr="00327384">
        <w:rPr>
          <w:rStyle w:val="DefaultParagraphFont"/>
        </w:rPr>
        <w:t xml:space="preserve">first day </w:t>
      </w:r>
      <w:r w:rsidRPr="00327384">
        <w:rPr>
          <w:rStyle w:val="DefaultParagraphFont"/>
        </w:rPr>
        <w:t>of the Capability Period that commences immediately following the completion of such Centralized TCC Auction</w:t>
      </w:r>
      <w:r w:rsidRPr="00327384">
        <w:rPr>
          <w:rStyle w:val="DefaultParagraphFont"/>
        </w:rPr>
        <w:t xml:space="preserve">, such </w:t>
      </w:r>
      <w:r w:rsidRPr="00327384">
        <w:rPr>
          <w:rStyle w:val="DefaultParagraphFont"/>
        </w:rPr>
        <w:t xml:space="preserve">single </w:t>
      </w:r>
      <w:r w:rsidRPr="00327384">
        <w:rPr>
          <w:rStyle w:val="DefaultParagraphFont"/>
        </w:rPr>
        <w:t>round</w:t>
      </w:r>
      <w:r w:rsidRPr="00327384">
        <w:rPr>
          <w:rStyle w:val="DefaultParagraphFont"/>
        </w:rPr>
        <w:t xml:space="preserve"> one-year Sub-Auction </w:t>
      </w:r>
      <w:r w:rsidRPr="00327384">
        <w:rPr>
          <w:rStyle w:val="DefaultParagraphFont"/>
        </w:rPr>
        <w:t>shall not be considered for purposes of this Section</w:t>
      </w:r>
      <w:r w:rsidRPr="00327384">
        <w:rPr>
          <w:rStyle w:val="DefaultParagraphFont"/>
        </w:rPr>
        <w:t xml:space="preserve"> 19.2.1.4.  </w:t>
      </w:r>
      <w:r w:rsidRPr="00327384">
        <w:rPr>
          <w:rStyle w:val="DefaultParagraphFont"/>
        </w:rPr>
        <w:t>The</w:t>
      </w:r>
      <w:r w:rsidRPr="009F0B22">
        <w:rPr>
          <w:rStyle w:val="DefaultParagraphFont"/>
        </w:rPr>
        <w:t xml:space="preserve"> weighting assigned to the market-clearing prices from each applicable round shall be determined based on the ratio of (i) the percentage of transmission capacity made available in the applicable round to support the sale of one-year TCCs; t</w:t>
      </w:r>
      <w:r w:rsidRPr="009F0B22">
        <w:rPr>
          <w:rStyle w:val="DefaultParagraphFont"/>
        </w:rPr>
        <w:t xml:space="preserve">o (ii) the total percentage of transmission capacity made available to support the sale of one-year TCCs </w:t>
      </w:r>
      <w:r>
        <w:rPr>
          <w:rStyle w:val="DefaultParagraphFont"/>
        </w:rPr>
        <w:t xml:space="preserve">with the same start date </w:t>
      </w:r>
      <w:r>
        <w:rPr>
          <w:rStyle w:val="DefaultParagraphFont"/>
        </w:rPr>
        <w:t xml:space="preserve">as TCCs for the applicable round </w:t>
      </w:r>
      <w:r w:rsidRPr="009F0B22">
        <w:rPr>
          <w:rStyle w:val="DefaultParagraphFont"/>
        </w:rPr>
        <w:t>in the relevant Centralized TCC Auction.</w:t>
      </w:r>
      <w:r>
        <w:rPr>
          <w:rStyle w:val="DefaultParagraphFont"/>
        </w:rPr>
        <w:t xml:space="preserve">  </w:t>
      </w:r>
      <w:r w:rsidRPr="00767455">
        <w:rPr>
          <w:rStyle w:val="DefaultParagraphFont"/>
        </w:rPr>
        <w:t>In no event shall the purchase price for an extensi</w:t>
      </w:r>
      <w:r w:rsidRPr="00767455">
        <w:rPr>
          <w:rStyle w:val="DefaultParagraphFont"/>
        </w:rPr>
        <w:t xml:space="preserve">on of Historic Fixed Price TCCs be less than zero.  If the </w:t>
      </w:r>
      <w:r>
        <w:rPr>
          <w:rStyle w:val="DefaultParagraphFont"/>
        </w:rPr>
        <w:t xml:space="preserve">calculation </w:t>
      </w:r>
      <w:r w:rsidRPr="00767455">
        <w:rPr>
          <w:rStyle w:val="DefaultParagraphFont"/>
        </w:rPr>
        <w:t>described above produces a value less than zero</w:t>
      </w:r>
      <w:r>
        <w:rPr>
          <w:rStyle w:val="DefaultParagraphFont"/>
        </w:rPr>
        <w:t xml:space="preserve"> for a particular extension of Historic Fixed Price TCCs</w:t>
      </w:r>
      <w:r w:rsidRPr="00767455">
        <w:rPr>
          <w:rStyle w:val="DefaultParagraphFont"/>
        </w:rPr>
        <w:t xml:space="preserve">, the purchase price for such </w:t>
      </w:r>
      <w:r>
        <w:rPr>
          <w:rStyle w:val="DefaultParagraphFont"/>
        </w:rPr>
        <w:t xml:space="preserve">Historic Fixed Price TCC </w:t>
      </w:r>
      <w:r w:rsidRPr="00767455">
        <w:rPr>
          <w:rStyle w:val="DefaultParagraphFont"/>
        </w:rPr>
        <w:t>extension shall be set to z</w:t>
      </w:r>
      <w:r w:rsidRPr="00767455">
        <w:rPr>
          <w:rStyle w:val="DefaultParagraphFont"/>
        </w:rPr>
        <w:t>ero.</w:t>
      </w:r>
      <w:r>
        <w:rPr>
          <w:rStyle w:val="DefaultParagraphFont"/>
        </w:rPr>
        <w:t xml:space="preserve">   </w:t>
      </w:r>
    </w:p>
    <w:p w:rsidR="004C09DB" w:rsidP="00183520">
      <w:pPr>
        <w:pStyle w:val="Bodypara0"/>
        <w:rPr>
          <w:rStyle w:val="DefaultParagraphFont"/>
        </w:rPr>
      </w:pPr>
      <w:r w:rsidRPr="009F0B22">
        <w:rPr>
          <w:rStyle w:val="DefaultParagraphFont"/>
        </w:rPr>
        <w:t xml:space="preserve">A </w:t>
      </w:r>
      <w:r>
        <w:rPr>
          <w:rStyle w:val="DefaultParagraphFont"/>
        </w:rPr>
        <w:t xml:space="preserve">qualifying </w:t>
      </w:r>
      <w:r w:rsidRPr="009F0B22">
        <w:rPr>
          <w:rStyle w:val="DefaultParagraphFont"/>
        </w:rPr>
        <w:t xml:space="preserve">LSE that seeks to purchase extensions of its Historic Fixed Price TCCs shall be required to pay the ISO the total amount specified for each one-year </w:t>
      </w:r>
      <w:r>
        <w:rPr>
          <w:rStyle w:val="DefaultParagraphFont"/>
        </w:rPr>
        <w:t xml:space="preserve">Historic Fixed Price TCC </w:t>
      </w:r>
      <w:r w:rsidRPr="009F0B22">
        <w:rPr>
          <w:rStyle w:val="DefaultParagraphFont"/>
        </w:rPr>
        <w:t xml:space="preserve">extension the LSE seeks to purchase.  Billing for extensions </w:t>
      </w:r>
      <w:r w:rsidRPr="009F0B22">
        <w:rPr>
          <w:rStyle w:val="DefaultParagraphFont"/>
        </w:rPr>
        <w:t xml:space="preserve">of Historic Fixed Price TCCs shall be in accordance with ISO Procedures.  To challenge settlement information contained in an invoice, </w:t>
      </w:r>
      <w:r>
        <w:rPr>
          <w:rStyle w:val="DefaultParagraphFont"/>
        </w:rPr>
        <w:t xml:space="preserve">the qualifying LSE </w:t>
      </w:r>
      <w:r w:rsidRPr="009F0B22">
        <w:rPr>
          <w:rStyle w:val="DefaultParagraphFont"/>
        </w:rPr>
        <w:t xml:space="preserve">shall first make payment in full, including any amounts in dispute.  If </w:t>
      </w:r>
      <w:r>
        <w:rPr>
          <w:rStyle w:val="DefaultParagraphFont"/>
        </w:rPr>
        <w:t>a qualifying</w:t>
      </w:r>
      <w:r w:rsidRPr="009F0B22">
        <w:rPr>
          <w:rStyle w:val="DefaultParagraphFont"/>
        </w:rPr>
        <w:t xml:space="preserve"> LSE fails to make</w:t>
      </w:r>
      <w:r w:rsidRPr="009F0B22">
        <w:rPr>
          <w:rStyle w:val="DefaultParagraphFont"/>
        </w:rPr>
        <w:t xml:space="preserve"> any required payment for an extension of its Historic Fixed Price TCCs, the LSE shall surrender those Historic Fixed Price TCCs for </w:t>
      </w:r>
      <w:r>
        <w:rPr>
          <w:rStyle w:val="DefaultParagraphFont"/>
        </w:rPr>
        <w:t xml:space="preserve">the </w:t>
      </w:r>
      <w:r w:rsidRPr="009F0B22">
        <w:rPr>
          <w:rStyle w:val="DefaultParagraphFont"/>
        </w:rPr>
        <w:t xml:space="preserve">one-year </w:t>
      </w:r>
      <w:r>
        <w:rPr>
          <w:rStyle w:val="DefaultParagraphFont"/>
        </w:rPr>
        <w:t xml:space="preserve">period </w:t>
      </w:r>
      <w:r w:rsidRPr="009F0B22">
        <w:rPr>
          <w:rStyle w:val="DefaultParagraphFont"/>
        </w:rPr>
        <w:t xml:space="preserve">at issue; provided, however, that the ISO shall provide a one week cure period for the LSE to make the </w:t>
      </w:r>
      <w:r w:rsidRPr="009F0B22">
        <w:rPr>
          <w:rStyle w:val="DefaultParagraphFont"/>
        </w:rPr>
        <w:t>required payment before its Historic Fixed Price TCCs are surrendered for the one-year period at issue.</w:t>
      </w:r>
    </w:p>
    <w:p w:rsidR="004C09DB" w:rsidRPr="004C09DB" w:rsidP="00183520">
      <w:pPr>
        <w:pStyle w:val="Bodypara0"/>
        <w:rPr>
          <w:rStyle w:val="DefaultParagraphFont"/>
        </w:rPr>
      </w:pPr>
      <w:r w:rsidRPr="009F0B22">
        <w:rPr>
          <w:rStyle w:val="DefaultParagraphFont"/>
        </w:rPr>
        <w:t>Not</w:t>
      </w:r>
      <w:r>
        <w:rPr>
          <w:rStyle w:val="DefaultParagraphFont"/>
        </w:rPr>
        <w:t xml:space="preserve">withstanding the foregoing, with respect to qualifying LSEs with </w:t>
      </w:r>
      <w:r>
        <w:rPr>
          <w:rStyle w:val="DefaultParagraphFont"/>
        </w:rPr>
        <w:t xml:space="preserve">Historic Fixed Price TCCs </w:t>
      </w:r>
      <w:r w:rsidRPr="009F0B22">
        <w:rPr>
          <w:rStyle w:val="DefaultParagraphFont"/>
        </w:rPr>
        <w:t xml:space="preserve">for </w:t>
      </w:r>
      <w:r w:rsidRPr="00035DCE">
        <w:rPr>
          <w:rStyle w:val="DefaultParagraphFont"/>
        </w:rPr>
        <w:t xml:space="preserve">which the </w:t>
      </w:r>
      <w:r w:rsidRPr="00035DCE">
        <w:rPr>
          <w:rStyle w:val="DefaultParagraphFont"/>
        </w:rPr>
        <w:t xml:space="preserve">last Capability Period of the </w:t>
      </w:r>
      <w:r w:rsidRPr="00035DCE">
        <w:rPr>
          <w:rStyle w:val="DefaultParagraphFont"/>
        </w:rPr>
        <w:t xml:space="preserve">entire full </w:t>
      </w:r>
      <w:r w:rsidRPr="00035DCE">
        <w:rPr>
          <w:rStyle w:val="DefaultParagraphFont"/>
        </w:rPr>
        <w:t>term for which the LSE initially had the right to purchase and renew its Historic Fixed Price TCCs (</w:t>
      </w:r>
      <w:r w:rsidRPr="00035DCE">
        <w:rPr>
          <w:rStyle w:val="DefaultParagraphFont"/>
          <w:i/>
        </w:rPr>
        <w:t>i.e.</w:t>
      </w:r>
      <w:r w:rsidRPr="00035DCE">
        <w:rPr>
          <w:rStyle w:val="DefaultParagraphFont"/>
        </w:rPr>
        <w:t xml:space="preserve">, 10 or 12 years as set forth in Section 19.2.1.1 of this Attachment M) </w:t>
      </w:r>
      <w:r w:rsidRPr="00035DCE">
        <w:rPr>
          <w:rStyle w:val="DefaultParagraphFont"/>
        </w:rPr>
        <w:t xml:space="preserve">in which the LSE’s Historic Fixed Price TCCs are </w:t>
      </w:r>
      <w:r w:rsidRPr="00035DCE">
        <w:rPr>
          <w:rStyle w:val="DefaultParagraphFont"/>
        </w:rPr>
        <w:t>(or</w:t>
      </w:r>
      <w:r w:rsidRPr="00035DCE">
        <w:rPr>
          <w:rStyle w:val="DefaultParagraphFont"/>
        </w:rPr>
        <w:t>, absent early termination b</w:t>
      </w:r>
      <w:r w:rsidRPr="00035DCE">
        <w:rPr>
          <w:rStyle w:val="DefaultParagraphFont"/>
        </w:rPr>
        <w:t>y the qualifying LSE,</w:t>
      </w:r>
      <w:r w:rsidRPr="00035DCE">
        <w:rPr>
          <w:rStyle w:val="DefaultParagraphFont"/>
        </w:rPr>
        <w:t xml:space="preserve"> would have been) </w:t>
      </w:r>
      <w:r w:rsidRPr="00035DCE">
        <w:rPr>
          <w:rStyle w:val="DefaultParagraphFont"/>
        </w:rPr>
        <w:t xml:space="preserve">valid is </w:t>
      </w:r>
      <w:r w:rsidRPr="00035DCE">
        <w:rPr>
          <w:rStyle w:val="DefaultParagraphFont"/>
        </w:rPr>
        <w:t>the 2018 Summer Capability Period</w:t>
      </w:r>
      <w:r w:rsidRPr="009F0B22">
        <w:rPr>
          <w:rStyle w:val="DefaultParagraphFont"/>
        </w:rPr>
        <w:t xml:space="preserve">: (i) the ISO shall </w:t>
      </w:r>
      <w:r>
        <w:rPr>
          <w:rStyle w:val="DefaultParagraphFont"/>
        </w:rPr>
        <w:t xml:space="preserve">offer each </w:t>
      </w:r>
      <w:r w:rsidRPr="009F0B22">
        <w:rPr>
          <w:rStyle w:val="DefaultParagraphFont"/>
        </w:rPr>
        <w:t xml:space="preserve">such LSE </w:t>
      </w:r>
      <w:r>
        <w:rPr>
          <w:rStyle w:val="DefaultParagraphFont"/>
        </w:rPr>
        <w:t xml:space="preserve">the </w:t>
      </w:r>
      <w:r w:rsidRPr="009F0B22">
        <w:rPr>
          <w:rStyle w:val="DefaultParagraphFont"/>
        </w:rPr>
        <w:t xml:space="preserve">right to purchase an extension of </w:t>
      </w:r>
      <w:r>
        <w:rPr>
          <w:rStyle w:val="DefaultParagraphFont"/>
        </w:rPr>
        <w:t>its</w:t>
      </w:r>
      <w:r w:rsidRPr="009F0B22">
        <w:rPr>
          <w:rStyle w:val="DefaultParagraphFont"/>
        </w:rPr>
        <w:t xml:space="preserve"> Historic Fixed Price TCCs promptly after the effective date of this Section 19.2.1.4; and (ii</w:t>
      </w:r>
      <w:r w:rsidRPr="009F0B22">
        <w:rPr>
          <w:rStyle w:val="DefaultParagraphFont"/>
        </w:rPr>
        <w:t xml:space="preserve">) </w:t>
      </w:r>
      <w:r>
        <w:rPr>
          <w:rStyle w:val="DefaultParagraphFont"/>
        </w:rPr>
        <w:t xml:space="preserve">each such </w:t>
      </w:r>
      <w:r w:rsidRPr="009F0B22">
        <w:rPr>
          <w:rStyle w:val="DefaultParagraphFont"/>
        </w:rPr>
        <w:t xml:space="preserve">LSE </w:t>
      </w:r>
      <w:r>
        <w:rPr>
          <w:rStyle w:val="DefaultParagraphFont"/>
        </w:rPr>
        <w:t xml:space="preserve">shall </w:t>
      </w:r>
      <w:r w:rsidRPr="009F0B22">
        <w:rPr>
          <w:rStyle w:val="DefaultParagraphFont"/>
        </w:rPr>
        <w:t xml:space="preserve">provide the required notice of </w:t>
      </w:r>
      <w:r>
        <w:rPr>
          <w:rStyle w:val="DefaultParagraphFont"/>
        </w:rPr>
        <w:t>its decision to purchase or decline</w:t>
      </w:r>
      <w:r w:rsidRPr="009F0B22">
        <w:rPr>
          <w:rStyle w:val="DefaultParagraphFont"/>
        </w:rPr>
        <w:t xml:space="preserve"> to purchase an extension </w:t>
      </w:r>
      <w:r>
        <w:rPr>
          <w:rStyle w:val="DefaultParagraphFont"/>
        </w:rPr>
        <w:t xml:space="preserve">of its Historic Fixed Price TCCs </w:t>
      </w:r>
      <w:r w:rsidRPr="009F0B22">
        <w:rPr>
          <w:rStyle w:val="DefaultParagraphFont"/>
        </w:rPr>
        <w:t>for the one-year period commencing November 1, 2018 by a deadline to be established by the ISO.  The purchase</w:t>
      </w:r>
      <w:r w:rsidRPr="009F0B22">
        <w:rPr>
          <w:rStyle w:val="DefaultParagraphFont"/>
        </w:rPr>
        <w:t xml:space="preserve"> price for the initial one-year extension of such Historic Fixed Price TCCs shall be calculated in the manner described above, using the market-clearing prices from the one-year Sub-Auction rounds of the Centralized TCC Auction conducted prior to the 2018 </w:t>
      </w:r>
      <w:r w:rsidRPr="009F0B22">
        <w:rPr>
          <w:rStyle w:val="DefaultParagraphFont"/>
        </w:rPr>
        <w:t>Summer Capability Period (</w:t>
      </w:r>
      <w:r w:rsidRPr="00061951">
        <w:rPr>
          <w:rStyle w:val="DefaultParagraphFont"/>
          <w:i/>
        </w:rPr>
        <w:t>i.e.</w:t>
      </w:r>
      <w:r w:rsidRPr="009F0B22">
        <w:rPr>
          <w:rStyle w:val="DefaultParagraphFont"/>
        </w:rPr>
        <w:t xml:space="preserve">, the 2018 spring Centralized TCC Auction).  </w:t>
      </w:r>
      <w:r>
        <w:rPr>
          <w:rStyle w:val="DefaultParagraphFont"/>
        </w:rPr>
        <w:t>If a qualifying LSE elects to purchase an extension of such Historic Fixed Price TCCs for the initial one-year period, t</w:t>
      </w:r>
      <w:r w:rsidRPr="009F0B22">
        <w:rPr>
          <w:rStyle w:val="DefaultParagraphFont"/>
        </w:rPr>
        <w:t xml:space="preserve">he start date of </w:t>
      </w:r>
      <w:r>
        <w:rPr>
          <w:rStyle w:val="DefaultParagraphFont"/>
        </w:rPr>
        <w:t xml:space="preserve">such a Historic Fixed Price TCC </w:t>
      </w:r>
      <w:r w:rsidRPr="009F0B22">
        <w:rPr>
          <w:rStyle w:val="DefaultParagraphFont"/>
        </w:rPr>
        <w:t>extension sh</w:t>
      </w:r>
      <w:r w:rsidRPr="009F0B22">
        <w:rPr>
          <w:rStyle w:val="DefaultParagraphFont"/>
        </w:rPr>
        <w:t>all be November 1, 2018.</w:t>
      </w:r>
    </w:p>
    <w:p w:rsidR="008752D9" w:rsidRPr="004C0E53">
      <w:pPr>
        <w:pStyle w:val="Heading31"/>
        <w:rPr>
          <w:rStyle w:val="DefaultParagraphFont"/>
        </w:rPr>
      </w:pPr>
      <w:r w:rsidRPr="004C0E53">
        <w:rPr>
          <w:rStyle w:val="DefaultParagraphFont"/>
        </w:rPr>
        <w:t>19.2.2</w:t>
      </w:r>
      <w:r w:rsidRPr="004C0E53">
        <w:rPr>
          <w:rStyle w:val="DefaultParagraphFont"/>
        </w:rPr>
        <w:tab/>
        <w:t>Awards of Non-Historic Fixed Price TCCs</w:t>
      </w:r>
    </w:p>
    <w:p w:rsidR="008752D9" w:rsidRPr="004C0E53">
      <w:pPr>
        <w:pStyle w:val="Heading40"/>
        <w:rPr>
          <w:rStyle w:val="DefaultParagraphFont"/>
        </w:rPr>
      </w:pPr>
      <w:r w:rsidRPr="004C0E53">
        <w:rPr>
          <w:rStyle w:val="DefaultParagraphFont"/>
        </w:rPr>
        <w:t xml:space="preserve">19.2.2.1 </w:t>
      </w:r>
      <w:r w:rsidRPr="004C0E53">
        <w:rPr>
          <w:rStyle w:val="DefaultParagraphFont"/>
        </w:rPr>
        <w:tab/>
        <w:t>Initial Purchase of Non-Historic Fixed Price TCCs</w:t>
      </w:r>
    </w:p>
    <w:p w:rsidR="008752D9" w:rsidRPr="004C0E53">
      <w:pPr>
        <w:pStyle w:val="Bodypara0"/>
        <w:rPr>
          <w:rStyle w:val="DefaultParagraphFont"/>
        </w:rPr>
      </w:pPr>
      <w:r w:rsidRPr="004C0E53">
        <w:rPr>
          <w:rStyle w:val="DefaultParagraphFont"/>
        </w:rPr>
        <w:t>LSEs may be eligible to purchase Non-Historic Fixed Price TCCs, at prices established pursuant to Section 19.2.2.3.1 below i</w:t>
      </w:r>
      <w:r w:rsidRPr="004C0E53">
        <w:rPr>
          <w:rStyle w:val="DefaultParagraphFont"/>
        </w:rPr>
        <w:t xml:space="preserve">f, pursuant to ISO Procedures, they submit a completed Notice of Intent to Purchase specifying the quantity of Non-Historic Fixed Price TCCs they intend to obtain under this Section 19.2.2.1 by </w:t>
      </w:r>
      <w:r w:rsidRPr="004C0E53">
        <w:rPr>
          <w:rStyle w:val="DefaultParagraphFont"/>
        </w:rPr>
        <w:t xml:space="preserve">Load Zone Point of Withdrawal. </w:t>
      </w:r>
      <w:r w:rsidRPr="004C0E53">
        <w:rPr>
          <w:rStyle w:val="DefaultParagraphFont"/>
        </w:rPr>
        <w:t xml:space="preserve"> The LSE shall also indicate fo</w:t>
      </w:r>
      <w:r w:rsidRPr="004C0E53">
        <w:rPr>
          <w:rStyle w:val="DefaultParagraphFont"/>
        </w:rPr>
        <w:t>r each Load Zone potential Points of Injection for their</w:t>
      </w:r>
      <w:r w:rsidRPr="004C0E53">
        <w:rPr>
          <w:rStyle w:val="DefaultParagraphFont"/>
        </w:rPr>
        <w:t xml:space="preserve"> Non-Historic Fixed Price TCCs.</w:t>
      </w:r>
      <w:r w:rsidRPr="004C0E53">
        <w:rPr>
          <w:rStyle w:val="DefaultParagraphFont"/>
        </w:rPr>
        <w:t xml:space="preserve">  The LSE must provide its completed Notice of Intent to Purchase prior to the deadline established by the ISO.  The LSE’s completed Notice of Intent to Purchase shall a</w:t>
      </w:r>
      <w:r w:rsidRPr="004C0E53">
        <w:rPr>
          <w:rStyle w:val="DefaultParagraphFont"/>
        </w:rPr>
        <w:t>lso include a written certification.  The written certification shall state that the LSE: (i) expects to be legally obligated to serve Load in each identified Load Zone in an amount and for a term that equals or exceeds the sum of the number of Non-Histori</w:t>
      </w:r>
      <w:r w:rsidRPr="004C0E53">
        <w:rPr>
          <w:rStyle w:val="DefaultParagraphFont"/>
        </w:rPr>
        <w:t>c Fixed Price TCCs that it intends to obtain under this Section 19.2.2.1 with a Point of Withdrawal in that Load Zone and the number of Grandfathered TCCs, Grandfathered Rights and Historic Fixed Price TCCs, in effect for the same term, that are held by or</w:t>
      </w:r>
      <w:r w:rsidRPr="004C0E53">
        <w:rPr>
          <w:rStyle w:val="DefaultParagraphFont"/>
        </w:rPr>
        <w:t xml:space="preserve"> on behalf of the LSE with Points of Withdrawal in that Load Zone; and (ii) has served Load in the identified Load Zone in the most recently concluded Capability Period.  The LSE will not be allowed to obtain Non-Historic Fixed Price TCCs under this Sectio</w:t>
      </w:r>
      <w:r w:rsidRPr="004C0E53">
        <w:rPr>
          <w:rStyle w:val="DefaultParagraphFont"/>
        </w:rPr>
        <w:t xml:space="preserve">n to the extent that it does not satisfy either or both of these requirements prior to the deadline established by the ISO for this submittal.  Additional information regarding the Notice of Intent to Purchase, including the written certification included </w:t>
      </w:r>
      <w:r w:rsidRPr="004C0E53">
        <w:rPr>
          <w:rStyle w:val="DefaultParagraphFont"/>
        </w:rPr>
        <w:t xml:space="preserve">therein, shall be set forth in the ISO Procedures. </w:t>
      </w:r>
    </w:p>
    <w:p w:rsidR="008752D9" w:rsidRPr="004C0E53">
      <w:pPr>
        <w:pStyle w:val="Bodypara0"/>
        <w:rPr>
          <w:rStyle w:val="DefaultParagraphFont"/>
        </w:rPr>
      </w:pPr>
      <w:r w:rsidRPr="004C0E53">
        <w:rPr>
          <w:rStyle w:val="DefaultParagraphFont"/>
        </w:rPr>
        <w:t xml:space="preserve">The NYISO shall notify each LSE requesting a Notice of Intent to Purchase of the number of Non-Historic Fixed Price TCCs which the LSE is eligible to purchase by Load Zone Point of Withdrawal. </w:t>
      </w:r>
    </w:p>
    <w:p w:rsidR="008752D9" w:rsidRPr="004C0E53" w:rsidP="00183520">
      <w:pPr>
        <w:pStyle w:val="subhead"/>
        <w:rPr>
          <w:rStyle w:val="DefaultParagraphFont"/>
        </w:rPr>
      </w:pPr>
      <w:r w:rsidRPr="004C0E53">
        <w:rPr>
          <w:rStyle w:val="DefaultParagraphFont"/>
        </w:rPr>
        <w:t>19.2.2.1.1</w:t>
      </w:r>
      <w:r w:rsidRPr="004C0E53">
        <w:rPr>
          <w:rStyle w:val="DefaultParagraphFont"/>
        </w:rPr>
        <w:tab/>
        <w:t>Availability</w:t>
      </w:r>
    </w:p>
    <w:p w:rsidR="008752D9" w:rsidRPr="004C0E53">
      <w:pPr>
        <w:pStyle w:val="Bodypara0"/>
        <w:rPr>
          <w:rStyle w:val="DefaultParagraphFont"/>
        </w:rPr>
      </w:pPr>
      <w:r w:rsidRPr="004C0E53">
        <w:rPr>
          <w:rStyle w:val="DefaultParagraphFont"/>
        </w:rPr>
        <w:t>A percentage of the transmission Capacity that is available, pursuant to Section 19.8.3 of this Attachment M, to support the purchase of TCCs in any Centralized TCC Auction during which Non-Historic Fixed Price TCCs may be obtained shall be a</w:t>
      </w:r>
      <w:r w:rsidRPr="004C0E53">
        <w:rPr>
          <w:rStyle w:val="DefaultParagraphFont"/>
        </w:rPr>
        <w:t>vailable to support the purchase of Non-Historic Fixed Price TCCs. The final decision concerning the percentage of the transmission Capacity that will be available to support the purchase of Non-Historic Fixed Price TCCs will be made by the ISO and shall n</w:t>
      </w:r>
      <w:r w:rsidRPr="004C0E53">
        <w:rPr>
          <w:rStyle w:val="DefaultParagraphFont"/>
        </w:rPr>
        <w:t>ot exceed five percent. The scaling factor for the allocation of Non-Historic Fixed Price TCCs during the period of any Centralized TCC Auction shall equal the percentage of available transmission Capacity that has not yet been made available to support th</w:t>
      </w:r>
      <w:r w:rsidRPr="004C0E53">
        <w:rPr>
          <w:rStyle w:val="DefaultParagraphFont"/>
        </w:rPr>
        <w:t xml:space="preserve">e sale of TCCs in previous rounds of that Centralized TCC Auction, divided by the percentage of available transmission Capacity that will be made available to support Non-Historic Fixed Price TCCs that may be purchased during the period of the Centralized </w:t>
      </w:r>
      <w:r w:rsidRPr="004C0E53">
        <w:rPr>
          <w:rStyle w:val="DefaultParagraphFont"/>
        </w:rPr>
        <w:t>TCC Auction.</w:t>
      </w:r>
    </w:p>
    <w:p w:rsidR="008752D9" w:rsidRPr="004C0E53" w:rsidP="00183520">
      <w:pPr>
        <w:pStyle w:val="subhead"/>
        <w:rPr>
          <w:rStyle w:val="DefaultParagraphFont"/>
        </w:rPr>
      </w:pPr>
      <w:r w:rsidRPr="004C0E53">
        <w:rPr>
          <w:rStyle w:val="DefaultParagraphFont"/>
        </w:rPr>
        <w:t xml:space="preserve">19.2.2.1.2 </w:t>
      </w:r>
      <w:r w:rsidRPr="004C0E53">
        <w:rPr>
          <w:rStyle w:val="DefaultParagraphFont"/>
        </w:rPr>
        <w:tab/>
        <w:t>Limits on Availability</w:t>
      </w:r>
    </w:p>
    <w:p w:rsidR="008752D9" w:rsidRPr="004C0E53">
      <w:pPr>
        <w:pStyle w:val="Bodypara0"/>
        <w:rPr>
          <w:rStyle w:val="DefaultParagraphFont"/>
        </w:rPr>
      </w:pPr>
      <w:r w:rsidRPr="004C0E53">
        <w:rPr>
          <w:rStyle w:val="DefaultParagraphFont"/>
        </w:rPr>
        <w:t>The ISO may limit the availability of Non-Historic Fixed Price TCCs for initial purchase, by Load Zone, based on each LSE’s average hourly load in that Load Zone and number of Grandfathered Rights and TCCs, H</w:t>
      </w:r>
      <w:r w:rsidRPr="004C0E53">
        <w:rPr>
          <w:rStyle w:val="DefaultParagraphFont"/>
        </w:rPr>
        <w:t>istoric Fixed Price TCCs and other Non-Historic Fixed Price TCCs with POWs in that Load Zone held by or on behalf of the LSE.</w:t>
      </w:r>
    </w:p>
    <w:p w:rsidR="008752D9" w:rsidRPr="004C0E53">
      <w:pPr>
        <w:pStyle w:val="Bodypara0"/>
        <w:rPr>
          <w:rStyle w:val="DefaultParagraphFont"/>
        </w:rPr>
      </w:pPr>
      <w:r w:rsidRPr="004C0E53">
        <w:rPr>
          <w:rStyle w:val="DefaultParagraphFont"/>
        </w:rPr>
        <w:t>In no event shall an LSE be eligible to purchase new Non-Historic Fixed Price TCCs with a Point of Withdrawal in a Load Zone for w</w:t>
      </w:r>
      <w:r w:rsidRPr="004C0E53">
        <w:rPr>
          <w:rStyle w:val="DefaultParagraphFont"/>
        </w:rPr>
        <w:t>hich the number of Grandfathered TCCs, Grandfathered Rights, Non-Historic and Historic Fixed Price TCCs held by or on behalf of the LSE with a Point of Withdrawal in that Load Zone equals or exceeds the average hourly load of the LSE in that Load Zone. Add</w:t>
      </w:r>
      <w:r w:rsidRPr="004C0E53">
        <w:rPr>
          <w:rStyle w:val="DefaultParagraphFont"/>
        </w:rPr>
        <w:t xml:space="preserve">itional details shall be specified in the ISO Procedures.  </w:t>
      </w:r>
    </w:p>
    <w:p w:rsidR="008752D9" w:rsidRPr="004C0E53">
      <w:pPr>
        <w:pStyle w:val="Bodypara0"/>
        <w:rPr>
          <w:rStyle w:val="DefaultParagraphFont"/>
        </w:rPr>
      </w:pPr>
      <w:r w:rsidRPr="004C0E53">
        <w:rPr>
          <w:rStyle w:val="DefaultParagraphFont"/>
        </w:rPr>
        <w:t>Non-Historic Fixed Price TCCs may be offered by the ISO periodically, but no less frequently than every other year.  They will be offered, if at all, with an initial term of two years.  Renewal te</w:t>
      </w:r>
      <w:r w:rsidRPr="004C0E53">
        <w:rPr>
          <w:rStyle w:val="DefaultParagraphFont"/>
        </w:rPr>
        <w:t>rms for Non-Historic Fixed Price TCCs shall be one year.</w:t>
      </w:r>
    </w:p>
    <w:p w:rsidR="008752D9" w:rsidRPr="004C0E53">
      <w:pPr>
        <w:pStyle w:val="Heading40"/>
        <w:rPr>
          <w:rStyle w:val="DefaultParagraphFont"/>
        </w:rPr>
      </w:pPr>
      <w:r w:rsidRPr="004C0E53">
        <w:rPr>
          <w:rStyle w:val="DefaultParagraphFont"/>
        </w:rPr>
        <w:t xml:space="preserve">19.2.2.2 </w:t>
      </w:r>
      <w:r w:rsidRPr="004C0E53">
        <w:rPr>
          <w:rStyle w:val="DefaultParagraphFont"/>
        </w:rPr>
        <w:tab/>
        <w:t>Renewal</w:t>
      </w:r>
    </w:p>
    <w:p w:rsidR="008752D9" w:rsidRPr="004C0E53">
      <w:pPr>
        <w:pStyle w:val="Bodypara0"/>
        <w:rPr>
          <w:rStyle w:val="DefaultParagraphFont"/>
        </w:rPr>
      </w:pPr>
      <w:r w:rsidRPr="004C0E53">
        <w:rPr>
          <w:rStyle w:val="DefaultParagraphFont"/>
        </w:rPr>
        <w:t>LSEs may be eligible to renew Non-Historic Fixed Price TCCs at a new price calculated in accordance with Section 19.2.2.3.1 below if, pursuant to ISO Procedures, they submit a compl</w:t>
      </w:r>
      <w:r w:rsidRPr="004C0E53">
        <w:rPr>
          <w:rStyle w:val="DefaultParagraphFont"/>
        </w:rPr>
        <w:t>eted Notice of Intent to Renew specifying the Non-Historic Fixed Price TCC they intend to renew (by Point of Injection, Point of Withdrawal and quantity).  The LSE must provide this notice prior to a deadline to be established by the ISO.  The LSE’s Notice</w:t>
      </w:r>
      <w:r w:rsidRPr="004C0E53">
        <w:rPr>
          <w:rStyle w:val="DefaultParagraphFont"/>
        </w:rPr>
        <w:t xml:space="preserve"> of Intent to Renew shall also include a written certification stating that the LSE: (i) expects to be legally obligated to serve Load in each identified Load Zone in an amount and for a term that equals or exceeds the number of Non-Historic Fixed Price TC</w:t>
      </w:r>
      <w:r w:rsidRPr="004C0E53">
        <w:rPr>
          <w:rStyle w:val="DefaultParagraphFont"/>
        </w:rPr>
        <w:t>Cs that it intends to renew under this Section 19.2.2.2 with a Point of Withdrawal in that Load Zone given the number of Grandfathered TCCs, Grandfathered Rights and Historic Fixed Price TCCs, in effect for the same term, that are held by or on behalf of t</w:t>
      </w:r>
      <w:r w:rsidRPr="004C0E53">
        <w:rPr>
          <w:rStyle w:val="DefaultParagraphFont"/>
        </w:rPr>
        <w:t>he LSE with Points of Withdrawal in that Load Zone; and (ii) needs the transmission Capacity between the Point of Injection and Point of Withdrawal specified in the Non-Historic Fixed Price TCC to serve its Load.  In no event shall an LSE be eligible to re</w:t>
      </w:r>
      <w:r w:rsidRPr="004C0E53">
        <w:rPr>
          <w:rStyle w:val="DefaultParagraphFont"/>
        </w:rPr>
        <w:t>new Non-Historic Fixed Price TCCs with a Point of Withdrawal in a Load Zone if the number of these Non-Historic Fixed Price TCCs when added to the number of Grandfathered TCCs, Grandfathered Rights, Historic Fixed Price TCCs and Non-Historic Fixed Price TC</w:t>
      </w:r>
      <w:r w:rsidRPr="004C0E53">
        <w:rPr>
          <w:rStyle w:val="DefaultParagraphFont"/>
        </w:rPr>
        <w:t xml:space="preserve">Cs held by or on behalf of the LSE with a Point of Withdrawal in that Load Zone equals or exceeds the average hourly load of the LSE in that Load Zone.  </w:t>
      </w:r>
    </w:p>
    <w:p w:rsidR="008752D9" w:rsidRPr="004C0E53">
      <w:pPr>
        <w:pStyle w:val="Bodypara0"/>
        <w:rPr>
          <w:rStyle w:val="DefaultParagraphFont"/>
        </w:rPr>
      </w:pPr>
      <w:r w:rsidRPr="004C0E53">
        <w:rPr>
          <w:rStyle w:val="DefaultParagraphFont"/>
        </w:rPr>
        <w:t xml:space="preserve">In no event shall the ISO offer renewals that would extend a Non-Historic Fixed Price TCC for a total </w:t>
      </w:r>
      <w:r w:rsidRPr="004C0E53">
        <w:rPr>
          <w:rStyle w:val="DefaultParagraphFont"/>
        </w:rPr>
        <w:t>term of more than ten years</w:t>
      </w:r>
      <w:r>
        <w:rPr>
          <w:rStyle w:val="DefaultParagraphFont"/>
        </w:rPr>
        <w:t>.</w:t>
      </w:r>
    </w:p>
    <w:p w:rsidR="008752D9" w:rsidRPr="004C0E53">
      <w:pPr>
        <w:pStyle w:val="Heading40"/>
        <w:rPr>
          <w:rStyle w:val="DefaultParagraphFont"/>
        </w:rPr>
      </w:pPr>
      <w:r w:rsidRPr="004C0E53">
        <w:rPr>
          <w:rStyle w:val="DefaultParagraphFont"/>
        </w:rPr>
        <w:t xml:space="preserve">19.2.2.3 </w:t>
      </w:r>
      <w:r w:rsidRPr="004C0E53">
        <w:rPr>
          <w:rStyle w:val="DefaultParagraphFont"/>
        </w:rPr>
        <w:tab/>
        <w:t>Provisions affecting the Initial Purchase and the Renewal of Non-Historic Fixed Price TCCs</w:t>
      </w:r>
    </w:p>
    <w:p w:rsidR="008752D9" w:rsidRPr="004C0E53" w:rsidP="00183520">
      <w:pPr>
        <w:pStyle w:val="subhead"/>
        <w:rPr>
          <w:rStyle w:val="DefaultParagraphFont"/>
        </w:rPr>
      </w:pPr>
      <w:r w:rsidRPr="004C0E53">
        <w:rPr>
          <w:rStyle w:val="DefaultParagraphFont"/>
        </w:rPr>
        <w:t xml:space="preserve">19.2.2.3.1 </w:t>
      </w:r>
      <w:r w:rsidRPr="004C0E53">
        <w:rPr>
          <w:rStyle w:val="DefaultParagraphFont"/>
        </w:rPr>
        <w:tab/>
        <w:t>Pricing</w:t>
      </w:r>
    </w:p>
    <w:p w:rsidR="008752D9" w:rsidRPr="004C0E53">
      <w:pPr>
        <w:pStyle w:val="Bodypara0"/>
        <w:rPr>
          <w:rStyle w:val="DefaultParagraphFont"/>
        </w:rPr>
      </w:pPr>
      <w:r w:rsidRPr="004C0E53">
        <w:rPr>
          <w:rStyle w:val="DefaultParagraphFont"/>
        </w:rPr>
        <w:t>Non-Historic Fixed Price TCCs intended to be purchased or renewed shall be priced for the initial or renew</w:t>
      </w:r>
      <w:r w:rsidRPr="004C0E53">
        <w:rPr>
          <w:rStyle w:val="DefaultParagraphFont"/>
        </w:rPr>
        <w:t xml:space="preserve">al term based on the market-clearing price calculated in the first round of the Sub-Auction of the Centralized TCC Auction conducted immediately subsequent to receipt of the completed Notice of Intent to Purchase or Notice of Intent to Renew in which TCCs </w:t>
      </w:r>
      <w:r w:rsidRPr="004C0E53">
        <w:rPr>
          <w:rStyle w:val="DefaultParagraphFont"/>
        </w:rPr>
        <w:t>with the same term as the Non-Historic Fixed Price TCCs being purchased or renewed were offered for sale, as established in ISO procedures.  Such market</w:t>
      </w:r>
      <w:r w:rsidRPr="004C0E53">
        <w:rPr>
          <w:rStyle w:val="DefaultParagraphFont"/>
        </w:rPr>
        <w:t>-</w:t>
      </w:r>
      <w:r w:rsidRPr="004C0E53">
        <w:rPr>
          <w:rStyle w:val="DefaultParagraphFont"/>
        </w:rPr>
        <w:t xml:space="preserve">clearing prices shall have been calculated for a TCC with the same purchase or renewal term </w:t>
      </w:r>
      <w:r w:rsidRPr="004C0E53">
        <w:rPr>
          <w:rStyle w:val="DefaultParagraphFont"/>
        </w:rPr>
        <w:t>respectively (in years), and POI and POW, that is associated with the Non-Historic Fixed Price TCC. A Non-Historic Fixed Price TCC shall not have a purchase or renewal price of less than zero.  To the extent that the formula in this Section 19.2.2.3.1 prod</w:t>
      </w:r>
      <w:r w:rsidRPr="004C0E53">
        <w:rPr>
          <w:rStyle w:val="DefaultParagraphFont"/>
        </w:rPr>
        <w:t>uces a purchase or renewal price for a Non-Historic Fixed Price TCC of less than zero, the price shall be zero.</w:t>
      </w:r>
    </w:p>
    <w:p w:rsidR="008752D9" w:rsidRPr="004C0E53" w:rsidP="00183520">
      <w:pPr>
        <w:pStyle w:val="subhead"/>
        <w:rPr>
          <w:rStyle w:val="DefaultParagraphFont"/>
        </w:rPr>
      </w:pPr>
      <w:r w:rsidRPr="004C0E53">
        <w:rPr>
          <w:rStyle w:val="DefaultParagraphFont"/>
        </w:rPr>
        <w:t xml:space="preserve">19.2.2.3.2 </w:t>
      </w:r>
      <w:r w:rsidRPr="004C0E53">
        <w:rPr>
          <w:rStyle w:val="DefaultParagraphFont"/>
        </w:rPr>
        <w:tab/>
        <w:t xml:space="preserve">Purchase or Renewal </w:t>
      </w:r>
    </w:p>
    <w:p w:rsidR="008752D9" w:rsidRPr="004C0E53">
      <w:pPr>
        <w:pStyle w:val="Bodypara0"/>
        <w:rPr>
          <w:rStyle w:val="DefaultParagraphFont"/>
        </w:rPr>
      </w:pPr>
      <w:r w:rsidRPr="004C0E53">
        <w:rPr>
          <w:rStyle w:val="DefaultParagraphFont"/>
        </w:rPr>
        <w:t xml:space="preserve">The ISO shall provide to each LSE, that submitted a completed Notice of Intent to Purchase or a Notice of </w:t>
      </w:r>
      <w:r w:rsidRPr="004C0E53">
        <w:rPr>
          <w:rStyle w:val="DefaultParagraphFont"/>
        </w:rPr>
        <w:t>Intent to Renew, the purchase or renewal price of the Non-Historic Fixed Price TCCs identified in the LSE’s completed Notice of Intent or Purchase or completed Notice of Int</w:t>
      </w:r>
      <w:r w:rsidRPr="004C0E53">
        <w:rPr>
          <w:rStyle w:val="DefaultParagraphFont"/>
        </w:rPr>
        <w:t xml:space="preserve">ent to Renew, as appropriate.  </w:t>
      </w:r>
      <w:r w:rsidRPr="004C0E53">
        <w:rPr>
          <w:rStyle w:val="DefaultParagraphFont"/>
        </w:rPr>
        <w:t>Within a period to be established by the ISO, follow</w:t>
      </w:r>
      <w:r w:rsidRPr="004C0E53">
        <w:rPr>
          <w:rStyle w:val="DefaultParagraphFont"/>
        </w:rPr>
        <w:t>ing this notification, the purchasing or renewing LSE shall nominate the Non-Historic Fixed Price TCCs by Point of Injection and Point of Withdrawal that it has chosen to purchase or renew, provided that the availability of Non-Historic Fixed Price TCCs wi</w:t>
      </w:r>
      <w:r w:rsidRPr="004C0E53">
        <w:rPr>
          <w:rStyle w:val="DefaultParagraphFont"/>
        </w:rPr>
        <w:t>th a Point of Withdrawal in a Load Zone shall be limited by the lesser of the number of Non-Historic Fixed Price TCCs indicated as available by the ISO for that LSE with a Point of Withdrawal in that Load Zone or the number of Non-Historic Fixed Price TCCs</w:t>
      </w:r>
      <w:r w:rsidRPr="004C0E53">
        <w:rPr>
          <w:rStyle w:val="DefaultParagraphFont"/>
        </w:rPr>
        <w:t xml:space="preserve"> identified in the LSE’s completed Notice of Intent to Purchase or Notice of Intent to Renew with a Point of Withdrawal in that Load Zone.  The ISO may establish a deadline by which the ISO must receive the LSE’s nominations of which Non-Historic Fixed Pri</w:t>
      </w:r>
      <w:r w:rsidRPr="004C0E53">
        <w:rPr>
          <w:rStyle w:val="DefaultParagraphFont"/>
        </w:rPr>
        <w:t>ce TCCs it wishes to purchase or renew.  An LSE that chooses not to renew its Non-Historic Fixed Price TCCs forfeits its entitlement to further renewals of that Non-Historic Fixed Price TCC.</w:t>
      </w:r>
    </w:p>
    <w:p w:rsidR="008752D9" w:rsidRPr="004C0E53">
      <w:pPr>
        <w:pStyle w:val="Bodypara0"/>
        <w:rPr>
          <w:rStyle w:val="DefaultParagraphFont"/>
        </w:rPr>
      </w:pPr>
      <w:r w:rsidRPr="004C0E53">
        <w:rPr>
          <w:rStyle w:val="DefaultParagraphFont"/>
        </w:rPr>
        <w:t xml:space="preserve">If the ISO concludes that awarding the </w:t>
      </w:r>
      <w:r w:rsidRPr="004C0E53">
        <w:rPr>
          <w:rStyle w:val="DefaultParagraphFont"/>
          <w:bCs/>
        </w:rPr>
        <w:t>Non-Historic Fixed Price T</w:t>
      </w:r>
      <w:r w:rsidRPr="004C0E53">
        <w:rPr>
          <w:rStyle w:val="DefaultParagraphFont"/>
          <w:bCs/>
        </w:rPr>
        <w:t xml:space="preserve">CCs nominated by LSEs for purchase would make existing and valid TCCs </w:t>
      </w:r>
      <w:r w:rsidRPr="004C0E53">
        <w:rPr>
          <w:rStyle w:val="DefaultParagraphFont"/>
        </w:rPr>
        <w:t xml:space="preserve">infeasible, it will reduce the number of </w:t>
      </w:r>
      <w:r w:rsidRPr="004C0E53">
        <w:rPr>
          <w:rStyle w:val="DefaultParagraphFont"/>
          <w:bCs/>
        </w:rPr>
        <w:t>Non-Historic Fixed Price TCCs that an LSE can purchase</w:t>
      </w:r>
      <w:r w:rsidRPr="004C0E53">
        <w:rPr>
          <w:rStyle w:val="DefaultParagraphFont"/>
        </w:rPr>
        <w:t xml:space="preserve"> to the extent necessary to avoid infeasibility.  Such reduction shall use the same optimiz</w:t>
      </w:r>
      <w:r w:rsidRPr="004C0E53">
        <w:rPr>
          <w:rStyle w:val="DefaultParagraphFont"/>
        </w:rPr>
        <w:t xml:space="preserve">ation model as the Centralized </w:t>
      </w:r>
      <w:r w:rsidRPr="004C0E53">
        <w:rPr>
          <w:rStyle w:val="DefaultParagraphFont"/>
        </w:rPr>
        <w:t xml:space="preserve">TCC Auctions, except that the </w:t>
      </w:r>
      <w:r w:rsidRPr="004C0E53">
        <w:rPr>
          <w:rStyle w:val="DefaultParagraphFont"/>
        </w:rPr>
        <w:t xml:space="preserve">nominated TCCs will not be represented as fixed injections and withdrawals but will be represented by a bid curve, pursuant to ISO Procedures.  </w:t>
      </w:r>
    </w:p>
    <w:p w:rsidR="008752D9" w:rsidRPr="004C0E53">
      <w:pPr>
        <w:pStyle w:val="Bodypara0"/>
        <w:rPr>
          <w:rStyle w:val="DefaultParagraphFont"/>
        </w:rPr>
      </w:pPr>
      <w:r w:rsidRPr="004C0E53">
        <w:rPr>
          <w:rStyle w:val="DefaultParagraphFont"/>
        </w:rPr>
        <w:t>Non-Historic Fixed Price TCCs shall become effecti</w:t>
      </w:r>
      <w:r w:rsidRPr="004C0E53">
        <w:rPr>
          <w:rStyle w:val="DefaultParagraphFont"/>
        </w:rPr>
        <w:t>ve with the first day of the Capability Period immediately following their purchase or renewal.</w:t>
      </w:r>
    </w:p>
    <w:p w:rsidR="008752D9" w:rsidRPr="004C0E53" w:rsidP="00CD7E68">
      <w:pPr>
        <w:pStyle w:val="subhead"/>
        <w:rPr>
          <w:rStyle w:val="DefaultParagraphFont"/>
        </w:rPr>
      </w:pPr>
      <w:r w:rsidRPr="004C0E53">
        <w:rPr>
          <w:rStyle w:val="DefaultParagraphFont"/>
        </w:rPr>
        <w:t xml:space="preserve">19.2.2.3.3 </w:t>
      </w:r>
      <w:r w:rsidRPr="00CD7E68">
        <w:rPr>
          <w:rStyle w:val="DefaultParagraphFont"/>
        </w:rPr>
        <w:t>Payment</w:t>
      </w:r>
    </w:p>
    <w:p w:rsidR="008752D9" w:rsidRPr="004C0E53">
      <w:pPr>
        <w:pStyle w:val="Bodypara0"/>
        <w:rPr>
          <w:rStyle w:val="DefaultParagraphFont"/>
          <w:bCs/>
        </w:rPr>
      </w:pPr>
      <w:r w:rsidRPr="004C0E53">
        <w:rPr>
          <w:rStyle w:val="DefaultParagraphFont"/>
          <w:bCs/>
        </w:rPr>
        <w:t>An LSE that obtains Non-Historic Fixed Price TCCs pursuant to Section 19.2.2 shall be required to pay the ISO the total amount specified in a</w:t>
      </w:r>
      <w:r w:rsidRPr="004C0E53">
        <w:rPr>
          <w:rStyle w:val="DefaultParagraphFont"/>
          <w:bCs/>
        </w:rPr>
        <w:t>nnual payments for each year of the initial term of the Non-Historic Fixed Price TCC’s and for each year of the renewal term of the Non-Historic Fixed Price TCC.  Billing for Non-Historic Fixed Price TCCs shall be in accordance with ISO Procedures.</w:t>
      </w:r>
      <w:r w:rsidRPr="004C0E53">
        <w:rPr>
          <w:rStyle w:val="DefaultParagraphFont"/>
        </w:rPr>
        <w:t xml:space="preserve"> To chal</w:t>
      </w:r>
      <w:r w:rsidRPr="004C0E53">
        <w:rPr>
          <w:rStyle w:val="DefaultParagraphFont"/>
        </w:rPr>
        <w:t>lenge settlement information contained in an invoice, a purchaser of Non-Historic Fixed Price TCCs shall first make payment in full, including any amounts in dispute.</w:t>
      </w:r>
    </w:p>
    <w:p w:rsidR="008752D9" w:rsidRPr="004C0E53">
      <w:pPr>
        <w:pStyle w:val="Bodypara0"/>
        <w:rPr>
          <w:rStyle w:val="DefaultParagraphFont"/>
          <w:bCs/>
        </w:rPr>
      </w:pPr>
      <w:r w:rsidRPr="004C0E53">
        <w:rPr>
          <w:rStyle w:val="DefaultParagraphFont"/>
          <w:bCs/>
        </w:rPr>
        <w:t>An LSE that fails to make the required annual payment for the initial or any renewal term</w:t>
      </w:r>
      <w:r w:rsidRPr="004C0E53">
        <w:rPr>
          <w:rStyle w:val="DefaultParagraphFont"/>
          <w:bCs/>
        </w:rPr>
        <w:t xml:space="preserve"> of its Non-Historic Fixed Price TCC shall, notwithstanding any provision in this OATT to the contrary, permanently surrender its right to future renewals of those Non-Historic Fixed Price TCCs and shall not have a right to renew for additional term(s), pu</w:t>
      </w:r>
      <w:r w:rsidRPr="004C0E53">
        <w:rPr>
          <w:rStyle w:val="DefaultParagraphFont"/>
          <w:bCs/>
        </w:rPr>
        <w:t>rsuant to ISO Procedures.</w:t>
      </w:r>
    </w:p>
    <w:p w:rsidR="008752D9" w:rsidRPr="004C0E53">
      <w:pPr>
        <w:pStyle w:val="Heading31"/>
        <w:rPr>
          <w:rStyle w:val="DefaultParagraphFont"/>
        </w:rPr>
      </w:pPr>
      <w:r w:rsidRPr="004C0E53">
        <w:rPr>
          <w:rStyle w:val="DefaultParagraphFont"/>
        </w:rPr>
        <w:t>19.2.3</w:t>
      </w:r>
      <w:r w:rsidRPr="004C0E53">
        <w:rPr>
          <w:rStyle w:val="DefaultParagraphFont"/>
        </w:rPr>
        <w:tab/>
        <w:t>Miscellaneous</w:t>
      </w:r>
      <w:bookmarkEnd w:id="31"/>
      <w:r w:rsidRPr="004C0E53">
        <w:rPr>
          <w:rStyle w:val="DefaultParagraphFont"/>
        </w:rPr>
        <w:t xml:space="preserve"> </w:t>
      </w:r>
      <w:bookmarkStart w:id="32" w:name="_DV_C111"/>
      <w:bookmarkEnd w:id="30"/>
      <w:r w:rsidRPr="004C0E53">
        <w:rPr>
          <w:rStyle w:val="DefaultParagraphFont"/>
        </w:rPr>
        <w:t>Provisions Affecting Historic and Non-Historic Fixed Price TCCs</w:t>
      </w:r>
    </w:p>
    <w:p w:rsidR="008752D9" w:rsidRPr="004C0E53">
      <w:pPr>
        <w:pStyle w:val="Bodypara0"/>
        <w:rPr>
          <w:rStyle w:val="DefaultParagraphFont"/>
        </w:rPr>
      </w:pPr>
      <w:r w:rsidRPr="004C0E53">
        <w:rPr>
          <w:rStyle w:val="DefaultParagraphFont"/>
        </w:rPr>
        <w:t>The ISO shall post the following information promptly after awarding Fixed Price TCCs: (i) the quantity of TCCs awarded (in MW); (ii) the Point o</w:t>
      </w:r>
      <w:r w:rsidRPr="004C0E53">
        <w:rPr>
          <w:rStyle w:val="DefaultParagraphFont"/>
        </w:rPr>
        <w:t>f Injection and Point of Withdrawal for each Fixed Price TCC awarded; and (iii) the price paid for each Fixed Price TCC.</w:t>
      </w:r>
      <w:bookmarkStart w:id="33" w:name="_DV_C112"/>
      <w:bookmarkEnd w:id="32"/>
    </w:p>
    <w:p w:rsidR="008752D9" w:rsidRPr="004C0E53">
      <w:pPr>
        <w:pStyle w:val="Bodypara0"/>
        <w:rPr>
          <w:rStyle w:val="DefaultParagraphFont"/>
        </w:rPr>
      </w:pPr>
      <w:bookmarkEnd w:id="33"/>
      <w:r w:rsidRPr="004C0E53">
        <w:rPr>
          <w:rStyle w:val="DefaultParagraphFont"/>
        </w:rPr>
        <w:t xml:space="preserve">If an LSE acquires Load from another LSE that holds Fixed Price TCCs, it may request that the Fixed Price TCCs be reassigned to follow </w:t>
      </w:r>
      <w:r w:rsidRPr="004C0E53">
        <w:rPr>
          <w:rStyle w:val="DefaultParagraphFont"/>
        </w:rPr>
        <w:t xml:space="preserve">the transferred Load.  In such case, </w:t>
      </w:r>
      <w:r w:rsidRPr="004C0E53">
        <w:rPr>
          <w:rStyle w:val="DefaultParagraphFont"/>
          <w:bCs/>
        </w:rPr>
        <w:t>the</w:t>
      </w:r>
      <w:r w:rsidRPr="004C0E53">
        <w:rPr>
          <w:rStyle w:val="DefaultParagraphFont"/>
        </w:rPr>
        <w:t xml:space="preserve"> quantity of the Fixed Price TCCs that transfers to the assignee shall be equal to: (i) the amount of transferred Load divided by total Load associated with those Fixed Price TCCs, (ii) multiplied by the quantity of </w:t>
      </w:r>
      <w:r w:rsidRPr="004C0E53">
        <w:rPr>
          <w:rStyle w:val="DefaultParagraphFont"/>
        </w:rPr>
        <w:t>the Fixed Price TCCs held by the LSE losing Load between the same Point of Injection and Point of Withdrawal; provided however, that no Fixed Price TCC will transfer under this paragraph if the calculation above indicates that less than one Fixed Price TCC</w:t>
      </w:r>
      <w:r w:rsidRPr="004C0E53">
        <w:rPr>
          <w:rStyle w:val="DefaultParagraphFont"/>
        </w:rPr>
        <w:t xml:space="preserve"> will transfer.  If at least one Fixed Price TCC would transfer pursuant to this paragraph, the quantity of reassigned Fixed Price TCCs shall be rounded down to the nearest whole number of Fixed Price TCCs.  An LSE that is reassigned Fixed Price TCCs under</w:t>
      </w:r>
      <w:r w:rsidRPr="004C0E53">
        <w:rPr>
          <w:rStyle w:val="DefaultParagraphFont"/>
        </w:rPr>
        <w:t xml:space="preserve"> this paragraph shall hold such Fixed Price TCCs for the remainder of their term, and have rights of renewal as provided in </w:t>
      </w:r>
      <w:r w:rsidRPr="00035DCE">
        <w:rPr>
          <w:rStyle w:val="DefaultParagraphFont"/>
        </w:rPr>
        <w:t>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and </w:t>
      </w:r>
      <w:r w:rsidRPr="00035DCE">
        <w:rPr>
          <w:rStyle w:val="DefaultParagraphFont"/>
        </w:rPr>
        <w:t xml:space="preserve">Section </w:t>
      </w:r>
      <w:r w:rsidRPr="00035DCE">
        <w:rPr>
          <w:rStyle w:val="DefaultParagraphFont"/>
        </w:rPr>
        <w:t>19.2.</w:t>
      </w:r>
      <w:r w:rsidRPr="004C0E53">
        <w:rPr>
          <w:rStyle w:val="DefaultParagraphFont"/>
        </w:rPr>
        <w:t>2, provided it makes all required payments.</w:t>
      </w:r>
      <w:r w:rsidRPr="004C0E53">
        <w:rPr>
          <w:rStyle w:val="DefaultParagraphFont"/>
          <w:bCs/>
        </w:rPr>
        <w:t xml:space="preserve">  </w:t>
      </w:r>
    </w:p>
    <w:p w:rsidR="008752D9" w:rsidRPr="00035DCE">
      <w:pPr>
        <w:pStyle w:val="Bodypara0"/>
        <w:rPr>
          <w:rStyle w:val="DefaultParagraphFont"/>
          <w:bCs/>
        </w:rPr>
      </w:pPr>
      <w:r w:rsidRPr="004C0E53">
        <w:rPr>
          <w:rStyle w:val="DefaultParagraphFont"/>
        </w:rPr>
        <w:t>An LSE that has met all r</w:t>
      </w:r>
      <w:r w:rsidRPr="004C0E53">
        <w:rPr>
          <w:rStyle w:val="DefaultParagraphFont"/>
        </w:rPr>
        <w:t xml:space="preserve">equired payment and collateral obligations for its Fixed Price TCC, including LSEs that have transferred Load to a new LSE, may reassign, reconfigure, or sell its Fixed Price TCCs for any period of time for which its Fixed Price TCC is valid.  </w:t>
      </w:r>
      <w:r w:rsidRPr="004C0E53">
        <w:rPr>
          <w:rStyle w:val="DefaultParagraphFont"/>
          <w:bCs/>
        </w:rPr>
        <w:t xml:space="preserve">Such </w:t>
      </w:r>
      <w:r w:rsidRPr="004C0E53">
        <w:rPr>
          <w:rStyle w:val="DefaultParagraphFont"/>
        </w:rPr>
        <w:t>assignm</w:t>
      </w:r>
      <w:r w:rsidRPr="004C0E53">
        <w:rPr>
          <w:rStyle w:val="DefaultParagraphFont"/>
        </w:rPr>
        <w:t>ent, reconfiguration, or sale shall not include renewal rights otherwise associated with the Fixed Price TCC, which renewal rights will remain with the LSE to which the Fixed Price TCCs were originally awarded, provided however that renewal rights associat</w:t>
      </w:r>
      <w:r w:rsidRPr="004C0E53">
        <w:rPr>
          <w:rStyle w:val="DefaultParagraphFont"/>
        </w:rPr>
        <w:t xml:space="preserve">ed with Fixed Price TCCs that are reassigned to follow the transferred Load shall be reassigned to follow the transferred Load.  </w:t>
      </w:r>
      <w:r w:rsidRPr="004C0E53">
        <w:rPr>
          <w:rStyle w:val="DefaultParagraphFont"/>
          <w:bCs/>
        </w:rPr>
        <w:t>To the extent that Fixed Price TCCs are created pursuant to Section 19.2.1</w:t>
      </w:r>
      <w:r>
        <w:rPr>
          <w:rStyle w:val="DefaultParagraphFont"/>
          <w:bCs/>
        </w:rPr>
        <w:t xml:space="preserve"> (</w:t>
      </w:r>
      <w:r w:rsidRPr="00035DCE">
        <w:rPr>
          <w:rStyle w:val="DefaultParagraphFont"/>
          <w:bCs/>
        </w:rPr>
        <w:t xml:space="preserve">including </w:t>
      </w:r>
      <w:r w:rsidRPr="00035DCE">
        <w:rPr>
          <w:rStyle w:val="DefaultParagraphFont"/>
          <w:bCs/>
        </w:rPr>
        <w:t xml:space="preserve">Section </w:t>
      </w:r>
      <w:r w:rsidRPr="00035DCE">
        <w:rPr>
          <w:rStyle w:val="DefaultParagraphFont"/>
          <w:bCs/>
        </w:rPr>
        <w:t>19.2.1.4)</w:t>
      </w:r>
      <w:r w:rsidRPr="00035DCE">
        <w:rPr>
          <w:rStyle w:val="DefaultParagraphFont"/>
          <w:bCs/>
        </w:rPr>
        <w:t xml:space="preserve"> or </w:t>
      </w:r>
      <w:r w:rsidRPr="00035DCE">
        <w:rPr>
          <w:rStyle w:val="DefaultParagraphFont"/>
          <w:bCs/>
        </w:rPr>
        <w:t xml:space="preserve">Section </w:t>
      </w:r>
      <w:r w:rsidRPr="00035DCE">
        <w:rPr>
          <w:rStyle w:val="DefaultParagraphFont"/>
          <w:bCs/>
        </w:rPr>
        <w:t xml:space="preserve">19.2.2, the </w:t>
      </w:r>
      <w:r w:rsidRPr="00035DCE">
        <w:rPr>
          <w:rStyle w:val="DefaultParagraphFont"/>
          <w:bCs/>
        </w:rPr>
        <w:t xml:space="preserve">transmission Capacity that supports them shall not be available for sale in the Centralized TCC Auctions until those Fixed Price TCCs expire.  </w:t>
      </w:r>
    </w:p>
    <w:p w:rsidR="008752D9" w:rsidRPr="004C0E53">
      <w:pPr>
        <w:pStyle w:val="Bodypara0"/>
        <w:rPr>
          <w:rStyle w:val="DefaultParagraphFont"/>
        </w:rPr>
      </w:pPr>
      <w:r w:rsidRPr="00035DCE">
        <w:rPr>
          <w:rStyle w:val="DefaultParagraphFont"/>
        </w:rPr>
        <w:t xml:space="preserve">All rights and obligations that apply to an LSE in connection with obtaining and holding Fixed Price </w:t>
      </w:r>
      <w:r w:rsidRPr="00035DCE">
        <w:rPr>
          <w:rStyle w:val="DefaultParagraphFont"/>
          <w:bCs/>
        </w:rPr>
        <w:t>TCCs</w:t>
      </w:r>
      <w:r w:rsidRPr="00035DCE">
        <w:rPr>
          <w:rStyle w:val="DefaultParagraphFont"/>
        </w:rPr>
        <w:t xml:space="preserve"> as pro</w:t>
      </w:r>
      <w:r w:rsidRPr="00035DCE">
        <w:rPr>
          <w:rStyle w:val="DefaultParagraphFont"/>
        </w:rPr>
        <w:t>vided for in  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w:t>
      </w:r>
      <w:r w:rsidRPr="00035DCE">
        <w:rPr>
          <w:rStyle w:val="DefaultParagraphFont"/>
        </w:rPr>
        <w:t xml:space="preserve">Section </w:t>
      </w:r>
      <w:r w:rsidRPr="00035DCE">
        <w:rPr>
          <w:rStyle w:val="DefaultParagraphFont"/>
        </w:rPr>
        <w:t xml:space="preserve">19.2.2 and </w:t>
      </w:r>
      <w:r w:rsidRPr="00035DCE">
        <w:rPr>
          <w:rStyle w:val="DefaultParagraphFont"/>
        </w:rPr>
        <w:t xml:space="preserve">Section </w:t>
      </w:r>
      <w:r w:rsidRPr="00035DCE">
        <w:rPr>
          <w:rStyle w:val="DefaultParagraphFont"/>
        </w:rPr>
        <w:t>19.2.3, shall also be appli</w:t>
      </w:r>
      <w:r w:rsidRPr="004C0E53">
        <w:rPr>
          <w:rStyle w:val="DefaultParagraphFont"/>
        </w:rPr>
        <w:t xml:space="preserve">cable to an ETA Agent, except as the context otherwise requires (for example, an ETA Agent cannot obtain Fixed Price TCCs on its own behalf). </w:t>
      </w:r>
    </w:p>
    <w:p w:rsidR="008752D9" w:rsidRPr="004C0E53">
      <w:pPr>
        <w:pStyle w:val="Bodypara0"/>
        <w:rPr>
          <w:rStyle w:val="DefaultParagraphFont"/>
        </w:rPr>
      </w:pPr>
      <w:r w:rsidRPr="004C0E53">
        <w:rPr>
          <w:rStyle w:val="DefaultParagraphFont"/>
        </w:rPr>
        <w:t>The ISO shall establish a dispute period following the conclusion of the Centralized TCC Auction during the conduct of which Fixed Price TCCs are awarded, challenges to awards of Fixed Price TCCs may be made and mistakes in the calculation of Fixed Price T</w:t>
      </w:r>
      <w:r w:rsidRPr="004C0E53">
        <w:rPr>
          <w:rStyle w:val="DefaultParagraphFont"/>
        </w:rPr>
        <w:t xml:space="preserve">CC prices may be corrected.  Notice of the dispute period established by the ISO and of procedures to be employed in bringing a dispute or correcting a Fixed Price TCC price shall be provided by the ISO on its OASIS. </w:t>
      </w:r>
    </w:p>
    <w:p w:rsidR="008752D9" w:rsidRPr="004C0E53">
      <w:pPr>
        <w:pStyle w:val="Bodypara0"/>
        <w:rPr>
          <w:rStyle w:val="DefaultParagraphFont"/>
        </w:rPr>
      </w:pPr>
      <w:r w:rsidRPr="004C0E53">
        <w:rPr>
          <w:rStyle w:val="DefaultParagraphFont"/>
        </w:rPr>
        <w:t>Following the resolution of challenges</w:t>
      </w:r>
      <w:r w:rsidRPr="004C0E53">
        <w:rPr>
          <w:rStyle w:val="DefaultParagraphFont"/>
        </w:rPr>
        <w:t>, if any, to the award of Fixed Price TCCs, or mistakes in the calculation of Fixed Price TCC prices, raised during the dispute period, charges and payments for Fixed Price TCCs awarded shall be final as provided in the award notices provided by the ISO an</w:t>
      </w:r>
      <w:r w:rsidRPr="004C0E53">
        <w:rPr>
          <w:rStyle w:val="DefaultParagraphFont"/>
        </w:rPr>
        <w:t xml:space="preserve">d shall not be subject to revision. </w:t>
      </w:r>
    </w:p>
    <w:p w:rsidR="008752D9" w:rsidRPr="004C0E53">
      <w:pPr>
        <w:pStyle w:val="Heading40"/>
        <w:rPr>
          <w:rStyle w:val="DefaultParagraphFont"/>
        </w:rPr>
      </w:pPr>
      <w:bookmarkStart w:id="34" w:name="_Toc263333560"/>
      <w:r w:rsidRPr="004C0E53">
        <w:rPr>
          <w:rStyle w:val="DefaultParagraphFont"/>
        </w:rPr>
        <w:t>19.2.3.1</w:t>
      </w:r>
      <w:r w:rsidRPr="004C0E53">
        <w:rPr>
          <w:rStyle w:val="DefaultParagraphFont"/>
        </w:rPr>
        <w:tab/>
        <w:t xml:space="preserve">Responsibilities of LSEs that Obtain Fixed Price TCCs </w:t>
      </w:r>
      <w:bookmarkEnd w:id="34"/>
    </w:p>
    <w:p w:rsidR="008752D9" w:rsidRPr="004C0E53">
      <w:pPr>
        <w:pStyle w:val="Bodypara0"/>
        <w:rPr>
          <w:rStyle w:val="DefaultParagraphFont"/>
        </w:rPr>
      </w:pPr>
      <w:r w:rsidRPr="00035DCE">
        <w:rPr>
          <w:rStyle w:val="DefaultParagraphFont"/>
        </w:rPr>
        <w:t>To obtain a Fixed Price TCC under Section 19.2.1</w:t>
      </w:r>
      <w:r w:rsidRPr="00035DCE">
        <w:rPr>
          <w:rStyle w:val="DefaultParagraphFont"/>
        </w:rPr>
        <w:t xml:space="preserve"> (including </w:t>
      </w:r>
      <w:r w:rsidRPr="00035DCE">
        <w:rPr>
          <w:rStyle w:val="DefaultParagraphFont"/>
        </w:rPr>
        <w:t xml:space="preserve">Section </w:t>
      </w:r>
      <w:r w:rsidRPr="00035DCE">
        <w:rPr>
          <w:rStyle w:val="DefaultParagraphFont"/>
        </w:rPr>
        <w:t>19.2.1.4)</w:t>
      </w:r>
      <w:r w:rsidRPr="00035DCE">
        <w:rPr>
          <w:rStyle w:val="DefaultParagraphFont"/>
        </w:rPr>
        <w:t xml:space="preserve"> or </w:t>
      </w:r>
      <w:r w:rsidRPr="00035DCE">
        <w:rPr>
          <w:rStyle w:val="DefaultParagraphFont"/>
        </w:rPr>
        <w:t xml:space="preserve">Section </w:t>
      </w:r>
      <w:r w:rsidRPr="00035DCE">
        <w:rPr>
          <w:rStyle w:val="DefaultParagraphFont"/>
        </w:rPr>
        <w:t>19.2.2 of this Attachment M an LSE must submit such information to</w:t>
      </w:r>
      <w:r w:rsidRPr="00035DCE">
        <w:rPr>
          <w:rStyle w:val="DefaultParagraphFont"/>
        </w:rPr>
        <w:t xml:space="preserve"> the ISO regarding its creditworthiness as the ISO may require.  Each such LSE must also: (i) comply with the applicable deadlines established by the ISO under Sections 19.2.1, 19.2.2 and 19.2.3; (ii) satisfy all ISO credit requirements; and (iii) pay the </w:t>
      </w:r>
      <w:r w:rsidRPr="00035DCE">
        <w:rPr>
          <w:rStyle w:val="DefaultParagraphFont"/>
        </w:rPr>
        <w:t>price determined pursuant to Section 19.2.1</w:t>
      </w:r>
      <w:r w:rsidRPr="00035DCE">
        <w:rPr>
          <w:rStyle w:val="DefaultParagraphFont"/>
        </w:rPr>
        <w:t xml:space="preserve">.2, </w:t>
      </w:r>
      <w:r w:rsidRPr="00035DCE">
        <w:rPr>
          <w:rStyle w:val="DefaultParagraphFont"/>
        </w:rPr>
        <w:t xml:space="preserve">Section </w:t>
      </w:r>
      <w:r w:rsidRPr="00035DCE">
        <w:rPr>
          <w:rStyle w:val="DefaultParagraphFont"/>
        </w:rPr>
        <w:t>19.2.1.4</w:t>
      </w:r>
      <w:r w:rsidRPr="00035DCE">
        <w:rPr>
          <w:rStyle w:val="DefaultParagraphFont"/>
        </w:rPr>
        <w:t xml:space="preserve"> or </w:t>
      </w:r>
      <w:r w:rsidRPr="00035DCE">
        <w:rPr>
          <w:rStyle w:val="DefaultParagraphFont"/>
        </w:rPr>
        <w:t xml:space="preserve">Section </w:t>
      </w:r>
      <w:r w:rsidRPr="00035DCE">
        <w:rPr>
          <w:rStyle w:val="DefaultParagraphFont"/>
        </w:rPr>
        <w:t>19.2.2.3.1, as appropriate.</w:t>
      </w:r>
      <w:r w:rsidRPr="004C0E53">
        <w:rPr>
          <w:rStyle w:val="DefaultParagraphFont"/>
        </w:rPr>
        <w:t xml:space="preserve"> </w:t>
      </w:r>
    </w:p>
    <w:p w:rsidR="008752D9" w:rsidRPr="004C0E53">
      <w:pPr>
        <w:pStyle w:val="Heading31"/>
        <w:rPr>
          <w:rStyle w:val="DefaultParagraphFont"/>
        </w:rPr>
      </w:pPr>
      <w:bookmarkStart w:id="35" w:name="_Toc263333561"/>
      <w:r w:rsidRPr="004C0E53">
        <w:rPr>
          <w:rStyle w:val="DefaultParagraphFont"/>
        </w:rPr>
        <w:t>19.2.4</w:t>
      </w:r>
      <w:r w:rsidRPr="004C0E53">
        <w:rPr>
          <w:rStyle w:val="DefaultParagraphFont"/>
        </w:rPr>
        <w:tab/>
        <w:t>Awards of Incremental TCCs</w:t>
      </w:r>
      <w:bookmarkEnd w:id="35"/>
    </w:p>
    <w:p w:rsidR="008752D9" w:rsidRPr="004C0E53">
      <w:pPr>
        <w:pStyle w:val="Heading40"/>
        <w:rPr>
          <w:rStyle w:val="DefaultParagraphFont"/>
        </w:rPr>
      </w:pPr>
      <w:bookmarkStart w:id="36" w:name="_Toc263333562"/>
      <w:r w:rsidRPr="004C0E53">
        <w:rPr>
          <w:rStyle w:val="DefaultParagraphFont"/>
        </w:rPr>
        <w:t>19.2.4.1</w:t>
      </w:r>
      <w:r w:rsidRPr="004C0E53">
        <w:rPr>
          <w:rStyle w:val="DefaultParagraphFont"/>
        </w:rPr>
        <w:tab/>
        <w:t>Overview</w:t>
      </w:r>
      <w:bookmarkEnd w:id="36"/>
    </w:p>
    <w:p w:rsidR="008752D9" w:rsidRPr="004C0E53">
      <w:pPr>
        <w:pStyle w:val="Bodypara0"/>
        <w:rPr>
          <w:rStyle w:val="DefaultParagraphFont"/>
        </w:rPr>
      </w:pPr>
      <w:r w:rsidRPr="004C0E53">
        <w:rPr>
          <w:rStyle w:val="DefaultParagraphFont"/>
        </w:rPr>
        <w:t>The ISO shall follow the procedures set forth in this Section 19.2.4 to determine awards of Incremen</w:t>
      </w:r>
      <w:r w:rsidRPr="004C0E53">
        <w:rPr>
          <w:rStyle w:val="DefaultParagraphFont"/>
        </w:rPr>
        <w:t xml:space="preserve">tal TCCs to any person or entity that requests them in connection with the funding or construction of new transmission facilities or transmission facility improvements that increase the Transfer Capability of the New York State Transmission System.  </w:t>
      </w:r>
    </w:p>
    <w:p w:rsidR="008752D9" w:rsidRPr="004C0E53">
      <w:pPr>
        <w:pStyle w:val="Bodypara0"/>
        <w:rPr>
          <w:rStyle w:val="DefaultParagraphFont"/>
        </w:rPr>
      </w:pPr>
      <w:r w:rsidRPr="004C0E53">
        <w:rPr>
          <w:rStyle w:val="DefaultParagraphFont"/>
        </w:rPr>
        <w:t>These</w:t>
      </w:r>
      <w:r w:rsidRPr="004C0E53">
        <w:rPr>
          <w:rStyle w:val="DefaultParagraphFont"/>
        </w:rPr>
        <w:t xml:space="preserve"> procedures shall only apply to requests for awards that are submitted on or after November 1, 2008 and not to: (i) requests for awards that are pending as of that date; (ii) or to Incremental TCC award determinations that were made by the ISO on or prior </w:t>
      </w:r>
      <w:r w:rsidRPr="004C0E53">
        <w:rPr>
          <w:rStyle w:val="DefaultParagraphFont"/>
        </w:rPr>
        <w:t>to that date; neither shall these procedures interfere with the completion of requests for awards that are pending as of that date or require that award determinations made by the ISO prior to that date be reopened.  Award determinations that were made pri</w:t>
      </w:r>
      <w:r w:rsidRPr="004C0E53">
        <w:rPr>
          <w:rStyle w:val="DefaultParagraphFont"/>
        </w:rPr>
        <w:t>or to November 1, 2008 or that were pending as of that date shall remain effective as described in the ISO’s Automated Market System.</w:t>
      </w:r>
    </w:p>
    <w:p w:rsidR="008752D9" w:rsidRPr="004C0E53">
      <w:pPr>
        <w:pStyle w:val="Bodypara0"/>
        <w:rPr>
          <w:rStyle w:val="DefaultParagraphFont"/>
        </w:rPr>
      </w:pPr>
      <w:r w:rsidRPr="004C0E53">
        <w:rPr>
          <w:rStyle w:val="DefaultParagraphFont"/>
        </w:rPr>
        <w:t xml:space="preserve">Throughout this Section 19.2.4: (i) any change to, reconfiguration of, and/or construction of new transmission facilities </w:t>
      </w:r>
      <w:r w:rsidRPr="004C0E53">
        <w:rPr>
          <w:rStyle w:val="DefaultParagraphFont"/>
        </w:rPr>
        <w:t>or other transmission facility improvements that are potentially eligible for an award of Incremental TCCs shall be referred to as an “Expansion;” and (ii) a person or entity that is pursuing an Expansion and requesting Incremental TCCs shall be referred t</w:t>
      </w:r>
      <w:r w:rsidRPr="004C0E53">
        <w:rPr>
          <w:rStyle w:val="DefaultParagraphFont"/>
        </w:rPr>
        <w:t>o as an “Expander.”</w:t>
      </w:r>
    </w:p>
    <w:p w:rsidR="008752D9" w:rsidRPr="004C0E53">
      <w:pPr>
        <w:pStyle w:val="Bodypara0"/>
        <w:rPr>
          <w:rStyle w:val="DefaultParagraphFont"/>
        </w:rPr>
      </w:pPr>
      <w:r w:rsidRPr="004C0E53">
        <w:rPr>
          <w:rStyle w:val="DefaultParagraphFont"/>
        </w:rPr>
        <w:t xml:space="preserve">The ISO shall not award Incremental TCCs: (i) when the ISO cannot calculate the effect on Transfer Capability associated with an Expansion in the Day-Ahead Market with reasonable certainty; (ii) for Expansions that involve controllable </w:t>
      </w:r>
      <w:r w:rsidRPr="004C0E53">
        <w:rPr>
          <w:rStyle w:val="DefaultParagraphFont"/>
        </w:rPr>
        <w:t>transmission facilities that are under the operational control of a Control Area operator other than the ISO; or (iii) to the extent that an Expansion’s impact on Transfer Capability is solely dependent on a Generator’s operating state.  Additional informa</w:t>
      </w:r>
      <w:r w:rsidRPr="004C0E53">
        <w:rPr>
          <w:rStyle w:val="DefaultParagraphFont"/>
        </w:rPr>
        <w:t>tion concerning eligibility for Incremental TCC awards shall be set forth in the ISO Procedures.  The ISO shall not award Incremental TCCs before the provisions of Section 19.2.4.5.2 have all been fulfilled.</w:t>
      </w:r>
    </w:p>
    <w:p w:rsidR="008752D9" w:rsidRPr="004C0E53">
      <w:pPr>
        <w:pStyle w:val="Bodypara0"/>
        <w:rPr>
          <w:rStyle w:val="DefaultParagraphFont"/>
        </w:rPr>
      </w:pPr>
      <w:r w:rsidRPr="004C0E53">
        <w:rPr>
          <w:rStyle w:val="DefaultParagraphFont"/>
        </w:rPr>
        <w:t>The ISO shall also follow the procedures in this</w:t>
      </w:r>
      <w:r w:rsidRPr="004C0E53">
        <w:rPr>
          <w:rStyle w:val="DefaultParagraphFont"/>
        </w:rPr>
        <w:t xml:space="preserve"> Section 19.2.4 to determine whether “Partial Outage Incremental TCCs” should be created in connection with final awards of Incremental TCCs. </w:t>
      </w:r>
    </w:p>
    <w:p w:rsidR="008752D9" w:rsidRPr="004C0E53">
      <w:pPr>
        <w:pStyle w:val="Heading40"/>
        <w:rPr>
          <w:rStyle w:val="DefaultParagraphFont"/>
        </w:rPr>
      </w:pPr>
      <w:bookmarkStart w:id="37" w:name="_Toc263333563"/>
      <w:r w:rsidRPr="004C0E53">
        <w:rPr>
          <w:rStyle w:val="DefaultParagraphFont"/>
        </w:rPr>
        <w:t>19.2.4.2</w:t>
      </w:r>
      <w:r w:rsidRPr="004C0E53">
        <w:rPr>
          <w:rStyle w:val="DefaultParagraphFont"/>
        </w:rPr>
        <w:tab/>
        <w:t>Requests for Incremental TCC Awards</w:t>
      </w:r>
      <w:bookmarkEnd w:id="37"/>
    </w:p>
    <w:p w:rsidR="008752D9" w:rsidRPr="004C0E53">
      <w:pPr>
        <w:pStyle w:val="Bodypara0"/>
        <w:rPr>
          <w:rStyle w:val="DefaultParagraphFont"/>
        </w:rPr>
      </w:pPr>
      <w:r w:rsidRPr="004C0E53">
        <w:rPr>
          <w:rStyle w:val="DefaultParagraphFont"/>
        </w:rPr>
        <w:t>An Expander pursuing an Expansion and seeking an Incremental TCC awa</w:t>
      </w:r>
      <w:r w:rsidRPr="004C0E53">
        <w:rPr>
          <w:rStyle w:val="DefaultParagraphFont"/>
        </w:rPr>
        <w:t xml:space="preserve">rd shall submit a request for an award to the ISO.  A request for an Incremental TCC award must be submitted prior to the associated Expansion’s expected commercial operation date. A request for an Incremental TCC award shall not be deemed to be complete, </w:t>
      </w:r>
      <w:r w:rsidRPr="004C0E53">
        <w:rPr>
          <w:rStyle w:val="DefaultParagraphFont"/>
        </w:rPr>
        <w:t>and shall not be considered by the ISO, unless it includes all of the information and satisfies all of the technical requirements required by this Section 19.2.4 and by the ISO Procedures.  Prior to submitting its request for a non</w:t>
      </w:r>
      <w:r w:rsidRPr="004C0E53">
        <w:rPr>
          <w:rStyle w:val="DefaultParagraphFont"/>
        </w:rPr>
        <w:noBreakHyphen/>
        <w:t>binding estimate, an Exp</w:t>
      </w:r>
      <w:r w:rsidRPr="004C0E53">
        <w:rPr>
          <w:rStyle w:val="DefaultParagraphFont"/>
        </w:rPr>
        <w:t>ander must have: (i) completed all of the engineering studies that are required under the ISO OATT, including Attachments X, S, and Z; and (ii) obtained all permits and regulatory approvals necessary to commence construction.  If an Expansion is subject to</w:t>
      </w:r>
      <w:r w:rsidRPr="004C0E53">
        <w:rPr>
          <w:rStyle w:val="DefaultParagraphFont"/>
        </w:rPr>
        <w:t xml:space="preserve"> the Class Year study requirements under Attachment S of the ISO OATT then the Expander must have accepted its Class Year cost allocation and posted the security required under Attachment S.</w:t>
      </w:r>
    </w:p>
    <w:p w:rsidR="008752D9" w:rsidRPr="004C0E53">
      <w:pPr>
        <w:pStyle w:val="Bodypara0"/>
        <w:rPr>
          <w:rStyle w:val="DefaultParagraphFont"/>
        </w:rPr>
      </w:pPr>
      <w:r w:rsidRPr="004C0E53">
        <w:rPr>
          <w:rStyle w:val="DefaultParagraphFont"/>
        </w:rPr>
        <w:t>As part of its request for an award, an Expander shall request th</w:t>
      </w:r>
      <w:r w:rsidRPr="004C0E53">
        <w:rPr>
          <w:rStyle w:val="DefaultParagraphFont"/>
        </w:rPr>
        <w:t>at the ISO prepare one or more non-binding estimates of an Expansion’s impact on Transfer Capability between one or more POI/POW combinations.  The ISO shall be required to prepare up to three non-binding estimates with respect to an Expansion.  Additional</w:t>
      </w:r>
      <w:r w:rsidRPr="004C0E53">
        <w:rPr>
          <w:rStyle w:val="DefaultParagraphFont"/>
        </w:rPr>
        <w:t xml:space="preserve"> rules governing requests for non-binding estimates shall be set forth in the ISO Procedures.  </w:t>
      </w:r>
    </w:p>
    <w:p w:rsidR="008752D9" w:rsidRPr="004C0E53">
      <w:pPr>
        <w:pStyle w:val="Bodypara0"/>
        <w:rPr>
          <w:rStyle w:val="DefaultParagraphFont"/>
        </w:rPr>
      </w:pPr>
      <w:r w:rsidRPr="004C0E53">
        <w:rPr>
          <w:rStyle w:val="DefaultParagraphFont"/>
        </w:rPr>
        <w:t xml:space="preserve">An Expander that is not subject to Section 20.2.5 of Attachment N to the ISO OATT that requests an Incremental TCC award associated with an Expansion that will </w:t>
      </w:r>
      <w:r w:rsidRPr="004C0E53">
        <w:rPr>
          <w:rStyle w:val="DefaultParagraphFont"/>
        </w:rPr>
        <w:t>consist of multiple transmission facilities that might separately be taken out of service or derated in connection with the outage of an External transmission facility must provide additional information regarding partial outage states, as specified in the</w:t>
      </w:r>
      <w:r w:rsidRPr="004C0E53">
        <w:rPr>
          <w:rStyle w:val="DefaultParagraphFont"/>
        </w:rPr>
        <w:t xml:space="preserve"> ISO Procedures, as part of its request.  The ISO will use this information to analyze the creation of Partial Outage Incremental TCCs.</w:t>
      </w:r>
    </w:p>
    <w:p w:rsidR="008752D9" w:rsidRPr="004C0E53">
      <w:pPr>
        <w:pStyle w:val="Heading40"/>
        <w:rPr>
          <w:rStyle w:val="DefaultParagraphFont"/>
        </w:rPr>
      </w:pPr>
      <w:bookmarkStart w:id="38" w:name="_Toc263333564"/>
      <w:r w:rsidRPr="004C0E53">
        <w:rPr>
          <w:rStyle w:val="DefaultParagraphFont"/>
        </w:rPr>
        <w:t>19.2.4.3</w:t>
      </w:r>
      <w:r w:rsidRPr="004C0E53">
        <w:rPr>
          <w:rStyle w:val="DefaultParagraphFont"/>
        </w:rPr>
        <w:tab/>
        <w:t>Non-Binding Estimates</w:t>
      </w:r>
      <w:bookmarkEnd w:id="38"/>
    </w:p>
    <w:p w:rsidR="008752D9" w:rsidRPr="004C0E53">
      <w:pPr>
        <w:pStyle w:val="Bodypara0"/>
        <w:rPr>
          <w:rStyle w:val="DefaultParagraphFont"/>
        </w:rPr>
      </w:pPr>
      <w:r w:rsidRPr="004C0E53">
        <w:rPr>
          <w:rStyle w:val="DefaultParagraphFont"/>
        </w:rPr>
        <w:t>The ISO shall provide non-binding estimates of Incremental TCCs that might be awarded bet</w:t>
      </w:r>
      <w:r w:rsidRPr="004C0E53">
        <w:rPr>
          <w:rStyle w:val="DefaultParagraphFont"/>
        </w:rPr>
        <w:t>ween different POI/POW combinations that are identified in a complete request for a non-binding estimate.  The ISO shall only prepare non-binding estimates if the associated Expansion is expected to enter commercial operation within the current or next lik</w:t>
      </w:r>
      <w:r w:rsidRPr="004C0E53">
        <w:rPr>
          <w:rStyle w:val="DefaultParagraphFont"/>
        </w:rPr>
        <w:t>e Capability Period.</w:t>
      </w:r>
    </w:p>
    <w:p w:rsidR="008752D9" w:rsidRPr="004C0E53">
      <w:pPr>
        <w:pStyle w:val="Bodypara0"/>
        <w:rPr>
          <w:rStyle w:val="DefaultParagraphFont"/>
        </w:rPr>
      </w:pPr>
      <w:r w:rsidRPr="004C0E53">
        <w:rPr>
          <w:rStyle w:val="DefaultParagraphFont"/>
        </w:rPr>
        <w:t xml:space="preserve">The ISO shall estimate whether, and to what extent, Incremental TCCs may be created by analyzing whether an Expansion will actually increase Transfer Capability with respect to the entire set of POI/POW combinations included in a </w:t>
      </w:r>
      <w:r w:rsidRPr="004C0E53">
        <w:rPr>
          <w:rStyle w:val="DefaultParagraphFont"/>
        </w:rPr>
        <w:t>request for a non-binding estimate.  Incremental TCCs shall not be created for Transfer Capability that the ISO determines would exist on the system even in the absence of an Expansion.  The ISO shall make these determinations using an Optimal Power Flow m</w:t>
      </w:r>
      <w:r w:rsidRPr="004C0E53">
        <w:rPr>
          <w:rStyle w:val="DefaultParagraphFont"/>
        </w:rPr>
        <w:t>odel that is updated and modified as necessary to represent the state of the New York State Transmission system both with and without the Expansion associated with the request for a non-binding estimate. If an Expansion is intended to increase voltage or t</w:t>
      </w:r>
      <w:r w:rsidRPr="004C0E53">
        <w:rPr>
          <w:rStyle w:val="DefaultParagraphFont"/>
        </w:rPr>
        <w:t>ransient stability limits the ISO shall conduct transfer limit studies as necessary to confirm the Expansion’s impact on interface limits as specified in the ISO Procedures.  Additional detail concerning the Optimal Power Flow model to be used by the ISO s</w:t>
      </w:r>
      <w:r w:rsidRPr="004C0E53">
        <w:rPr>
          <w:rStyle w:val="DefaultParagraphFont"/>
        </w:rPr>
        <w:t>hall be set forth in the ISO Procedures.  The ISO shall not be bound by the findings of previous engineering studies, conducted under the ISO OATT or otherwise, regarding the impact of an Expansion on Transfer Capability when preparing non-binding estimate</w:t>
      </w:r>
      <w:r w:rsidRPr="004C0E53">
        <w:rPr>
          <w:rStyle w:val="DefaultParagraphFont"/>
        </w:rPr>
        <w:t>s (or when determining awards under Section 19.2.4.5).</w:t>
      </w:r>
    </w:p>
    <w:p w:rsidR="008752D9" w:rsidRPr="004C0E53">
      <w:pPr>
        <w:pStyle w:val="Bodypara0"/>
        <w:rPr>
          <w:rStyle w:val="DefaultParagraphFont"/>
        </w:rPr>
      </w:pPr>
      <w:r w:rsidRPr="004C0E53">
        <w:rPr>
          <w:rStyle w:val="DefaultParagraphFont"/>
        </w:rPr>
        <w:t>If the ISO estimates that Incremental TCCs would be created by an Expansion it shall separately estimate the quantity of Incremental TCCs that would be created for both the Summer and Winter Capability</w:t>
      </w:r>
      <w:r w:rsidRPr="004C0E53">
        <w:rPr>
          <w:rStyle w:val="DefaultParagraphFont"/>
        </w:rPr>
        <w:t xml:space="preserve"> Periods.</w:t>
      </w:r>
    </w:p>
    <w:p w:rsidR="008752D9" w:rsidRPr="004C0E53">
      <w:pPr>
        <w:pStyle w:val="Heading40"/>
        <w:rPr>
          <w:rStyle w:val="DefaultParagraphFont"/>
        </w:rPr>
      </w:pPr>
      <w:bookmarkStart w:id="39" w:name="_Toc263333565"/>
      <w:r w:rsidRPr="004C0E53">
        <w:rPr>
          <w:rStyle w:val="DefaultParagraphFont"/>
        </w:rPr>
        <w:t>19.2.4.4</w:t>
      </w:r>
      <w:r w:rsidRPr="004C0E53">
        <w:rPr>
          <w:rStyle w:val="DefaultParagraphFont"/>
        </w:rPr>
        <w:tab/>
        <w:t>Partial Outage Incremental TCCs</w:t>
      </w:r>
      <w:bookmarkEnd w:id="39"/>
    </w:p>
    <w:p w:rsidR="008752D9" w:rsidRPr="004C0E53">
      <w:pPr>
        <w:pStyle w:val="Bodypara0"/>
        <w:rPr>
          <w:rStyle w:val="DefaultParagraphFont"/>
        </w:rPr>
      </w:pPr>
      <w:r w:rsidRPr="004C0E53">
        <w:rPr>
          <w:rStyle w:val="DefaultParagraphFont"/>
        </w:rPr>
        <w:t>The ISO shall use the additional information submitted by certain Expanders regarding partial outage states pursuant to Section 19.2.4 to determine whether Partial Outage Incremental TCCs shall be created.</w:t>
      </w:r>
      <w:r w:rsidRPr="004C0E53">
        <w:rPr>
          <w:rStyle w:val="DefaultParagraphFont"/>
        </w:rPr>
        <w:t xml:space="preserve">  Partial Outage Incremental TCCs shall not be awarded.  They shall only be used to determine day-ahead outage charges, implemented through settlements for Day-Ahead Market Congestion Rents associated with Expansions that are partially out of service, or t</w:t>
      </w:r>
      <w:r w:rsidRPr="004C0E53">
        <w:rPr>
          <w:rStyle w:val="DefaultParagraphFont"/>
        </w:rPr>
        <w:t>hat are derated due to the outage of an External transmission facility, in connection with the calculation of outage charges under Section 19.2.4.9.</w:t>
      </w:r>
    </w:p>
    <w:p w:rsidR="008752D9" w:rsidRPr="004C0E53">
      <w:pPr>
        <w:pStyle w:val="Bodypara0"/>
        <w:rPr>
          <w:rStyle w:val="DefaultParagraphFont"/>
        </w:rPr>
      </w:pPr>
      <w:r w:rsidRPr="004C0E53">
        <w:rPr>
          <w:rStyle w:val="DefaultParagraphFont"/>
        </w:rPr>
        <w:t>Partial Outage Incremental TCCs shall be created to the extent that the ISO finds, as part of its determina</w:t>
      </w:r>
      <w:r w:rsidRPr="004C0E53">
        <w:rPr>
          <w:rStyle w:val="DefaultParagraphFont"/>
        </w:rPr>
        <w:t>tion of final Incremental TCC awards pursuant to Section 19.2.4.5, that a revised set of Incremental TCCs would exist between a given POI/POW combination regardless of whether a portion of the associated Expansion is out of service or derated as a result o</w:t>
      </w:r>
      <w:r w:rsidRPr="004C0E53">
        <w:rPr>
          <w:rStyle w:val="DefaultParagraphFont"/>
        </w:rPr>
        <w:t xml:space="preserve">f the outage of an External transmission facility.  Partial Outage Incremental TCCs may be created between POI/POW combinations that differ from those for which the ISO may determine that Incremental TCCs would be available in a non-binding estimate or in </w:t>
      </w:r>
      <w:r w:rsidRPr="004C0E53">
        <w:rPr>
          <w:rStyle w:val="DefaultParagraphFont"/>
        </w:rPr>
        <w:t xml:space="preserve">any award of Incremental TCCs.  </w:t>
      </w:r>
    </w:p>
    <w:p w:rsidR="008752D9" w:rsidRPr="004C0E53">
      <w:pPr>
        <w:pStyle w:val="Bodypara0"/>
        <w:rPr>
          <w:rStyle w:val="DefaultParagraphFont"/>
        </w:rPr>
      </w:pPr>
      <w:r w:rsidRPr="004C0E53">
        <w:rPr>
          <w:rStyle w:val="DefaultParagraphFont"/>
        </w:rPr>
        <w:t xml:space="preserve">If the ISO determines that Partial Outage Incremental TCCs may be created as the result of an Expansion it shall separately calculate the number that would be created for the Summer and Winter Capability Periods. </w:t>
      </w:r>
    </w:p>
    <w:p w:rsidR="008752D9" w:rsidRPr="004C0E53">
      <w:pPr>
        <w:pStyle w:val="Heading40"/>
        <w:rPr>
          <w:rStyle w:val="DefaultParagraphFont"/>
        </w:rPr>
      </w:pPr>
      <w:bookmarkStart w:id="40" w:name="_Toc263333566"/>
      <w:r w:rsidRPr="004C0E53">
        <w:rPr>
          <w:rStyle w:val="DefaultParagraphFont"/>
        </w:rPr>
        <w:t>19.2.4.5</w:t>
      </w:r>
      <w:r w:rsidRPr="004C0E53">
        <w:rPr>
          <w:rStyle w:val="DefaultParagraphFont"/>
        </w:rPr>
        <w:tab/>
      </w:r>
      <w:r w:rsidRPr="004C0E53">
        <w:rPr>
          <w:rStyle w:val="DefaultParagraphFont"/>
        </w:rPr>
        <w:t>Incremental TCC Awards</w:t>
      </w:r>
      <w:bookmarkEnd w:id="40"/>
    </w:p>
    <w:p w:rsidR="008752D9" w:rsidRPr="004C0E53">
      <w:pPr>
        <w:pStyle w:val="Bodypara0"/>
        <w:rPr>
          <w:rStyle w:val="DefaultParagraphFont"/>
        </w:rPr>
      </w:pPr>
      <w:r w:rsidRPr="004C0E53">
        <w:rPr>
          <w:rStyle w:val="DefaultParagraphFont"/>
        </w:rPr>
        <w:t>The ISO shall respond to complete requests for Incremental TCC awards by determining: (i) whether, and to what extent, Incremental TCCs should be awarded for the POI/POW combinations selected by the Expander; and (ii) whether, and to</w:t>
      </w:r>
      <w:r w:rsidRPr="004C0E53">
        <w:rPr>
          <w:rStyle w:val="DefaultParagraphFont"/>
        </w:rPr>
        <w:t xml:space="preserve"> what extent, Partial Outage Incremental TCCs should be created.  An Expander may select all of the POI/POW combinations that were analyzed in any one of the non-binding estimates prepared by the ISO under Section 19.2.4.3 to be included in the award deter</w:t>
      </w:r>
      <w:r w:rsidRPr="004C0E53">
        <w:rPr>
          <w:rStyle w:val="DefaultParagraphFont"/>
        </w:rPr>
        <w:t>mination.  It may not select the POI/POW combinations from more than one non-binding estimate or select fewer than all of the POI/POW combinations that were analyzed in any one non-binding estimate.</w:t>
      </w:r>
    </w:p>
    <w:p w:rsidR="008752D9" w:rsidRPr="004C0E53">
      <w:pPr>
        <w:pStyle w:val="Bodypara0"/>
        <w:rPr>
          <w:rStyle w:val="DefaultParagraphFont"/>
        </w:rPr>
      </w:pPr>
      <w:r w:rsidRPr="004C0E53">
        <w:rPr>
          <w:rStyle w:val="DefaultParagraphFont"/>
        </w:rPr>
        <w:t>The ISO shall determine both temporary and final awards u</w:t>
      </w:r>
      <w:r w:rsidRPr="004C0E53">
        <w:rPr>
          <w:rStyle w:val="DefaultParagraphFont"/>
        </w:rPr>
        <w:t>sing an Optimal Power Flow model that is updated and modified as necessary to represent the state of the New York State Transmission system both with and without the Expansion, and to represent any of the Expansion’s partial outage states, at the time that</w:t>
      </w:r>
      <w:r w:rsidRPr="004C0E53">
        <w:rPr>
          <w:rStyle w:val="DefaultParagraphFont"/>
        </w:rPr>
        <w:t xml:space="preserve"> an award is determined.  The ISO shall determine whether, and to what extent, Incremental TCCs shall be awarded by analyzing whether an Expansion will actually increase Transfer Capability with respect to the entire set of POI/POW combinations included in</w:t>
      </w:r>
      <w:r w:rsidRPr="004C0E53">
        <w:rPr>
          <w:rStyle w:val="DefaultParagraphFont"/>
        </w:rPr>
        <w:t xml:space="preserve"> a request for an award.  Incremental TCCs shall not be awarded for Transfer Capability that the ISO determines would exist on the system even in the absence of an Expansion.  If an Expansion is intended to increase voltage or transient stability limits th</w:t>
      </w:r>
      <w:r w:rsidRPr="004C0E53">
        <w:rPr>
          <w:rStyle w:val="DefaultParagraphFont"/>
        </w:rPr>
        <w:t>e ISO shall conduct transfer limit studies as necessary to confirm the Expansion’s impact on interface limits as specified in the ISO Procedures.  The ISO shall make separate determinations for temporary and final awards of Incremental TCCs.</w:t>
      </w:r>
    </w:p>
    <w:p w:rsidR="008752D9" w:rsidRPr="004C0E53">
      <w:pPr>
        <w:pStyle w:val="Bodypara0"/>
        <w:rPr>
          <w:rStyle w:val="DefaultParagraphFont"/>
        </w:rPr>
      </w:pPr>
      <w:r w:rsidRPr="004C0E53">
        <w:rPr>
          <w:rStyle w:val="DefaultParagraphFont"/>
        </w:rPr>
        <w:t xml:space="preserve">The ISO shall </w:t>
      </w:r>
      <w:r w:rsidRPr="004C0E53">
        <w:rPr>
          <w:rStyle w:val="DefaultParagraphFont"/>
        </w:rPr>
        <w:t>only determine or make an Incremental TCC award if the associated Expansion is expected to enter commercial operation within the current or next like Capability Period.</w:t>
      </w:r>
    </w:p>
    <w:p w:rsidR="008752D9" w:rsidRPr="004C0E53">
      <w:pPr>
        <w:pStyle w:val="Bodypara0"/>
        <w:rPr>
          <w:rStyle w:val="DefaultParagraphFont"/>
        </w:rPr>
      </w:pPr>
      <w:r w:rsidRPr="004C0E53">
        <w:rPr>
          <w:rStyle w:val="DefaultParagraphFont"/>
        </w:rPr>
        <w:t>The ISO shall only determine, award, or create Incremental TCCs (including, for purpose</w:t>
      </w:r>
      <w:r w:rsidRPr="004C0E53">
        <w:rPr>
          <w:rStyle w:val="DefaultParagraphFont"/>
        </w:rPr>
        <w:t>s of this paragraph, Partial Outage Incremental TCCs) in whole number MW quantities.  If the ISO determines that an Expansion will create one or more non-whole number quantity Incremental TCCs, the ISO shall round each non-whole number Incremental TCC to a</w:t>
      </w:r>
      <w:r w:rsidRPr="004C0E53">
        <w:rPr>
          <w:rStyle w:val="DefaultParagraphFont"/>
        </w:rPr>
        <w:t xml:space="preserve"> whole number in a manner that minimizes the risk of infeasibility caused by rounding with respect to the entire Incremental TCC award.</w:t>
      </w:r>
    </w:p>
    <w:p w:rsidR="008752D9" w:rsidRPr="004C0E53">
      <w:pPr>
        <w:pStyle w:val="Bodypara0"/>
        <w:rPr>
          <w:rStyle w:val="DefaultParagraphFont"/>
        </w:rPr>
      </w:pPr>
      <w:r w:rsidRPr="004C0E53">
        <w:rPr>
          <w:rStyle w:val="DefaultParagraphFont"/>
        </w:rPr>
        <w:t>If the ISO determines that Incremental TCCs should be awarded, it shall make separate awards for the Summer and Winter C</w:t>
      </w:r>
      <w:r w:rsidRPr="004C0E53">
        <w:rPr>
          <w:rStyle w:val="DefaultParagraphFont"/>
        </w:rPr>
        <w:t>apability Periods.</w:t>
      </w:r>
    </w:p>
    <w:p w:rsidR="008752D9" w:rsidRPr="004C0E53" w:rsidP="00CD7E68">
      <w:pPr>
        <w:pStyle w:val="subhead"/>
        <w:rPr>
          <w:rStyle w:val="DefaultParagraphFont"/>
        </w:rPr>
      </w:pPr>
      <w:bookmarkStart w:id="41" w:name="_Toc263333567"/>
      <w:r w:rsidRPr="004C0E53">
        <w:rPr>
          <w:rStyle w:val="DefaultParagraphFont"/>
        </w:rPr>
        <w:t>19.2.4.5.1</w:t>
      </w:r>
      <w:r w:rsidRPr="004C0E53">
        <w:rPr>
          <w:rStyle w:val="DefaultParagraphFont"/>
        </w:rPr>
        <w:tab/>
        <w:t>Temporary Awards</w:t>
      </w:r>
      <w:bookmarkEnd w:id="41"/>
    </w:p>
    <w:p w:rsidR="008752D9" w:rsidRPr="004C0E53">
      <w:pPr>
        <w:pStyle w:val="Bodypara0"/>
        <w:rPr>
          <w:rStyle w:val="DefaultParagraphFont"/>
        </w:rPr>
      </w:pPr>
      <w:r w:rsidRPr="004C0E53">
        <w:rPr>
          <w:rStyle w:val="DefaultParagraphFont"/>
        </w:rPr>
        <w:t>If the ISO determines that Incremental TCCs should be awarded in connection with an Expansion and the Expansion goes into commercial operation during a Capability Period, the ISO shall make a temporary award o</w:t>
      </w:r>
      <w:r w:rsidRPr="004C0E53">
        <w:rPr>
          <w:rStyle w:val="DefaultParagraphFont"/>
        </w:rPr>
        <w:t>f Incremental TCCs as soon as reasonably possible after notice that the Expansion has entered commercial operation has been provided in writing to the ISO pursuant to the ISO Procedures.  Temporary awards of Incremental TCCs shall terminate at the end of t</w:t>
      </w:r>
      <w:r w:rsidRPr="004C0E53">
        <w:rPr>
          <w:rStyle w:val="DefaultParagraphFont"/>
        </w:rPr>
        <w:t>he last day before a final award of Incremental TCCs becomes effective.  In the case of an Expansion that enters commercial operation less than 90 days before the beginning of a Capability Period, the temporary award that is effective during the Summer Cap</w:t>
      </w:r>
      <w:r w:rsidRPr="004C0E53">
        <w:rPr>
          <w:rStyle w:val="DefaultParagraphFont"/>
        </w:rPr>
        <w:t>ability Period (or any portion thereof) may differ from the temporary award that is effective during the Winter Capability Period (or any portion thereof).  The quantity of Incremental TCCs included in a temporary award may differ from the quantity include</w:t>
      </w:r>
      <w:r w:rsidRPr="004C0E53">
        <w:rPr>
          <w:rStyle w:val="DefaultParagraphFont"/>
        </w:rPr>
        <w:t>d in any of the non-binding estimate(s) associated with the Expansion and/or in the final award.</w:t>
      </w:r>
    </w:p>
    <w:p w:rsidR="008752D9" w:rsidRPr="004C0E53" w:rsidP="00CD7E68">
      <w:pPr>
        <w:pStyle w:val="subhead"/>
        <w:rPr>
          <w:rStyle w:val="DefaultParagraphFont"/>
        </w:rPr>
      </w:pPr>
      <w:bookmarkStart w:id="42" w:name="_Toc263333568"/>
      <w:r w:rsidRPr="004C0E53">
        <w:rPr>
          <w:rStyle w:val="DefaultParagraphFont"/>
        </w:rPr>
        <w:t>19.2.4.5.2</w:t>
      </w:r>
      <w:r w:rsidRPr="004C0E53">
        <w:rPr>
          <w:rStyle w:val="DefaultParagraphFont"/>
        </w:rPr>
        <w:tab/>
        <w:t>Final Awards</w:t>
      </w:r>
      <w:bookmarkEnd w:id="42"/>
    </w:p>
    <w:p w:rsidR="008752D9" w:rsidRPr="004C0E53">
      <w:pPr>
        <w:pStyle w:val="Bodypara0"/>
        <w:rPr>
          <w:rStyle w:val="DefaultParagraphFont"/>
        </w:rPr>
      </w:pPr>
      <w:r w:rsidRPr="004C0E53">
        <w:rPr>
          <w:rStyle w:val="DefaultParagraphFont"/>
        </w:rPr>
        <w:t xml:space="preserve">Awards of Incremental TCCs shall be final on the date by which the following are fulfilled: (i) an Expansion has actually entered </w:t>
      </w:r>
      <w:r w:rsidRPr="004C0E53">
        <w:rPr>
          <w:rStyle w:val="DefaultParagraphFont"/>
        </w:rPr>
        <w:t>commercial operation; (ii) written notice has been provided to the ISO pursuant to the ISO Procedures; and (iii) the ISO has determined the final award using an Optimal Power Flow analysis that reflects the results of the most recently completed Centralize</w:t>
      </w:r>
      <w:r w:rsidRPr="004C0E53">
        <w:rPr>
          <w:rStyle w:val="DefaultParagraphFont"/>
        </w:rPr>
        <w:t>d TCC Auction.  The quantity of Incremental TCCs included in a final award may differ from the quantity included in the temporary award, or in the non-binding estimate(s), associated with the Expansion.</w:t>
      </w:r>
    </w:p>
    <w:p w:rsidR="008752D9" w:rsidRPr="004C0E53">
      <w:pPr>
        <w:pStyle w:val="Bodypara0"/>
        <w:rPr>
          <w:rStyle w:val="DefaultParagraphFont"/>
        </w:rPr>
      </w:pPr>
      <w:r w:rsidRPr="004C0E53">
        <w:rPr>
          <w:rStyle w:val="DefaultParagraphFont"/>
        </w:rPr>
        <w:t>Incremental TCCs included in final awards shall becom</w:t>
      </w:r>
      <w:r w:rsidRPr="004C0E53">
        <w:rPr>
          <w:rStyle w:val="DefaultParagraphFont"/>
        </w:rPr>
        <w:t>e effective on the first day of the first Capability Period following the date that the award became final.  If, however: (i) the associated Expansion enters commercial operation fewer than ninety days before the end of a Capability Period then the Increme</w:t>
      </w:r>
      <w:r w:rsidRPr="004C0E53">
        <w:rPr>
          <w:rStyle w:val="DefaultParagraphFont"/>
        </w:rPr>
        <w:t>ntal TCCs included in a final award shall become effective on the first day of the next like Capability Period after the associated Expansion enters commercial operation; or (ii) the associated Expansion results in an increase to a limit that must be appro</w:t>
      </w:r>
      <w:r w:rsidRPr="004C0E53">
        <w:rPr>
          <w:rStyle w:val="DefaultParagraphFont"/>
        </w:rPr>
        <w:t>ved by the Operating Committee, and the Operating Committee’s approval is granted fewer than ninety days before the end of a Capability Period, then the final award shall become effective on the first day of the next like Capability Period following the Op</w:t>
      </w:r>
      <w:r w:rsidRPr="004C0E53">
        <w:rPr>
          <w:rStyle w:val="DefaultParagraphFont"/>
        </w:rPr>
        <w:t>erating Committee’s approval.</w:t>
      </w:r>
    </w:p>
    <w:p w:rsidR="008752D9" w:rsidRPr="004C0E53">
      <w:pPr>
        <w:pStyle w:val="Bodypara0"/>
        <w:rPr>
          <w:rStyle w:val="DefaultParagraphFont"/>
        </w:rPr>
      </w:pPr>
      <w:r w:rsidRPr="004C0E53">
        <w:rPr>
          <w:rStyle w:val="DefaultParagraphFont"/>
        </w:rPr>
        <w:t>If more than one Expansion enters commercial operation in the same Capability Period, the ISO shall make its final award determinations, and shall make final Incremental TCC awards, in the same order as the Expansions actually</w:t>
      </w:r>
      <w:r w:rsidRPr="004C0E53">
        <w:rPr>
          <w:rStyle w:val="DefaultParagraphFont"/>
        </w:rPr>
        <w:t xml:space="preserve"> enter commercial operation.</w:t>
      </w:r>
    </w:p>
    <w:p w:rsidR="008752D9" w:rsidRPr="004C0E53">
      <w:pPr>
        <w:pStyle w:val="Heading40"/>
        <w:rPr>
          <w:rStyle w:val="DefaultParagraphFont"/>
        </w:rPr>
      </w:pPr>
      <w:bookmarkStart w:id="43" w:name="_Toc263333569"/>
      <w:r w:rsidRPr="004C0E53">
        <w:rPr>
          <w:rStyle w:val="DefaultParagraphFont"/>
        </w:rPr>
        <w:t>19.2.4.6</w:t>
      </w:r>
      <w:r w:rsidRPr="004C0E53">
        <w:rPr>
          <w:rStyle w:val="DefaultParagraphFont"/>
        </w:rPr>
        <w:tab/>
        <w:t>Acceptance of Incremental TCC Awards</w:t>
      </w:r>
      <w:bookmarkEnd w:id="43"/>
    </w:p>
    <w:p w:rsidR="008752D9" w:rsidRPr="004C0E53">
      <w:pPr>
        <w:pStyle w:val="Bodypara0"/>
        <w:rPr>
          <w:rStyle w:val="DefaultParagraphFont"/>
        </w:rPr>
      </w:pPr>
      <w:r w:rsidRPr="004C0E53">
        <w:rPr>
          <w:rStyle w:val="DefaultParagraphFont"/>
        </w:rPr>
        <w:t xml:space="preserve">An Expander may elect to accept or reject a temporary or final award of Incremental TCCs in its entirety.  Partial acceptances shall not be permitted.  Deadlines for confirming the </w:t>
      </w:r>
      <w:r w:rsidRPr="004C0E53">
        <w:rPr>
          <w:rStyle w:val="DefaultParagraphFont"/>
        </w:rPr>
        <w:t xml:space="preserve">acceptance or rejection of an award shall be specified in the ISO Procedures.  </w:t>
      </w:r>
    </w:p>
    <w:p w:rsidR="008752D9" w:rsidRPr="004C0E53">
      <w:pPr>
        <w:pStyle w:val="Bodypara0"/>
        <w:rPr>
          <w:rStyle w:val="DefaultParagraphFont"/>
        </w:rPr>
      </w:pPr>
      <w:r w:rsidRPr="004C0E53">
        <w:rPr>
          <w:rStyle w:val="DefaultParagraphFont"/>
        </w:rPr>
        <w:t>An Expander that elects to accept a final award of Incremental TCCs shall inform the ISO, no later than the time that it accepts its final award, of the awarded Incremental TCC</w:t>
      </w:r>
      <w:r w:rsidRPr="004C0E53">
        <w:rPr>
          <w:rStyle w:val="DefaultParagraphFont"/>
        </w:rPr>
        <w:t>s’ duration.  Incremental TCCs shall have a duration of no less than twenty and no more than fifty years, starting on the date that the final award becomes effective, provided that their duration may not exceed the expected operating life of the associated</w:t>
      </w:r>
      <w:r w:rsidRPr="004C0E53">
        <w:rPr>
          <w:rStyle w:val="DefaultParagraphFont"/>
        </w:rPr>
        <w:t xml:space="preserve"> Expansion.  The ISO shall record the existence and duration of the Incremental TCCs in the Automated Market System.</w:t>
      </w:r>
    </w:p>
    <w:p w:rsidR="008752D9" w:rsidRPr="004C0E53">
      <w:pPr>
        <w:pStyle w:val="Bodypara0"/>
        <w:rPr>
          <w:rStyle w:val="DefaultParagraphFont"/>
        </w:rPr>
      </w:pPr>
      <w:r w:rsidRPr="004C0E53">
        <w:rPr>
          <w:rStyle w:val="DefaultParagraphFont"/>
        </w:rPr>
        <w:t>If an Expander fails to accept a final award of Incremental TCCs and to specify the award’s duration by the deadline established in the ISO</w:t>
      </w:r>
      <w:r w:rsidRPr="004C0E53">
        <w:rPr>
          <w:rStyle w:val="DefaultParagraphFont"/>
        </w:rPr>
        <w:t xml:space="preserve"> Procedures it will forfeit its right to collect Day-Ahead Market Congestion Rent payments in connection with the Incremental TCCs until it confirms its acceptance in the manner specified in the ISO Procedures.</w:t>
      </w:r>
    </w:p>
    <w:p w:rsidR="008752D9" w:rsidRPr="004C0E53">
      <w:pPr>
        <w:pStyle w:val="Heading40"/>
        <w:rPr>
          <w:rStyle w:val="DefaultParagraphFont"/>
        </w:rPr>
      </w:pPr>
      <w:bookmarkStart w:id="44" w:name="_Toc263333570"/>
      <w:r w:rsidRPr="004C0E53">
        <w:rPr>
          <w:rStyle w:val="DefaultParagraphFont"/>
        </w:rPr>
        <w:t>19.2.4.7</w:t>
      </w:r>
      <w:r w:rsidRPr="004C0E53">
        <w:rPr>
          <w:rStyle w:val="DefaultParagraphFont"/>
        </w:rPr>
        <w:tab/>
        <w:t>Attributes of Incremental TCCs</w:t>
      </w:r>
      <w:bookmarkEnd w:id="44"/>
    </w:p>
    <w:p w:rsidR="008752D9" w:rsidRPr="004C0E53">
      <w:pPr>
        <w:pStyle w:val="Bodypara0"/>
        <w:rPr>
          <w:rStyle w:val="DefaultParagraphFont"/>
        </w:rPr>
      </w:pPr>
      <w:r w:rsidRPr="004C0E53">
        <w:rPr>
          <w:rStyle w:val="DefaultParagraphFont"/>
        </w:rPr>
        <w:t>Incre</w:t>
      </w:r>
      <w:r w:rsidRPr="004C0E53">
        <w:rPr>
          <w:rStyle w:val="DefaultParagraphFont"/>
        </w:rPr>
        <w:t xml:space="preserve">mental TCCs, but not partial outage Incremental TCCs, shall have the same attributes as other TCCs and shall be subject to the same rules under the ISO Tariffs, except as specifically provided in this Section 19.2.4. </w:t>
      </w:r>
    </w:p>
    <w:p w:rsidR="008752D9" w:rsidRPr="004C0E53">
      <w:pPr>
        <w:pStyle w:val="Heading40"/>
        <w:rPr>
          <w:rStyle w:val="DefaultParagraphFont"/>
        </w:rPr>
      </w:pPr>
      <w:bookmarkStart w:id="45" w:name="_Toc263333571"/>
      <w:r w:rsidRPr="004C0E53">
        <w:rPr>
          <w:rStyle w:val="DefaultParagraphFont"/>
        </w:rPr>
        <w:t>19.2.4.8</w:t>
      </w:r>
      <w:r w:rsidRPr="004C0E53">
        <w:rPr>
          <w:rStyle w:val="DefaultParagraphFont"/>
        </w:rPr>
        <w:tab/>
        <w:t xml:space="preserve">Restrictions on Transfers of </w:t>
      </w:r>
      <w:r w:rsidRPr="004C0E53">
        <w:rPr>
          <w:rStyle w:val="DefaultParagraphFont"/>
        </w:rPr>
        <w:t>Incremental TCCs</w:t>
      </w:r>
      <w:bookmarkEnd w:id="45"/>
    </w:p>
    <w:p w:rsidR="00C23F5F" w:rsidRPr="004C0E53">
      <w:pPr>
        <w:pStyle w:val="alphapara"/>
        <w:rPr>
          <w:rStyle w:val="DefaultParagraphFont"/>
        </w:rPr>
      </w:pPr>
      <w:r w:rsidRPr="004C0E53">
        <w:rPr>
          <w:rStyle w:val="DefaultParagraphFont"/>
        </w:rPr>
        <w:t>19.2.4.8</w:t>
      </w:r>
      <w:r w:rsidRPr="004C0E53">
        <w:rPr>
          <w:rStyle w:val="DefaultParagraphFont"/>
        </w:rPr>
        <w:t>.1</w:t>
      </w:r>
      <w:r w:rsidRPr="004C0E53">
        <w:rPr>
          <w:rStyle w:val="DefaultParagraphFont"/>
        </w:rPr>
        <w:tab/>
      </w:r>
      <w:r w:rsidRPr="004C0E53">
        <w:rPr>
          <w:rStyle w:val="DefaultParagraphFont"/>
        </w:rPr>
        <w:t>Secondary Market transfers of fewer than all of the Incremental TCCs associated with a given Expansion that were included in a final award shall not be allowed</w:t>
      </w:r>
      <w:r w:rsidRPr="004C0E53">
        <w:rPr>
          <w:rStyle w:val="DefaultParagraphFont"/>
        </w:rPr>
        <w:t xml:space="preserve"> with the exception </w:t>
      </w:r>
      <w:r w:rsidRPr="004C0E53">
        <w:rPr>
          <w:rStyle w:val="DefaultParagraphFont"/>
        </w:rPr>
        <w:t>of</w:t>
      </w:r>
      <w:r w:rsidRPr="004C0E53">
        <w:rPr>
          <w:rStyle w:val="DefaultParagraphFont"/>
        </w:rPr>
        <w:t xml:space="preserve"> </w:t>
      </w:r>
      <w:r w:rsidRPr="004C0E53">
        <w:rPr>
          <w:rStyle w:val="DefaultParagraphFont"/>
        </w:rPr>
        <w:t xml:space="preserve">allowable </w:t>
      </w:r>
      <w:r w:rsidRPr="004C0E53">
        <w:rPr>
          <w:rStyle w:val="DefaultParagraphFont"/>
        </w:rPr>
        <w:t xml:space="preserve">Secondary Market transfers </w:t>
      </w:r>
      <w:r w:rsidRPr="004C0E53">
        <w:rPr>
          <w:rStyle w:val="DefaultParagraphFont"/>
        </w:rPr>
        <w:t xml:space="preserve">as </w:t>
      </w:r>
      <w:r w:rsidRPr="004C0E53">
        <w:rPr>
          <w:rStyle w:val="DefaultParagraphFont"/>
        </w:rPr>
        <w:t>provid</w:t>
      </w:r>
      <w:r w:rsidRPr="004C0E53">
        <w:rPr>
          <w:rStyle w:val="DefaultParagraphFont"/>
        </w:rPr>
        <w:t>ed in Section 19.2.4.8.2</w:t>
      </w:r>
      <w:r w:rsidRPr="004C0E53">
        <w:rPr>
          <w:rStyle w:val="DefaultParagraphFont"/>
        </w:rPr>
        <w:t>;</w:t>
      </w:r>
      <w:r w:rsidRPr="004C0E53">
        <w:rPr>
          <w:rStyle w:val="DefaultParagraphFont"/>
          <w:i/>
        </w:rPr>
        <w:t xml:space="preserve">, </w:t>
      </w:r>
      <w:r w:rsidRPr="004C0E53">
        <w:rPr>
          <w:rStyle w:val="DefaultParagraphFont"/>
        </w:rPr>
        <w:t>an Expander may only make Secondary Market transfers of all of the Incremental TCCs for all of the POI/POW combinations that were included in a final award for a given Expansion.  This restriction shall not prohibit the sale of f</w:t>
      </w:r>
      <w:r w:rsidRPr="004C0E53">
        <w:rPr>
          <w:rStyle w:val="DefaultParagraphFont"/>
        </w:rPr>
        <w:t>ewer than all of the Incremental TCCs included in a final award through a Centralized TCC Auction or a Reconfiguration Auction.</w:t>
      </w:r>
      <w:r w:rsidRPr="004C0E53">
        <w:rPr>
          <w:rStyle w:val="DefaultParagraphFont"/>
        </w:rPr>
        <w:t xml:space="preserve"> </w:t>
      </w:r>
      <w:r w:rsidRPr="004C0E53">
        <w:rPr>
          <w:rStyle w:val="DefaultParagraphFont"/>
        </w:rPr>
        <w:t xml:space="preserve"> </w:t>
      </w:r>
      <w:r w:rsidRPr="004C0E53">
        <w:rPr>
          <w:rStyle w:val="DefaultParagraphFont"/>
        </w:rPr>
        <w:t xml:space="preserve">Secondary Market transfers of Incremental TCCs shall be made pursuant to the provisions of OATT Section 19.6.2. </w:t>
      </w:r>
      <w:r w:rsidRPr="004C0E53">
        <w:rPr>
          <w:rStyle w:val="DefaultParagraphFont"/>
        </w:rPr>
        <w:t xml:space="preserve"> </w:t>
      </w:r>
      <w:r w:rsidRPr="004C0E53">
        <w:rPr>
          <w:rStyle w:val="DefaultParagraphFont"/>
        </w:rPr>
        <w:t>Transferees of</w:t>
      </w:r>
      <w:r w:rsidRPr="004C0E53">
        <w:rPr>
          <w:rStyle w:val="DefaultParagraphFont"/>
        </w:rPr>
        <w:t xml:space="preserve"> Incremental TCCs </w:t>
      </w:r>
      <w:r w:rsidRPr="004C0E53">
        <w:rPr>
          <w:rStyle w:val="DefaultParagraphFont"/>
          <w:rFonts w:cs="Calibri"/>
        </w:rPr>
        <w:t xml:space="preserve">that choose to become Primary Holders </w:t>
      </w:r>
      <w:r w:rsidRPr="004C0E53">
        <w:rPr>
          <w:rStyle w:val="DefaultParagraphFont"/>
        </w:rPr>
        <w:t>shall be subject to all existing ISO credit requirements and may be subject to any future credit requirements that may be applied to TCCs with a duration longer than one year.</w:t>
      </w:r>
    </w:p>
    <w:p w:rsidR="002B485C" w:rsidRPr="004C0E53" w:rsidP="007F349B">
      <w:pPr>
        <w:pStyle w:val="alphapara"/>
        <w:rPr>
          <w:rStyle w:val="DefaultParagraphFont"/>
          <w:rFonts w:cs="Calibri"/>
        </w:rPr>
      </w:pPr>
      <w:r w:rsidRPr="004C0E53">
        <w:rPr>
          <w:rStyle w:val="DefaultParagraphFont"/>
          <w:rFonts w:cs="Calibri"/>
        </w:rPr>
        <w:t xml:space="preserve">19.2.4.8.2 </w:t>
      </w:r>
      <w:r w:rsidRPr="004C0E53">
        <w:rPr>
          <w:rStyle w:val="DefaultParagraphFont"/>
          <w:rFonts w:cs="Calibri"/>
        </w:rPr>
        <w:tab/>
      </w:r>
      <w:r w:rsidRPr="004C0E53">
        <w:rPr>
          <w:rStyle w:val="DefaultParagraphFont"/>
          <w:rFonts w:cs="Calibri"/>
        </w:rPr>
        <w:t xml:space="preserve">An Expander </w:t>
      </w:r>
      <w:r w:rsidRPr="004C0E53">
        <w:rPr>
          <w:rStyle w:val="DefaultParagraphFont"/>
          <w:rFonts w:cs="Calibri"/>
        </w:rPr>
        <w:t xml:space="preserve">may make a Secondary Market transfer pursuant to OATT Section 19.6.2 of </w:t>
      </w:r>
      <w:r w:rsidRPr="004C0E53">
        <w:rPr>
          <w:rStyle w:val="DefaultParagraphFont"/>
          <w:rFonts w:cs="Calibri"/>
        </w:rPr>
        <w:t xml:space="preserve">fewer TCCs than all of the Incremental </w:t>
      </w:r>
      <w:r w:rsidRPr="004C0E53">
        <w:rPr>
          <w:rStyle w:val="DefaultParagraphFont"/>
        </w:rPr>
        <w:t>TCCs finally awarded for</w:t>
      </w:r>
      <w:r w:rsidRPr="004C0E53">
        <w:rPr>
          <w:rStyle w:val="DefaultParagraphFont"/>
          <w:rFonts w:cs="Calibri"/>
        </w:rPr>
        <w:t xml:space="preserve"> </w:t>
      </w:r>
      <w:r w:rsidRPr="004C0E53">
        <w:rPr>
          <w:rStyle w:val="DefaultParagraphFont"/>
          <w:rFonts w:cs="Calibri"/>
        </w:rPr>
        <w:t>a given Expansion for which it is the Primary Holder provided that</w:t>
      </w:r>
      <w:r w:rsidRPr="004C0E53">
        <w:rPr>
          <w:rStyle w:val="DefaultParagraphFont"/>
        </w:rPr>
        <w:t xml:space="preserve"> </w:t>
      </w:r>
      <w:r w:rsidRPr="004C0E53">
        <w:rPr>
          <w:rStyle w:val="DefaultParagraphFont"/>
          <w:rFonts w:cs="Calibri"/>
        </w:rPr>
        <w:t>the</w:t>
      </w:r>
      <w:r w:rsidRPr="004C0E53">
        <w:rPr>
          <w:rStyle w:val="DefaultParagraphFont"/>
          <w:rFonts w:cs="Calibri"/>
        </w:rPr>
        <w:t xml:space="preserve"> </w:t>
      </w:r>
      <w:r w:rsidRPr="004C0E53">
        <w:rPr>
          <w:rStyle w:val="DefaultParagraphFont"/>
        </w:rPr>
        <w:t xml:space="preserve">Expander received a single final </w:t>
      </w:r>
      <w:r w:rsidRPr="004C0E53">
        <w:rPr>
          <w:rStyle w:val="DefaultParagraphFont"/>
          <w:rFonts w:cs="Calibri"/>
        </w:rPr>
        <w:t>award of Increme</w:t>
      </w:r>
      <w:r w:rsidRPr="004C0E53">
        <w:rPr>
          <w:rStyle w:val="DefaultParagraphFont"/>
          <w:rFonts w:cs="Calibri"/>
        </w:rPr>
        <w:t xml:space="preserve">ntal TCCs for the Expansion </w:t>
      </w:r>
      <w:r w:rsidRPr="004C0E53">
        <w:rPr>
          <w:rStyle w:val="DefaultParagraphFont"/>
        </w:rPr>
        <w:t xml:space="preserve">which </w:t>
      </w:r>
      <w:r w:rsidRPr="004C0E53">
        <w:rPr>
          <w:rStyle w:val="DefaultParagraphFont"/>
        </w:rPr>
        <w:t xml:space="preserve">award </w:t>
      </w:r>
      <w:r w:rsidRPr="004C0E53">
        <w:rPr>
          <w:rStyle w:val="DefaultParagraphFont"/>
        </w:rPr>
        <w:t>specified the same POI and the same POW</w:t>
      </w:r>
      <w:r w:rsidRPr="004C0E53">
        <w:rPr>
          <w:rStyle w:val="DefaultParagraphFont"/>
        </w:rPr>
        <w:t xml:space="preserve"> combination</w:t>
      </w:r>
      <w:r w:rsidRPr="004C0E53">
        <w:rPr>
          <w:rStyle w:val="DefaultParagraphFont"/>
          <w:rFonts w:cs="Calibri"/>
        </w:rPr>
        <w:t>.  To comply with the requirement</w:t>
      </w:r>
      <w:r w:rsidRPr="004C0E53">
        <w:rPr>
          <w:rStyle w:val="DefaultParagraphFont"/>
          <w:rFonts w:cs="Calibri"/>
        </w:rPr>
        <w:t xml:space="preserve"> </w:t>
      </w:r>
      <w:r w:rsidRPr="004C0E53">
        <w:rPr>
          <w:rStyle w:val="DefaultParagraphFont"/>
        </w:rPr>
        <w:t xml:space="preserve">of a single final award with the same POI and POW, </w:t>
      </w:r>
      <w:r w:rsidRPr="004C0E53">
        <w:rPr>
          <w:rStyle w:val="DefaultParagraphFont"/>
          <w:rFonts w:cs="Calibri"/>
        </w:rPr>
        <w:t xml:space="preserve">POIs or POWs </w:t>
      </w:r>
      <w:r w:rsidRPr="004C0E53">
        <w:rPr>
          <w:rStyle w:val="DefaultParagraphFont"/>
        </w:rPr>
        <w:t>t</w:t>
      </w:r>
      <w:r w:rsidRPr="004C0E53">
        <w:rPr>
          <w:rStyle w:val="DefaultParagraphFont"/>
          <w:rFonts w:cs="Calibri"/>
        </w:rPr>
        <w:t xml:space="preserve">hat </w:t>
      </w:r>
      <w:r w:rsidRPr="004C0E53">
        <w:rPr>
          <w:rStyle w:val="DefaultParagraphFont"/>
          <w:rFonts w:cs="Calibri"/>
        </w:rPr>
        <w:t>represent</w:t>
      </w:r>
      <w:r w:rsidRPr="004C0E53">
        <w:rPr>
          <w:rStyle w:val="DefaultParagraphFont"/>
          <w:rFonts w:cs="Calibri"/>
        </w:rPr>
        <w:t xml:space="preserve"> </w:t>
      </w:r>
      <w:r w:rsidRPr="004C0E53">
        <w:rPr>
          <w:rStyle w:val="DefaultParagraphFont"/>
          <w:rFonts w:cs="Calibri"/>
        </w:rPr>
        <w:t xml:space="preserve">individual units of </w:t>
      </w:r>
      <w:r w:rsidRPr="004C0E53">
        <w:rPr>
          <w:rStyle w:val="DefaultParagraphFont"/>
        </w:rPr>
        <w:t xml:space="preserve">a Generator </w:t>
      </w:r>
      <w:r w:rsidRPr="004C0E53">
        <w:rPr>
          <w:rStyle w:val="DefaultParagraphFont"/>
          <w:rFonts w:cs="Calibri"/>
        </w:rPr>
        <w:t>comprised of a group</w:t>
      </w:r>
      <w:r w:rsidRPr="004C0E53">
        <w:rPr>
          <w:rStyle w:val="DefaultParagraphFont"/>
          <w:rFonts w:cs="Calibri"/>
        </w:rPr>
        <w:t xml:space="preserve"> of generating units</w:t>
      </w:r>
      <w:r w:rsidRPr="004C0E53">
        <w:rPr>
          <w:rStyle w:val="DefaultParagraphFont"/>
          <w:rFonts w:cs="Calibri"/>
        </w:rPr>
        <w:t xml:space="preserve"> </w:t>
      </w:r>
      <w:r w:rsidRPr="004C0E53">
        <w:rPr>
          <w:rStyle w:val="DefaultParagraphFont"/>
        </w:rPr>
        <w:t>shall be deemed the same POI or POW</w:t>
      </w:r>
      <w:r w:rsidRPr="004C0E53">
        <w:rPr>
          <w:rStyle w:val="DefaultParagraphFont"/>
          <w:rFonts w:cs="Calibri"/>
        </w:rPr>
        <w:t>.</w:t>
      </w:r>
    </w:p>
    <w:p w:rsidR="00C23F5F" w:rsidRPr="004C0E53">
      <w:pPr>
        <w:pStyle w:val="alphapara"/>
        <w:ind w:firstLine="720"/>
        <w:rPr>
          <w:rStyle w:val="DefaultParagraphFont"/>
          <w:rFonts w:cs="Calibri"/>
        </w:rPr>
      </w:pPr>
      <w:r w:rsidRPr="004C0E53">
        <w:rPr>
          <w:rStyle w:val="DefaultParagraphFont"/>
        </w:rPr>
        <w:t>A Secondary Market transfer by an Expander of all or a portion of its Incremental TCCs awarded for a given Expansion, pursuant to Sections 19.2.4.8.2 and 19.6.2, that is an assignment of the Incremental TCCs shall also operate as an assignment of the annua</w:t>
      </w:r>
      <w:r w:rsidRPr="004C0E53">
        <w:rPr>
          <w:rStyle w:val="DefaultParagraphFont"/>
        </w:rPr>
        <w:t xml:space="preserve">l option to terminate the assigned Incremental TCCs, available pursuant to Section 19.2.4.9.  </w:t>
      </w:r>
    </w:p>
    <w:p w:rsidR="00DE41B4" w:rsidRPr="004C0E53" w:rsidP="00DE41B4">
      <w:pPr>
        <w:pStyle w:val="Bodypara0"/>
        <w:rPr>
          <w:rStyle w:val="DefaultParagraphFont"/>
          <w:rFonts w:cs="Calibri"/>
        </w:rPr>
      </w:pPr>
      <w:r w:rsidRPr="004C0E53">
        <w:rPr>
          <w:rStyle w:val="DefaultParagraphFont"/>
        </w:rPr>
        <w:t>Incremental TCCs that are awarded pursuant to a temporary award may not be sold or transferred through a Secondary Market transfer, through a Centralized TCC Auc</w:t>
      </w:r>
      <w:r w:rsidRPr="004C0E53">
        <w:rPr>
          <w:rStyle w:val="DefaultParagraphFont"/>
        </w:rPr>
        <w:t xml:space="preserve">tion, through a Reconfiguration Auction, or otherwise.  </w:t>
      </w:r>
    </w:p>
    <w:p w:rsidR="002B485C" w:rsidRPr="004C0E53" w:rsidP="007F349B">
      <w:pPr>
        <w:pStyle w:val="Heading40"/>
        <w:rPr>
          <w:rStyle w:val="DefaultParagraphFont"/>
        </w:rPr>
      </w:pPr>
      <w:r w:rsidRPr="004C0E53">
        <w:rPr>
          <w:rStyle w:val="DefaultParagraphFont"/>
        </w:rPr>
        <w:t>19.2.4.9</w:t>
      </w:r>
      <w:r w:rsidRPr="004C0E53">
        <w:rPr>
          <w:rStyle w:val="DefaultParagraphFont"/>
        </w:rPr>
        <w:tab/>
      </w:r>
      <w:r w:rsidRPr="004C0E53">
        <w:rPr>
          <w:rStyle w:val="DefaultParagraphFont"/>
        </w:rPr>
        <w:t>Early Termination of Incremental TCCs</w:t>
      </w:r>
    </w:p>
    <w:p w:rsidR="002B485C" w:rsidRPr="004C0E53" w:rsidP="00CD7E68">
      <w:pPr>
        <w:pStyle w:val="Bodypara0"/>
        <w:rPr>
          <w:rStyle w:val="DefaultParagraphFont"/>
        </w:rPr>
      </w:pPr>
      <w:r w:rsidRPr="004C0E53">
        <w:rPr>
          <w:rStyle w:val="DefaultParagraphFont"/>
        </w:rPr>
        <w:t>An Expander</w:t>
      </w:r>
      <w:r w:rsidRPr="004C0E53">
        <w:rPr>
          <w:rStyle w:val="DefaultParagraphFont"/>
        </w:rPr>
        <w:t xml:space="preserve"> or its assignee</w:t>
      </w:r>
      <w:r w:rsidRPr="004C0E53">
        <w:rPr>
          <w:rStyle w:val="DefaultParagraphFont"/>
        </w:rPr>
        <w:t xml:space="preserve"> shall have</w:t>
      </w:r>
      <w:r w:rsidRPr="004C0E53">
        <w:rPr>
          <w:rStyle w:val="DefaultParagraphFont"/>
        </w:rPr>
        <w:t xml:space="preserve"> an annual option to terminate </w:t>
      </w:r>
      <w:r w:rsidRPr="004C0E53">
        <w:rPr>
          <w:rStyle w:val="DefaultParagraphFont"/>
        </w:rPr>
        <w:t xml:space="preserve">Incremental TCCs for which it is the Primary Holder and which </w:t>
      </w:r>
      <w:r w:rsidRPr="004C0E53">
        <w:rPr>
          <w:rStyle w:val="DefaultParagraphFont"/>
        </w:rPr>
        <w:t>were finally</w:t>
      </w:r>
      <w:r w:rsidRPr="004C0E53">
        <w:rPr>
          <w:rStyle w:val="DefaultParagraphFont"/>
        </w:rPr>
        <w:t xml:space="preserve"> awarded </w:t>
      </w:r>
      <w:r w:rsidRPr="004C0E53">
        <w:rPr>
          <w:rStyle w:val="DefaultParagraphFont"/>
        </w:rPr>
        <w:t xml:space="preserve">to the Expander </w:t>
      </w:r>
      <w:r w:rsidRPr="004C0E53">
        <w:rPr>
          <w:rStyle w:val="DefaultParagraphFont"/>
        </w:rPr>
        <w:t>for a</w:t>
      </w:r>
      <w:r w:rsidRPr="004C0E53">
        <w:rPr>
          <w:rStyle w:val="DefaultParagraphFont"/>
        </w:rPr>
        <w:t xml:space="preserve"> given Expansion</w:t>
      </w:r>
      <w:r w:rsidRPr="004C0E53">
        <w:rPr>
          <w:rStyle w:val="DefaultParagraphFont"/>
        </w:rPr>
        <w:t xml:space="preserve">.  </w:t>
      </w:r>
      <w:r w:rsidRPr="004C0E53">
        <w:rPr>
          <w:rStyle w:val="DefaultParagraphFont"/>
        </w:rPr>
        <w:t xml:space="preserve">This annual option extends only to the entire portfolio of Incremental TCCs held by the </w:t>
      </w:r>
      <w:r w:rsidRPr="004C0E53">
        <w:rPr>
          <w:rStyle w:val="DefaultParagraphFont"/>
        </w:rPr>
        <w:t xml:space="preserve">Expander or its assignee </w:t>
      </w:r>
      <w:r w:rsidRPr="004C0E53">
        <w:rPr>
          <w:rStyle w:val="DefaultParagraphFont"/>
        </w:rPr>
        <w:t>for a given Expansion; early termination of a partial award of Incremental TCCs for a given Expansion h</w:t>
      </w:r>
      <w:r w:rsidRPr="004C0E53">
        <w:rPr>
          <w:rStyle w:val="DefaultParagraphFont"/>
        </w:rPr>
        <w:t xml:space="preserve">eld by a </w:t>
      </w:r>
      <w:r w:rsidRPr="004C0E53">
        <w:rPr>
          <w:rStyle w:val="DefaultParagraphFont"/>
        </w:rPr>
        <w:t>Expander or its assignee</w:t>
      </w:r>
      <w:r w:rsidRPr="004C0E53">
        <w:rPr>
          <w:rStyle w:val="DefaultParagraphFont"/>
        </w:rPr>
        <w:t xml:space="preserve"> shall not be permitted. </w:t>
      </w:r>
      <w:r w:rsidRPr="004C0E53">
        <w:rPr>
          <w:rStyle w:val="DefaultParagraphFont"/>
        </w:rPr>
        <w:t xml:space="preserve"> </w:t>
      </w:r>
      <w:r w:rsidRPr="004C0E53">
        <w:rPr>
          <w:rStyle w:val="DefaultParagraphFont"/>
        </w:rPr>
        <w:t xml:space="preserve">The </w:t>
      </w:r>
      <w:r w:rsidRPr="004C0E53">
        <w:rPr>
          <w:rStyle w:val="DefaultParagraphFont"/>
        </w:rPr>
        <w:t xml:space="preserve">annual option </w:t>
      </w:r>
      <w:r w:rsidRPr="004C0E53">
        <w:rPr>
          <w:rStyle w:val="DefaultParagraphFont"/>
        </w:rPr>
        <w:t>to terminate Incremental TCCs</w:t>
      </w:r>
      <w:r w:rsidRPr="004C0E53">
        <w:rPr>
          <w:rStyle w:val="DefaultParagraphFont"/>
        </w:rPr>
        <w:t xml:space="preserve"> shall</w:t>
      </w:r>
      <w:r w:rsidRPr="004C0E53">
        <w:rPr>
          <w:rStyle w:val="DefaultParagraphFont"/>
        </w:rPr>
        <w:t xml:space="preserve"> </w:t>
      </w:r>
      <w:r w:rsidRPr="004C0E53">
        <w:rPr>
          <w:rStyle w:val="DefaultParagraphFont"/>
        </w:rPr>
        <w:t>expire</w:t>
      </w:r>
      <w:r w:rsidRPr="004C0E53">
        <w:rPr>
          <w:rStyle w:val="DefaultParagraphFont"/>
        </w:rPr>
        <w:t>: i)</w:t>
      </w:r>
      <w:r w:rsidRPr="004C0E53">
        <w:rPr>
          <w:rStyle w:val="DefaultParagraphFont"/>
        </w:rPr>
        <w:t xml:space="preserve"> with the </w:t>
      </w:r>
      <w:r w:rsidRPr="004C0E53">
        <w:rPr>
          <w:rStyle w:val="DefaultParagraphFont"/>
        </w:rPr>
        <w:t xml:space="preserve">early termination </w:t>
      </w:r>
      <w:r w:rsidRPr="004C0E53">
        <w:rPr>
          <w:rStyle w:val="DefaultParagraphFont"/>
        </w:rPr>
        <w:t xml:space="preserve">of </w:t>
      </w:r>
      <w:r w:rsidRPr="004C0E53">
        <w:rPr>
          <w:rStyle w:val="DefaultParagraphFont"/>
        </w:rPr>
        <w:t>those</w:t>
      </w:r>
      <w:r w:rsidRPr="004C0E53">
        <w:rPr>
          <w:rStyle w:val="DefaultParagraphFont"/>
        </w:rPr>
        <w:t xml:space="preserve"> Incremental TCCs pursuant</w:t>
      </w:r>
      <w:r w:rsidRPr="004C0E53">
        <w:rPr>
          <w:rStyle w:val="DefaultParagraphFont"/>
        </w:rPr>
        <w:t xml:space="preserve"> </w:t>
      </w:r>
      <w:r w:rsidRPr="004C0E53">
        <w:rPr>
          <w:rStyle w:val="DefaultParagraphFont"/>
        </w:rPr>
        <w:t>to this paragraph</w:t>
      </w:r>
      <w:r w:rsidRPr="004C0E53">
        <w:rPr>
          <w:rStyle w:val="DefaultParagraphFont"/>
        </w:rPr>
        <w:t>; ii)</w:t>
      </w:r>
      <w:r w:rsidRPr="004C0E53">
        <w:rPr>
          <w:rStyle w:val="DefaultParagraphFont"/>
        </w:rPr>
        <w:t xml:space="preserve"> </w:t>
      </w:r>
      <w:r w:rsidRPr="004C0E53">
        <w:rPr>
          <w:rStyle w:val="DefaultParagraphFont"/>
        </w:rPr>
        <w:t xml:space="preserve">with </w:t>
      </w:r>
      <w:r w:rsidRPr="004C0E53">
        <w:rPr>
          <w:rStyle w:val="DefaultParagraphFont"/>
        </w:rPr>
        <w:t xml:space="preserve">the Expander’s </w:t>
      </w:r>
      <w:r w:rsidRPr="004C0E53">
        <w:rPr>
          <w:rStyle w:val="DefaultParagraphFont"/>
        </w:rPr>
        <w:t xml:space="preserve">assignment </w:t>
      </w:r>
      <w:r w:rsidRPr="004C0E53">
        <w:rPr>
          <w:rStyle w:val="DefaultParagraphFont"/>
        </w:rPr>
        <w:t xml:space="preserve">of </w:t>
      </w:r>
      <w:r w:rsidRPr="004C0E53">
        <w:rPr>
          <w:rStyle w:val="DefaultParagraphFont"/>
        </w:rPr>
        <w:t>those</w:t>
      </w:r>
      <w:r w:rsidRPr="004C0E53">
        <w:rPr>
          <w:rStyle w:val="DefaultParagraphFont"/>
        </w:rPr>
        <w:t xml:space="preserve"> Increme</w:t>
      </w:r>
      <w:r w:rsidRPr="004C0E53">
        <w:rPr>
          <w:rStyle w:val="DefaultParagraphFont"/>
        </w:rPr>
        <w:t>ntal TCCs</w:t>
      </w:r>
      <w:r w:rsidRPr="004C0E53">
        <w:rPr>
          <w:rStyle w:val="DefaultParagraphFont"/>
        </w:rPr>
        <w:t>; or iii)</w:t>
      </w:r>
      <w:r w:rsidRPr="004C0E53">
        <w:rPr>
          <w:rStyle w:val="DefaultParagraphFont"/>
        </w:rPr>
        <w:t xml:space="preserve"> with a Secondary Market transfer of </w:t>
      </w:r>
      <w:r w:rsidRPr="004C0E53">
        <w:rPr>
          <w:rStyle w:val="DefaultParagraphFont"/>
        </w:rPr>
        <w:t xml:space="preserve">all or a portion of </w:t>
      </w:r>
      <w:r w:rsidRPr="004C0E53">
        <w:rPr>
          <w:rStyle w:val="DefaultParagraphFont"/>
        </w:rPr>
        <w:t>those Incremental TCCs</w:t>
      </w:r>
      <w:r w:rsidRPr="004C0E53">
        <w:rPr>
          <w:rStyle w:val="DefaultParagraphFont"/>
        </w:rPr>
        <w:t>, which expiration would apply only to the transferred portion of the Incremental TCCs and only for the duration of the Secondary market transfer</w:t>
      </w:r>
      <w:r w:rsidRPr="004C0E53">
        <w:rPr>
          <w:rStyle w:val="DefaultParagraphFont"/>
        </w:rPr>
        <w:t>.</w:t>
      </w:r>
    </w:p>
    <w:p w:rsidR="002B485C" w:rsidRPr="004C0E53" w:rsidP="008A49F4">
      <w:pPr>
        <w:pStyle w:val="Bodypara0"/>
        <w:rPr>
          <w:rStyle w:val="DefaultParagraphFont"/>
          <w:rFonts w:cs="Calibri"/>
        </w:rPr>
      </w:pPr>
      <w:r w:rsidRPr="004C0E53">
        <w:rPr>
          <w:rStyle w:val="DefaultParagraphFont"/>
          <w:rFonts w:cs="Calibri"/>
        </w:rPr>
        <w:t xml:space="preserve">To terminate its Incremental TCCs, the </w:t>
      </w:r>
      <w:r w:rsidRPr="004C0E53">
        <w:rPr>
          <w:rStyle w:val="DefaultParagraphFont"/>
          <w:rFonts w:cs="Calibri"/>
        </w:rPr>
        <w:t xml:space="preserve">Expander, </w:t>
      </w:r>
      <w:r w:rsidRPr="004C0E53">
        <w:rPr>
          <w:rStyle w:val="DefaultParagraphFont"/>
          <w:rFonts w:cs="Calibri"/>
        </w:rPr>
        <w:t>or the Expander’s assignee</w:t>
      </w:r>
      <w:r w:rsidRPr="004C0E53">
        <w:rPr>
          <w:rStyle w:val="DefaultParagraphFont"/>
          <w:rFonts w:cs="Calibri"/>
        </w:rPr>
        <w:t>, shall</w:t>
      </w:r>
      <w:r w:rsidRPr="004C0E53">
        <w:rPr>
          <w:rStyle w:val="DefaultParagraphFont"/>
          <w:rFonts w:cs="Calibri"/>
        </w:rPr>
        <w:t xml:space="preserve"> provide a notice of early termination and a proposed expiration date </w:t>
      </w:r>
      <w:r w:rsidRPr="004C0E53">
        <w:rPr>
          <w:rStyle w:val="DefaultParagraphFont"/>
        </w:rPr>
        <w:t xml:space="preserve">by Certified, Return-Receipt U.S. Mail, or by a reputable commercial courier service employing a parcel </w:t>
      </w:r>
      <w:r w:rsidRPr="004C0E53">
        <w:rPr>
          <w:rStyle w:val="DefaultParagraphFont"/>
        </w:rPr>
        <w:t xml:space="preserve">tracking system </w:t>
      </w:r>
      <w:r w:rsidRPr="004C0E53">
        <w:rPr>
          <w:rStyle w:val="DefaultParagraphFont"/>
          <w:rFonts w:cs="Calibri"/>
        </w:rPr>
        <w:t xml:space="preserve">to the ISO at least one year in advance of the proposed early termination date which notice shall be irrevocable.  </w:t>
      </w:r>
      <w:r w:rsidRPr="004C0E53">
        <w:rPr>
          <w:rStyle w:val="DefaultParagraphFont"/>
          <w:rFonts w:cs="Calibri"/>
        </w:rPr>
        <w:t xml:space="preserve">The termination date for </w:t>
      </w:r>
      <w:r w:rsidRPr="004C0E53">
        <w:rPr>
          <w:rStyle w:val="DefaultParagraphFont"/>
          <w:rFonts w:cs="Calibri"/>
        </w:rPr>
        <w:t xml:space="preserve">Incremental TCCs </w:t>
      </w:r>
      <w:r w:rsidRPr="004C0E53">
        <w:rPr>
          <w:rStyle w:val="DefaultParagraphFont"/>
          <w:rFonts w:cs="Calibri"/>
        </w:rPr>
        <w:t xml:space="preserve">that were </w:t>
      </w:r>
      <w:r w:rsidRPr="004C0E53">
        <w:rPr>
          <w:rStyle w:val="DefaultParagraphFont"/>
          <w:rFonts w:cs="Calibri"/>
        </w:rPr>
        <w:t xml:space="preserve">subject to a notice of early termination shall </w:t>
      </w:r>
      <w:r w:rsidRPr="004C0E53">
        <w:rPr>
          <w:rStyle w:val="DefaultParagraphFont"/>
          <w:rFonts w:cs="Calibri"/>
        </w:rPr>
        <w:t xml:space="preserve">be </w:t>
      </w:r>
      <w:r w:rsidRPr="004C0E53">
        <w:rPr>
          <w:rStyle w:val="DefaultParagraphFont"/>
          <w:rFonts w:cs="Calibri"/>
        </w:rPr>
        <w:t>the last day of a Capab</w:t>
      </w:r>
      <w:r w:rsidRPr="004C0E53">
        <w:rPr>
          <w:rStyle w:val="DefaultParagraphFont"/>
          <w:rFonts w:cs="Calibri"/>
        </w:rPr>
        <w:t xml:space="preserve">ility Period which date occurs no earlier than one year after the notice of proposed early termination has been received by the ISO.  </w:t>
      </w:r>
    </w:p>
    <w:p w:rsidR="00C23F5F" w:rsidRPr="004C0E53">
      <w:pPr>
        <w:pStyle w:val="alphapara"/>
        <w:rPr>
          <w:rStyle w:val="DefaultParagraphFont"/>
        </w:rPr>
      </w:pPr>
      <w:r w:rsidRPr="004C0E53">
        <w:rPr>
          <w:rStyle w:val="DefaultParagraphFont"/>
        </w:rPr>
        <w:t>19.2.4.9.1</w:t>
      </w:r>
      <w:r w:rsidRPr="004C0E53">
        <w:rPr>
          <w:rStyle w:val="DefaultParagraphFont"/>
        </w:rPr>
        <w:tab/>
      </w:r>
      <w:r w:rsidRPr="004C0E53">
        <w:rPr>
          <w:rStyle w:val="DefaultParagraphFont"/>
        </w:rPr>
        <w:t>Upon receiving the notice of an early termination, the</w:t>
      </w:r>
      <w:r w:rsidRPr="004C0E53">
        <w:rPr>
          <w:rStyle w:val="DefaultParagraphFont"/>
        </w:rPr>
        <w:t xml:space="preserve"> </w:t>
      </w:r>
      <w:r w:rsidRPr="004C0E53">
        <w:rPr>
          <w:rStyle w:val="DefaultParagraphFont"/>
        </w:rPr>
        <w:t>ISO shall promptly notice the market of the effective d</w:t>
      </w:r>
      <w:r w:rsidRPr="004C0E53">
        <w:rPr>
          <w:rStyle w:val="DefaultParagraphFont"/>
        </w:rPr>
        <w:t>ate of the early termination. To ensure that Centralized TCC Auctions following a notice of early termination start with a simultaneously feasible security constrained Power Flow, the ISO may: i) update its ISO Procedures to include prohibited bid points o</w:t>
      </w:r>
      <w:r w:rsidRPr="004C0E53">
        <w:rPr>
          <w:rStyle w:val="DefaultParagraphFont"/>
        </w:rPr>
        <w:t xml:space="preserve">r combinations of prohibited bid points at which TCCs with durations of longer than one year may not be available in a future Centralized TCC Auction or Reconfiguration Auction, as a result of the notice of early termination; and / or ii) rather than </w:t>
      </w:r>
      <w:r w:rsidRPr="004C0E53">
        <w:rPr>
          <w:rStyle w:val="DefaultParagraphFont"/>
        </w:rPr>
        <w:t>effec</w:t>
      </w:r>
      <w:r w:rsidRPr="004C0E53">
        <w:rPr>
          <w:rStyle w:val="DefaultParagraphFont"/>
        </w:rPr>
        <w:t xml:space="preserve">tuate </w:t>
      </w:r>
      <w:r w:rsidRPr="004C0E53">
        <w:rPr>
          <w:rStyle w:val="DefaultParagraphFont"/>
        </w:rPr>
        <w:t xml:space="preserve">the </w:t>
      </w:r>
      <w:r w:rsidRPr="004C0E53">
        <w:rPr>
          <w:rStyle w:val="DefaultParagraphFont"/>
        </w:rPr>
        <w:t xml:space="preserve"> </w:t>
      </w:r>
      <w:r w:rsidRPr="004C0E53">
        <w:rPr>
          <w:rStyle w:val="DefaultParagraphFont"/>
        </w:rPr>
        <w:t>termination</w:t>
      </w:r>
      <w:r w:rsidRPr="004C0E53">
        <w:rPr>
          <w:rStyle w:val="DefaultParagraphFont"/>
        </w:rPr>
        <w:t xml:space="preserve"> date,</w:t>
      </w:r>
      <w:r w:rsidRPr="004C0E53">
        <w:rPr>
          <w:rStyle w:val="DefaultParagraphFont"/>
        </w:rPr>
        <w:t xml:space="preserve"> </w:t>
      </w:r>
      <w:r w:rsidRPr="004C0E53">
        <w:rPr>
          <w:rStyle w:val="DefaultParagraphFont"/>
        </w:rPr>
        <w:t xml:space="preserve">require that the Incremental TCC award proposed for early termination be apportioned such that the Incremental TCCs </w:t>
      </w:r>
      <w:r w:rsidRPr="004C0E53">
        <w:rPr>
          <w:rStyle w:val="DefaultParagraphFont"/>
        </w:rPr>
        <w:t xml:space="preserve">terminate </w:t>
      </w:r>
      <w:r w:rsidRPr="004C0E53">
        <w:rPr>
          <w:rStyle w:val="DefaultParagraphFont"/>
        </w:rPr>
        <w:t xml:space="preserve">in portions over as many as 12 months, beginning with the </w:t>
      </w:r>
      <w:r w:rsidRPr="004C0E53">
        <w:rPr>
          <w:rStyle w:val="DefaultParagraphFont"/>
        </w:rPr>
        <w:t xml:space="preserve">initial </w:t>
      </w:r>
      <w:r w:rsidRPr="004C0E53">
        <w:rPr>
          <w:rStyle w:val="DefaultParagraphFont"/>
        </w:rPr>
        <w:t xml:space="preserve">termination </w:t>
      </w:r>
      <w:r w:rsidRPr="004C0E53">
        <w:rPr>
          <w:rStyle w:val="DefaultParagraphFont"/>
        </w:rPr>
        <w:t xml:space="preserve"> date.  To </w:t>
      </w:r>
      <w:r w:rsidRPr="004C0E53">
        <w:rPr>
          <w:rStyle w:val="DefaultParagraphFont"/>
        </w:rPr>
        <w:t xml:space="preserve">terminate </w:t>
      </w:r>
      <w:r w:rsidRPr="004C0E53">
        <w:rPr>
          <w:rStyle w:val="DefaultParagraphFont"/>
        </w:rPr>
        <w:t>In</w:t>
      </w:r>
      <w:r w:rsidRPr="004C0E53">
        <w:rPr>
          <w:rStyle w:val="DefaultParagraphFont"/>
        </w:rPr>
        <w:t xml:space="preserve">cremental TCCs in portions over as many as 12 months, the ISO shall establish up to two additional </w:t>
      </w:r>
      <w:r w:rsidRPr="004C0E53">
        <w:rPr>
          <w:rStyle w:val="DefaultParagraphFont"/>
        </w:rPr>
        <w:t xml:space="preserve">termination </w:t>
      </w:r>
      <w:r w:rsidRPr="004C0E53">
        <w:rPr>
          <w:rStyle w:val="DefaultParagraphFont"/>
        </w:rPr>
        <w:t xml:space="preserve">dates following the </w:t>
      </w:r>
      <w:r w:rsidRPr="004C0E53">
        <w:rPr>
          <w:rStyle w:val="DefaultParagraphFont"/>
        </w:rPr>
        <w:t xml:space="preserve">initial termination </w:t>
      </w:r>
      <w:r w:rsidRPr="004C0E53">
        <w:rPr>
          <w:rStyle w:val="DefaultParagraphFont"/>
        </w:rPr>
        <w:t xml:space="preserve">date, and assign Incremental TCCs to each </w:t>
      </w:r>
      <w:r w:rsidRPr="004C0E53">
        <w:rPr>
          <w:rStyle w:val="DefaultParagraphFont"/>
        </w:rPr>
        <w:t xml:space="preserve">termination </w:t>
      </w:r>
      <w:r w:rsidRPr="004C0E53">
        <w:rPr>
          <w:rStyle w:val="DefaultParagraphFont"/>
        </w:rPr>
        <w:t xml:space="preserve">date, which additional </w:t>
      </w:r>
      <w:r w:rsidRPr="004C0E53">
        <w:rPr>
          <w:rStyle w:val="DefaultParagraphFont"/>
        </w:rPr>
        <w:t xml:space="preserve">termination </w:t>
      </w:r>
      <w:r w:rsidRPr="004C0E53">
        <w:rPr>
          <w:rStyle w:val="DefaultParagraphFont"/>
        </w:rPr>
        <w:t>dates shall fall</w:t>
      </w:r>
      <w:r w:rsidRPr="004C0E53">
        <w:rPr>
          <w:rStyle w:val="DefaultParagraphFont"/>
        </w:rPr>
        <w:t xml:space="preserve"> at the end of the Capability Period(s) that follow the </w:t>
      </w:r>
      <w:r w:rsidRPr="004C0E53">
        <w:rPr>
          <w:rStyle w:val="DefaultParagraphFont"/>
        </w:rPr>
        <w:t xml:space="preserve">initial termination </w:t>
      </w:r>
      <w:r w:rsidRPr="004C0E53">
        <w:rPr>
          <w:rStyle w:val="DefaultParagraphFont"/>
        </w:rPr>
        <w:t>date.</w:t>
      </w:r>
    </w:p>
    <w:p w:rsidR="00C23F5F" w:rsidRPr="004C0E53">
      <w:pPr>
        <w:pStyle w:val="Bodypara0"/>
        <w:rPr>
          <w:rStyle w:val="DefaultParagraphFont"/>
          <w:rFonts w:cs="Calibri"/>
        </w:rPr>
      </w:pPr>
      <w:r w:rsidRPr="004C0E53">
        <w:rPr>
          <w:rStyle w:val="DefaultParagraphFont"/>
          <w:rFonts w:cs="Calibri"/>
        </w:rPr>
        <w:t xml:space="preserve">Any prohibition on </w:t>
      </w:r>
      <w:r w:rsidRPr="004C0E53">
        <w:rPr>
          <w:rStyle w:val="DefaultParagraphFont"/>
        </w:rPr>
        <w:t>bid</w:t>
      </w:r>
      <w:r w:rsidRPr="004C0E53">
        <w:rPr>
          <w:rStyle w:val="DefaultParagraphFont"/>
          <w:rFonts w:cs="Calibri"/>
        </w:rPr>
        <w:t xml:space="preserve"> points resulting from a notice of early termination of Incremental TCCs in order to avoid infeasibility shall expire as of the first Capability Period </w:t>
      </w:r>
      <w:r w:rsidRPr="004C0E53">
        <w:rPr>
          <w:rStyle w:val="DefaultParagraphFont"/>
          <w:rFonts w:cs="Calibri"/>
        </w:rPr>
        <w:t xml:space="preserve">following the last </w:t>
      </w:r>
      <w:r w:rsidRPr="004C0E53">
        <w:rPr>
          <w:rStyle w:val="DefaultParagraphFont"/>
          <w:rFonts w:cs="Calibri"/>
        </w:rPr>
        <w:t xml:space="preserve">termination </w:t>
      </w:r>
      <w:r w:rsidRPr="004C0E53">
        <w:rPr>
          <w:rStyle w:val="DefaultParagraphFont"/>
          <w:rFonts w:cs="Calibri"/>
        </w:rPr>
        <w:t>date of the Incremental TCCs.</w:t>
      </w:r>
    </w:p>
    <w:p w:rsidR="008752D9" w:rsidRPr="004C0E53">
      <w:pPr>
        <w:pStyle w:val="Heading40"/>
        <w:rPr>
          <w:rStyle w:val="DefaultParagraphFont"/>
        </w:rPr>
      </w:pPr>
      <w:bookmarkStart w:id="46" w:name="_Toc263333572"/>
      <w:r w:rsidRPr="004C0E53">
        <w:rPr>
          <w:rStyle w:val="DefaultParagraphFont"/>
        </w:rPr>
        <w:t>19.2.4.</w:t>
      </w:r>
      <w:r w:rsidRPr="004C0E53">
        <w:rPr>
          <w:rStyle w:val="DefaultParagraphFont"/>
        </w:rPr>
        <w:t>10</w:t>
      </w:r>
      <w:r w:rsidRPr="004C0E53">
        <w:rPr>
          <w:rStyle w:val="DefaultParagraphFont"/>
        </w:rPr>
        <w:tab/>
        <w:t>Outage Charges</w:t>
      </w:r>
      <w:bookmarkEnd w:id="46"/>
    </w:p>
    <w:p w:rsidR="008752D9" w:rsidRPr="004C0E53">
      <w:pPr>
        <w:pStyle w:val="Bodypara0"/>
        <w:rPr>
          <w:rStyle w:val="DefaultParagraphFont"/>
        </w:rPr>
      </w:pPr>
      <w:r w:rsidRPr="004C0E53">
        <w:rPr>
          <w:rStyle w:val="DefaultParagraphFont"/>
        </w:rPr>
        <w:t>Any person or entity that is not subject to Section 20.2.5 of Attachment N to the ISO OATT and that owns an Expansion (or a portion of an Expansion) associated with a tem</w:t>
      </w:r>
      <w:r w:rsidRPr="004C0E53">
        <w:rPr>
          <w:rStyle w:val="DefaultParagraphFont"/>
        </w:rPr>
        <w:t>porary or final award of Incremental TCCs</w:t>
      </w:r>
      <w:r w:rsidRPr="004C0E53">
        <w:rPr>
          <w:rStyle w:val="DefaultParagraphFont"/>
        </w:rPr>
        <w:t>, or has been assigned Incremental TCCs by an Expander,</w:t>
      </w:r>
      <w:r w:rsidRPr="004C0E53">
        <w:rPr>
          <w:rStyle w:val="DefaultParagraphFont"/>
        </w:rPr>
        <w:t xml:space="preserve"> shall pay an outage charge to the ISO for any hour in the Day-Ahead Market during which the Expansion associated with the Incremental TCCs is modeled</w:t>
      </w:r>
      <w:r w:rsidRPr="004C0E53">
        <w:rPr>
          <w:rStyle w:val="DefaultParagraphFont"/>
        </w:rPr>
        <w:t xml:space="preserve"> </w:t>
      </w:r>
      <w:r w:rsidRPr="004C0E53">
        <w:rPr>
          <w:rStyle w:val="DefaultParagraphFont"/>
        </w:rPr>
        <w:t>to be who</w:t>
      </w:r>
      <w:r w:rsidRPr="004C0E53">
        <w:rPr>
          <w:rStyle w:val="DefaultParagraphFont"/>
        </w:rPr>
        <w:t>lly or partially out of service.  All outage charges shall be implemented through the billing of Day-Ahead Market Congestion Rents to the person or entity responsible for paying the outage charge and, as such, will be credits to Day-Ahead Market Congestion</w:t>
      </w:r>
      <w:r w:rsidRPr="004C0E53">
        <w:rPr>
          <w:rStyle w:val="DefaultParagraphFont"/>
        </w:rPr>
        <w:t xml:space="preserve"> Rents in the ISO settlement system.  </w:t>
      </w:r>
    </w:p>
    <w:p w:rsidR="008752D9" w:rsidRPr="004C0E53">
      <w:pPr>
        <w:pStyle w:val="Bodypara0"/>
        <w:rPr>
          <w:rStyle w:val="DefaultParagraphFont"/>
        </w:rPr>
      </w:pPr>
      <w:r w:rsidRPr="004C0E53">
        <w:rPr>
          <w:rStyle w:val="DefaultParagraphFont"/>
        </w:rPr>
        <w:t xml:space="preserve">Outage charges shall be determined as follows: </w:t>
      </w:r>
    </w:p>
    <w:p w:rsidR="008752D9" w:rsidRPr="004C0E53" w:rsidP="008A49F4">
      <w:pPr>
        <w:pStyle w:val="Bulletpara"/>
        <w:spacing w:before="0" w:after="0" w:line="480" w:lineRule="auto"/>
        <w:rPr>
          <w:rStyle w:val="DefaultParagraphFont"/>
        </w:rPr>
      </w:pPr>
      <w:r w:rsidRPr="004C0E53">
        <w:rPr>
          <w:rStyle w:val="DefaultParagraphFont"/>
        </w:rPr>
        <w:t>If the entire Expansion is modeled as out of service in the Day-Ahead Market; the outage charge shall be equal to the Day-Ahead Market Congestion Rent payment for all of</w:t>
      </w:r>
      <w:r w:rsidRPr="004C0E53">
        <w:rPr>
          <w:rStyle w:val="DefaultParagraphFont"/>
        </w:rPr>
        <w:t xml:space="preserve"> the Incremental TCCs associated with the entire Expansion.</w:t>
      </w:r>
    </w:p>
    <w:p w:rsidR="008752D9" w:rsidRPr="004C0E53" w:rsidP="008A49F4">
      <w:pPr>
        <w:pStyle w:val="Bulletpara"/>
        <w:spacing w:before="0" w:after="0" w:line="480" w:lineRule="auto"/>
        <w:rPr>
          <w:rStyle w:val="DefaultParagraphFont"/>
        </w:rPr>
      </w:pPr>
      <w:r w:rsidRPr="004C0E53">
        <w:rPr>
          <w:rStyle w:val="DefaultParagraphFont"/>
        </w:rPr>
        <w:t>If one or more portions of an Expansion are modeled as out of service in the Day-Ahead Market, or derated by the outage of an External Transmission facility, and Partial Outage Incremental TCCs ha</w:t>
      </w:r>
      <w:r w:rsidRPr="004C0E53">
        <w:rPr>
          <w:rStyle w:val="DefaultParagraphFont"/>
        </w:rPr>
        <w:t>ve not been created, the outage charge shall be equal to the Day-Ahead Market Congestion Rent payment for all of the Incremental TCCs associated with the entire Expansion.</w:t>
      </w:r>
    </w:p>
    <w:p w:rsidR="008752D9" w:rsidRPr="004C0E53" w:rsidP="008A49F4">
      <w:pPr>
        <w:pStyle w:val="Bulletpara"/>
        <w:spacing w:before="0" w:after="0" w:line="480" w:lineRule="auto"/>
        <w:rPr>
          <w:rStyle w:val="DefaultParagraphFont"/>
        </w:rPr>
      </w:pPr>
      <w:r w:rsidRPr="004C0E53">
        <w:rPr>
          <w:rStyle w:val="DefaultParagraphFont"/>
        </w:rPr>
        <w:t>If one or more portions of an Expansion are modeled as out of service in the Day-Ahe</w:t>
      </w:r>
      <w:r w:rsidRPr="004C0E53">
        <w:rPr>
          <w:rStyle w:val="DefaultParagraphFont"/>
        </w:rPr>
        <w:t>ad Market or are caused to be out of service or derated by the outage of an External transmission facility, and Partial Outage Incremental TCCs have been created for such an out-of-service state or derating, the outage charge shall be calculated as follows</w:t>
      </w:r>
      <w:r w:rsidRPr="004C0E53">
        <w:rPr>
          <w:rStyle w:val="DefaultParagraphFont"/>
        </w:rPr>
        <w:t xml:space="preserve">: </w:t>
      </w:r>
    </w:p>
    <w:p w:rsidR="008752D9" w:rsidRPr="004C0E53">
      <w:pPr>
        <w:pStyle w:val="Normal2"/>
        <w:tabs>
          <w:tab w:val="num" w:pos="1440"/>
        </w:tabs>
        <w:spacing w:after="240"/>
        <w:ind w:left="1440"/>
        <w:rPr>
          <w:rStyle w:val="DefaultParagraphFont"/>
        </w:rPr>
      </w:pPr>
      <w:r w:rsidRPr="004C0E53">
        <w:rPr>
          <w:rStyle w:val="DefaultParagraphFont"/>
        </w:rPr>
        <w:t>Outage charge = A – B</w:t>
      </w:r>
    </w:p>
    <w:p w:rsidR="008752D9" w:rsidRPr="004C0E53">
      <w:pPr>
        <w:pStyle w:val="Normal2"/>
        <w:tabs>
          <w:tab w:val="num" w:pos="1440"/>
        </w:tabs>
        <w:spacing w:after="240"/>
        <w:ind w:left="1440"/>
        <w:rPr>
          <w:rStyle w:val="DefaultParagraphFont"/>
        </w:rPr>
      </w:pPr>
      <w:r w:rsidRPr="004C0E53">
        <w:rPr>
          <w:rStyle w:val="DefaultParagraphFont"/>
        </w:rPr>
        <w:t>where:</w:t>
      </w:r>
    </w:p>
    <w:p w:rsidR="00C23F5F" w:rsidRPr="004C0E53">
      <w:pPr>
        <w:pStyle w:val="Bulletpara"/>
        <w:spacing w:before="0" w:after="0" w:line="480" w:lineRule="auto"/>
        <w:rPr>
          <w:rStyle w:val="DefaultParagraphFont"/>
        </w:rPr>
      </w:pPr>
      <w:r w:rsidRPr="004C0E53">
        <w:rPr>
          <w:rStyle w:val="DefaultParagraphFont"/>
        </w:rPr>
        <w:t xml:space="preserve">“A” is the sum, over all different POI and POW combinations associated with the Incremental TCCs for an Expansion, of the product of (i) the Congestion Component at the </w:t>
      </w:r>
      <w:r w:rsidRPr="004C0E53">
        <w:rPr>
          <w:rStyle w:val="DefaultParagraphFont"/>
        </w:rPr>
        <w:t>POW minus the Congestion Component at the POI; and (ii)</w:t>
      </w:r>
      <w:r w:rsidRPr="004C0E53">
        <w:rPr>
          <w:rStyle w:val="DefaultParagraphFont"/>
        </w:rPr>
        <w:t xml:space="preserve"> the number of Incremental TCCs between that POI and POW associated with the Expansion, and </w:t>
      </w:r>
    </w:p>
    <w:p w:rsidR="00C23F5F" w:rsidRPr="004C0E53">
      <w:pPr>
        <w:pStyle w:val="Bulletpara"/>
        <w:spacing w:before="0" w:after="0" w:line="480" w:lineRule="auto"/>
        <w:rPr>
          <w:rStyle w:val="DefaultParagraphFont"/>
        </w:rPr>
      </w:pPr>
      <w:r w:rsidRPr="004C0E53">
        <w:rPr>
          <w:rStyle w:val="DefaultParagraphFont"/>
        </w:rPr>
        <w:t>“B” is the sum, over all different POI and POW combinations associated with the Partial Outage Incremental TCCs for that out-of-service state or derating of the Ex</w:t>
      </w:r>
      <w:r w:rsidRPr="004C0E53">
        <w:rPr>
          <w:rStyle w:val="DefaultParagraphFont"/>
        </w:rPr>
        <w:t>pansion, of the product of: (i) the Congestion Component at the POW minus the Congestion Component at the POI; and (ii) the number of Partial Outage Incremental TCCs between that POI and POW associated with that out-of-service state or derating of the Expa</w:t>
      </w:r>
      <w:r w:rsidRPr="004C0E53">
        <w:rPr>
          <w:rStyle w:val="DefaultParagraphFont"/>
        </w:rPr>
        <w:t>nsion.</w:t>
      </w:r>
    </w:p>
    <w:p w:rsidR="00B829C1" w:rsidRPr="004C0E53" w:rsidP="00B829C1">
      <w:pPr>
        <w:pStyle w:val="Heading40"/>
        <w:rPr>
          <w:rStyle w:val="DefaultParagraphFont"/>
        </w:rPr>
      </w:pPr>
      <w:r w:rsidRPr="004C0E53">
        <w:rPr>
          <w:rStyle w:val="DefaultParagraphFont"/>
        </w:rPr>
        <w:t>19.2.4.11</w:t>
      </w:r>
      <w:r w:rsidRPr="004C0E53">
        <w:rPr>
          <w:rStyle w:val="DefaultParagraphFont"/>
        </w:rPr>
        <w:tab/>
        <w:t>Incremental TCCs for System Deliverability Upgrades</w:t>
      </w:r>
    </w:p>
    <w:p w:rsidR="00B829C1" w:rsidRPr="004C0E53" w:rsidP="00183520">
      <w:pPr>
        <w:pStyle w:val="Bodypara0"/>
        <w:rPr>
          <w:rStyle w:val="DefaultParagraphFont"/>
        </w:rPr>
      </w:pPr>
      <w:r w:rsidRPr="004C0E53">
        <w:rPr>
          <w:rStyle w:val="DefaultParagraphFont"/>
        </w:rPr>
        <w:t>In accordance with Section 25.7.2 of Attachment S of the ISO OATT, the Transmission Owner(s) responsible for constructing a System Deliverability Upgrade shall be the entity(ies) to submi</w:t>
      </w:r>
      <w:r w:rsidRPr="004C0E53">
        <w:rPr>
          <w:rStyle w:val="DefaultParagraphFont"/>
        </w:rPr>
        <w:t>t requests for awards of Incremental TCCs pursuant to this Section 19.2.4 for each System Deliverability Upgrade, which will constitute the Expansion for purposes of each such request.  The ISO shall evaluate each such request in accordance with the requir</w:t>
      </w:r>
      <w:r w:rsidRPr="004C0E53">
        <w:rPr>
          <w:rStyle w:val="DefaultParagraphFont"/>
        </w:rPr>
        <w:t xml:space="preserve">ements </w:t>
      </w:r>
      <w:r w:rsidRPr="004C0E53">
        <w:rPr>
          <w:rStyle w:val="DefaultParagraphFont"/>
        </w:rPr>
        <w:t xml:space="preserve">of </w:t>
      </w:r>
      <w:r w:rsidRPr="004C0E53">
        <w:rPr>
          <w:rStyle w:val="DefaultParagraphFont"/>
        </w:rPr>
        <w:t>this</w:t>
      </w:r>
      <w:r w:rsidRPr="004C0E53">
        <w:rPr>
          <w:rStyle w:val="DefaultParagraphFont"/>
        </w:rPr>
        <w:t xml:space="preserve"> </w:t>
      </w:r>
      <w:r w:rsidRPr="004C0E53">
        <w:rPr>
          <w:rStyle w:val="DefaultParagraphFont"/>
        </w:rPr>
        <w:t xml:space="preserve">Section 19.2.4 to determine any applicable temporary and/or final Incremental TCC awards for each System Deliverability Upgrade, including any Partial Outage Incremental TCCs relating thereto.  Unless otherwise specified herein, Incremental </w:t>
      </w:r>
      <w:r w:rsidRPr="004C0E53">
        <w:rPr>
          <w:rStyle w:val="DefaultParagraphFont"/>
        </w:rPr>
        <w:t>TCCs resulting from System Deliverability Upgrades will be subject to the same requirements as Incremental TCCs awarded to any other Expansion pursuant to this Section 19.2.4, including the payment of any outage charges pursuant to Section 19.2.4.10 of thi</w:t>
      </w:r>
      <w:r w:rsidRPr="004C0E53">
        <w:rPr>
          <w:rStyle w:val="DefaultParagraphFont"/>
        </w:rPr>
        <w:t>s Attachment M.</w:t>
      </w:r>
    </w:p>
    <w:p w:rsidR="00B829C1" w:rsidRPr="004C0E53" w:rsidP="00183520">
      <w:pPr>
        <w:pStyle w:val="Bodypara0"/>
        <w:rPr>
          <w:rStyle w:val="DefaultParagraphFont"/>
        </w:rPr>
      </w:pPr>
      <w:r w:rsidRPr="004C0E53">
        <w:rPr>
          <w:rStyle w:val="DefaultParagraphFont"/>
        </w:rPr>
        <w:t xml:space="preserve">If the ISO determines that a System Deliverability Upgrade is eligible to receive an award of Incremental TCCs, including any Partial Outage Incremental TCCs relating thereto, the ISO will allocate the determined award among the applicable </w:t>
      </w:r>
      <w:r w:rsidRPr="004C0E53">
        <w:rPr>
          <w:rStyle w:val="DefaultParagraphFont"/>
        </w:rPr>
        <w:t>Developers eligible to receive Incremental TCCs related to the System Deliverability Upgrade and/or the Transmission Owner(s) responsible for constructing the System Deliverability Upgrade in accordance with the requirements of Section 25.7.2 of Attachment</w:t>
      </w:r>
      <w:r w:rsidRPr="004C0E53">
        <w:rPr>
          <w:rStyle w:val="DefaultParagraphFont"/>
        </w:rPr>
        <w:t xml:space="preserve"> S of the ISO OATT.  Each Developer eligible to receive Incremental TCCs related to the System Deliverability Upgrade shall be provided the right to elect to receive its respective portion of such Incremental TCCs pursuant to Section 19.2.4.6 of this Attac</w:t>
      </w:r>
      <w:r w:rsidRPr="004C0E53">
        <w:rPr>
          <w:rStyle w:val="DefaultParagraphFont"/>
        </w:rPr>
        <w:t xml:space="preserve">hment M.  </w:t>
      </w:r>
      <w:r w:rsidRPr="004C0E53">
        <w:rPr>
          <w:rStyle w:val="DefaultParagraphFont"/>
        </w:rPr>
        <w:t xml:space="preserve">To the extent necessary to facilitate the potential for transfers to subsequent Developers that pay for the use of Headroom pursuant to Attachment S of the ISO OATT on a System Deliverability Upgrade that has been awarded Incremental TCCs, </w:t>
      </w:r>
      <w:r w:rsidRPr="004C0E53">
        <w:rPr>
          <w:rStyle w:val="DefaultParagraphFont"/>
        </w:rPr>
        <w:t>Increm</w:t>
      </w:r>
      <w:r w:rsidRPr="004C0E53">
        <w:rPr>
          <w:rStyle w:val="DefaultParagraphFont"/>
        </w:rPr>
        <w:t xml:space="preserve">ental TCCs </w:t>
      </w:r>
      <w:r w:rsidRPr="004C0E53">
        <w:rPr>
          <w:rStyle w:val="DefaultParagraphFont"/>
        </w:rPr>
        <w:t>that are declined</w:t>
      </w:r>
      <w:r w:rsidRPr="004C0E53">
        <w:rPr>
          <w:rStyle w:val="DefaultParagraphFont"/>
        </w:rPr>
        <w:t xml:space="preserve"> by a Developer will be</w:t>
      </w:r>
      <w:r w:rsidRPr="004C0E53">
        <w:rPr>
          <w:rStyle w:val="DefaultParagraphFont"/>
        </w:rPr>
        <w:t xml:space="preserv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w:t>
      </w:r>
      <w:r w:rsidRPr="004C0E53">
        <w:rPr>
          <w:rStyle w:val="DefaultParagraphFont"/>
        </w:rPr>
        <w:t xml:space="preserve">  Incremental TCCs that are declined by a Developer and not </w:t>
      </w:r>
      <w:r w:rsidRPr="004C0E53">
        <w:rPr>
          <w:rStyle w:val="DefaultParagraphFont"/>
        </w:rPr>
        <w:t xml:space="preserve">otherwise deemed </w:t>
      </w:r>
      <w:r w:rsidRPr="004C0E53">
        <w:rPr>
          <w:rStyle w:val="DefaultParagraphFont"/>
        </w:rPr>
        <w:t xml:space="preserve">reserved </w:t>
      </w:r>
      <w:r w:rsidRPr="004C0E53">
        <w:rPr>
          <w:rStyle w:val="DefaultParagraphFont"/>
        </w:rPr>
        <w:t xml:space="preserve">will be </w:t>
      </w:r>
      <w:r w:rsidRPr="004C0E53">
        <w:rPr>
          <w:rStyle w:val="DefaultParagraphFont"/>
        </w:rPr>
        <w:t xml:space="preserve">deemed </w:t>
      </w:r>
      <w:r w:rsidRPr="004C0E53">
        <w:rPr>
          <w:rStyle w:val="DefaultParagraphFont"/>
        </w:rPr>
        <w:t>permanently terminated</w:t>
      </w:r>
      <w:r w:rsidRPr="004C0E53">
        <w:rPr>
          <w:rStyle w:val="DefaultParagraphFont"/>
        </w:rPr>
        <w:t xml:space="preserve">.   </w:t>
      </w:r>
      <w:r w:rsidRPr="004C0E53">
        <w:rPr>
          <w:rStyle w:val="DefaultParagraphFont"/>
        </w:rPr>
        <w:t xml:space="preserve">  </w:t>
      </w:r>
    </w:p>
    <w:p w:rsidR="00B829C1" w:rsidRPr="004C0E53" w:rsidP="00183520">
      <w:pPr>
        <w:pStyle w:val="Bodypara0"/>
        <w:rPr>
          <w:rStyle w:val="DefaultParagraphFont"/>
        </w:rPr>
      </w:pPr>
      <w:r w:rsidRPr="004C0E53">
        <w:rPr>
          <w:rStyle w:val="DefaultParagraphFont"/>
        </w:rPr>
        <w:t xml:space="preserve">If subsequent Developers pay for the use of Headroom </w:t>
      </w:r>
      <w:r w:rsidRPr="004C0E53">
        <w:rPr>
          <w:rStyle w:val="DefaultParagraphFont"/>
        </w:rPr>
        <w:t>pursuant to Attachment S of the ISO OATT on a System Deliverability Upgrade that has been awarded Incremental TCCs, such subsequent Developers will be provided a right to elect to receive any applicable Incremental TCCs to which they may be eligible to rec</w:t>
      </w:r>
      <w:r w:rsidRPr="004C0E53">
        <w:rPr>
          <w:rStyle w:val="DefaultParagraphFont"/>
        </w:rPr>
        <w:t>eive in accordance with Sections 25.7.2 and 25.7.12 of Attachment S of the ISO OATT.  Incremental TCCs to be made available to subsequent Developers will</w:t>
      </w:r>
      <w:r w:rsidRPr="004C0E53">
        <w:rPr>
          <w:rStyle w:val="DefaultParagraphFont"/>
        </w:rPr>
        <w:t>, as applicable,</w:t>
      </w:r>
      <w:r w:rsidRPr="004C0E53">
        <w:rPr>
          <w:rStyle w:val="DefaultParagraphFont"/>
        </w:rPr>
        <w:t xml:space="preserve"> be obtained by the ISO by reducing the Incremental TCCs </w:t>
      </w:r>
      <w:r w:rsidRPr="004C0E53">
        <w:rPr>
          <w:rStyle w:val="DefaultParagraphFont"/>
        </w:rPr>
        <w:t>related to the System Delivera</w:t>
      </w:r>
      <w:r w:rsidRPr="004C0E53">
        <w:rPr>
          <w:rStyle w:val="DefaultParagraphFont"/>
        </w:rPr>
        <w:t xml:space="preserve">bility Upgrade that were </w:t>
      </w:r>
      <w:r w:rsidRPr="004C0E53">
        <w:rPr>
          <w:rStyle w:val="DefaultParagraphFont"/>
        </w:rPr>
        <w:t>previously</w:t>
      </w:r>
      <w:r w:rsidRPr="004C0E53">
        <w:rPr>
          <w:rStyle w:val="DefaultParagraphFont"/>
        </w:rPr>
        <w:t>:</w:t>
      </w:r>
      <w:r w:rsidRPr="004C0E53">
        <w:rPr>
          <w:rStyle w:val="DefaultParagraphFont"/>
        </w:rPr>
        <w:t xml:space="preserve"> </w:t>
      </w:r>
      <w:r w:rsidRPr="004C0E53">
        <w:rPr>
          <w:rStyle w:val="DefaultParagraphFont"/>
        </w:rPr>
        <w:t xml:space="preserve">(i) </w:t>
      </w:r>
      <w:r w:rsidRPr="004C0E53">
        <w:rPr>
          <w:rStyle w:val="DefaultParagraphFont"/>
        </w:rPr>
        <w:t>awarded to the Developers that initially paid for the System Deliverability Upgrade</w:t>
      </w:r>
      <w:r w:rsidRPr="004C0E53">
        <w:rPr>
          <w:rStyle w:val="DefaultParagraphFont"/>
        </w:rPr>
        <w:t xml:space="preserve">; (ii) awarded to </w:t>
      </w:r>
      <w:r w:rsidRPr="004C0E53">
        <w:rPr>
          <w:rStyle w:val="DefaultParagraphFont"/>
        </w:rPr>
        <w:t>the Transmission Owner(s) responsible for constructing the System Deliverability Upgrade</w:t>
      </w:r>
      <w:r w:rsidRPr="004C0E53">
        <w:rPr>
          <w:rStyle w:val="DefaultParagraphFont"/>
        </w:rPr>
        <w:t xml:space="preserve">; and/or (iii) </w:t>
      </w:r>
      <w:r w:rsidRPr="004C0E53">
        <w:rPr>
          <w:rStyle w:val="DefaultParagraphFont"/>
        </w:rPr>
        <w:t xml:space="preserve">deemed </w:t>
      </w:r>
      <w:r w:rsidRPr="004C0E53">
        <w:rPr>
          <w:rStyle w:val="DefaultParagraphFont"/>
        </w:rPr>
        <w:t>rese</w:t>
      </w:r>
      <w:r w:rsidRPr="004C0E53">
        <w:rPr>
          <w:rStyle w:val="DefaultParagraphFont"/>
        </w:rPr>
        <w:t xml:space="preserve">rved </w:t>
      </w:r>
      <w:r w:rsidRPr="004C0E53">
        <w:rPr>
          <w:rStyle w:val="DefaultParagraphFont"/>
        </w:rPr>
        <w:t xml:space="preserve">as </w:t>
      </w:r>
      <w:r w:rsidRPr="004C0E53">
        <w:rPr>
          <w:rStyle w:val="DefaultParagraphFont"/>
        </w:rPr>
        <w:t>a result of prior declination and/or termination,</w:t>
      </w:r>
      <w:r w:rsidRPr="004C0E53">
        <w:rPr>
          <w:rStyle w:val="DefaultParagraphFont"/>
        </w:rPr>
        <w:t xml:space="preserve"> in accordance with the requirements of Section 25.7.2 of Attachment S of the ISO OATT.  </w:t>
      </w:r>
      <w:r w:rsidRPr="004C0E53">
        <w:rPr>
          <w:rStyle w:val="DefaultParagraphFont"/>
        </w:rPr>
        <w:t xml:space="preserve">Incremental TCCs that </w:t>
      </w:r>
      <w:r w:rsidRPr="004C0E53">
        <w:rPr>
          <w:rStyle w:val="DefaultParagraphFont"/>
        </w:rPr>
        <w:t>were</w:t>
      </w:r>
      <w:r w:rsidRPr="004C0E53">
        <w:rPr>
          <w:rStyle w:val="DefaultParagraphFont"/>
        </w:rPr>
        <w:t xml:space="preserve"> previously deemed</w:t>
      </w:r>
      <w:r w:rsidRPr="004C0E53">
        <w:rPr>
          <w:rStyle w:val="DefaultParagraphFont"/>
        </w:rPr>
        <w:t xml:space="preserve"> reserved and </w:t>
      </w:r>
      <w:r w:rsidRPr="004C0E53">
        <w:rPr>
          <w:rStyle w:val="DefaultParagraphFont"/>
        </w:rPr>
        <w:t>are transferred to a subsequ</w:t>
      </w:r>
      <w:r w:rsidRPr="004C0E53">
        <w:rPr>
          <w:rStyle w:val="DefaultParagraphFont"/>
        </w:rPr>
        <w:t xml:space="preserve">ent </w:t>
      </w:r>
      <w:r w:rsidRPr="004C0E53">
        <w:rPr>
          <w:rStyle w:val="DefaultParagraphFont"/>
        </w:rPr>
        <w:t>D</w:t>
      </w:r>
      <w:r w:rsidRPr="004C0E53">
        <w:rPr>
          <w:rStyle w:val="DefaultParagraphFont"/>
        </w:rPr>
        <w:t xml:space="preserve">eveloper </w:t>
      </w:r>
      <w:r w:rsidRPr="004C0E53">
        <w:rPr>
          <w:rStyle w:val="DefaultParagraphFont"/>
        </w:rPr>
        <w:t xml:space="preserve">will </w:t>
      </w:r>
      <w:r w:rsidRPr="004C0E53">
        <w:rPr>
          <w:rStyle w:val="DefaultParagraphFont"/>
        </w:rPr>
        <w:t>become effective on the first day of the Capability Period that commenc</w:t>
      </w:r>
      <w:r w:rsidRPr="004C0E53">
        <w:rPr>
          <w:rStyle w:val="DefaultParagraphFont"/>
        </w:rPr>
        <w:t xml:space="preserve">es following the next </w:t>
      </w:r>
      <w:r w:rsidRPr="004C0E53">
        <w:rPr>
          <w:rStyle w:val="DefaultParagraphFont"/>
        </w:rPr>
        <w:t xml:space="preserve">Centralized TCC Auction conducted after the subsequent Developer makes the necessary Headroom payment and elects to receive its proportionate share of Incremental </w:t>
      </w:r>
      <w:r w:rsidRPr="004C0E53">
        <w:rPr>
          <w:rStyle w:val="DefaultParagraphFont"/>
        </w:rPr>
        <w:t xml:space="preserve">TCCs.  </w:t>
      </w:r>
      <w:r w:rsidRPr="004C0E53">
        <w:rPr>
          <w:rStyle w:val="DefaultParagraphFont"/>
        </w:rPr>
        <w:t xml:space="preserve">Incremental TCCs </w:t>
      </w:r>
      <w:r w:rsidRPr="004C0E53">
        <w:rPr>
          <w:rStyle w:val="DefaultParagraphFont"/>
        </w:rPr>
        <w:t xml:space="preserve">that are declined </w:t>
      </w:r>
      <w:r w:rsidRPr="004C0E53">
        <w:rPr>
          <w:rStyle w:val="DefaultParagraphFont"/>
        </w:rPr>
        <w:t xml:space="preserve">by a subsequent Developer will be </w:t>
      </w:r>
      <w:r w:rsidRPr="004C0E53">
        <w:rPr>
          <w:rStyle w:val="DefaultParagraphFont"/>
        </w:rPr>
        <w:t xml:space="preserve">deemed </w:t>
      </w:r>
      <w:r w:rsidRPr="004C0E53">
        <w:rPr>
          <w:rStyle w:val="DefaultParagraphFont"/>
        </w:rPr>
        <w:t>permanently</w:t>
      </w:r>
      <w:r w:rsidRPr="004C0E53">
        <w:rPr>
          <w:rStyle w:val="DefaultParagraphFont"/>
        </w:rPr>
        <w:t xml:space="preserve"> terminated</w:t>
      </w:r>
      <w:r w:rsidRPr="004C0E53">
        <w:rPr>
          <w:rStyle w:val="DefaultParagraphFont"/>
        </w:rPr>
        <w:t>.</w:t>
      </w:r>
    </w:p>
    <w:p w:rsidR="00B829C1" w:rsidRPr="004C0E53" w:rsidP="00183520">
      <w:pPr>
        <w:pStyle w:val="Bodypara0"/>
        <w:rPr>
          <w:rStyle w:val="DefaultParagraphFont"/>
        </w:rPr>
      </w:pPr>
      <w:r w:rsidRPr="004C0E53">
        <w:rPr>
          <w:rStyle w:val="DefaultParagraphFont"/>
        </w:rPr>
        <w:t>Any Developer that elects to receive Incremental TCCs related to a System Deliverability Upgrade shall have the right to terminate its Incremental TC</w:t>
      </w:r>
      <w:r w:rsidRPr="004C0E53">
        <w:rPr>
          <w:rStyle w:val="DefaultParagraphFont"/>
        </w:rPr>
        <w:t xml:space="preserve">Cs in accordance with Section 19.2.4.9 of this Attachment M.  Incremental TCCs terminated by a Developer </w:t>
      </w:r>
      <w:r w:rsidRPr="004C0E53">
        <w:rPr>
          <w:rStyle w:val="DefaultParagraphFont"/>
        </w:rPr>
        <w:t xml:space="preserve">that </w:t>
      </w:r>
      <w:r w:rsidRPr="004C0E53">
        <w:rPr>
          <w:rStyle w:val="DefaultParagraphFont"/>
        </w:rPr>
        <w:t xml:space="preserve">initially paid for a System Deliverability Upgrade </w:t>
      </w:r>
      <w:r w:rsidRPr="004C0E53">
        <w:rPr>
          <w:rStyle w:val="DefaultParagraphFont"/>
        </w:rPr>
        <w:t>will</w:t>
      </w:r>
      <w:r w:rsidRPr="004C0E53">
        <w:rPr>
          <w:rStyle w:val="DefaultParagraphFont"/>
        </w:rPr>
        <w:t>, to the extent necessary to facilitate the potential for transfers to subsequent Developer</w:t>
      </w:r>
      <w:r w:rsidRPr="004C0E53">
        <w:rPr>
          <w:rStyle w:val="DefaultParagraphFont"/>
        </w:rPr>
        <w:t>s that pay for the use of Headroom pursuant to Attachment S of the ISO OATT on a System Deliverability Upgrade that has been awarded Incremental TCC</w:t>
      </w:r>
      <w:r w:rsidRPr="004C0E53">
        <w:rPr>
          <w:rStyle w:val="DefaultParagraphFont"/>
        </w:rPr>
        <w:t>s</w:t>
      </w:r>
      <w:r w:rsidRPr="004C0E53">
        <w:rPr>
          <w:rStyle w:val="DefaultParagraphFont"/>
        </w:rPr>
        <w:t>,</w:t>
      </w:r>
      <w:r w:rsidRPr="004C0E53">
        <w:rPr>
          <w:rStyle w:val="DefaultParagraphFont"/>
        </w:rPr>
        <w:t xml:space="preserve"> be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w:t>
      </w:r>
      <w:r w:rsidRPr="004C0E53">
        <w:rPr>
          <w:rStyle w:val="DefaultParagraphFont"/>
        </w:rPr>
        <w:t xml:space="preserve">  </w:t>
      </w:r>
      <w:r w:rsidRPr="004C0E53">
        <w:rPr>
          <w:rStyle w:val="DefaultParagraphFont"/>
        </w:rPr>
        <w:t>Incremental TCCs that are terminated by a</w:t>
      </w:r>
      <w:r w:rsidRPr="004C0E53">
        <w:rPr>
          <w:rStyle w:val="DefaultParagraphFont"/>
        </w:rPr>
        <w:t xml:space="preserve"> </w:t>
      </w:r>
      <w:r w:rsidRPr="004C0E53">
        <w:rPr>
          <w:rStyle w:val="DefaultParagraphFont"/>
        </w:rPr>
        <w:t xml:space="preserve">Developer that </w:t>
      </w:r>
      <w:r w:rsidRPr="004C0E53">
        <w:rPr>
          <w:rStyle w:val="DefaultParagraphFont"/>
        </w:rPr>
        <w:t>initially paid for a System</w:t>
      </w:r>
      <w:r w:rsidRPr="004C0E53">
        <w:rPr>
          <w:rStyle w:val="DefaultParagraphFont"/>
        </w:rPr>
        <w:t xml:space="preserve"> Deliverability Upgrade </w:t>
      </w:r>
      <w:r w:rsidRPr="004C0E53">
        <w:rPr>
          <w:rStyle w:val="DefaultParagraphFont"/>
        </w:rPr>
        <w:t xml:space="preserve">and </w:t>
      </w:r>
      <w:r w:rsidRPr="004C0E53">
        <w:rPr>
          <w:rStyle w:val="DefaultParagraphFont"/>
        </w:rPr>
        <w:t xml:space="preserve">not otherwise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will </w:t>
      </w:r>
      <w:r w:rsidRPr="004C0E53">
        <w:rPr>
          <w:rStyle w:val="DefaultParagraphFont"/>
        </w:rPr>
        <w:t xml:space="preserve">be </w:t>
      </w:r>
      <w:r w:rsidRPr="004C0E53">
        <w:rPr>
          <w:rStyle w:val="DefaultParagraphFont"/>
        </w:rPr>
        <w:t xml:space="preserve">deemed </w:t>
      </w:r>
      <w:r w:rsidRPr="004C0E53">
        <w:rPr>
          <w:rStyle w:val="DefaultParagraphFont"/>
        </w:rPr>
        <w:t xml:space="preserve">permanently terminated.  </w:t>
      </w:r>
      <w:r w:rsidRPr="004C0E53">
        <w:rPr>
          <w:rStyle w:val="DefaultParagraphFont"/>
        </w:rPr>
        <w:t xml:space="preserve">Incremental TCCs terminated by a subsequent Developer that paid for the use of Headroom on </w:t>
      </w:r>
      <w:r w:rsidRPr="004C0E53">
        <w:rPr>
          <w:rStyle w:val="DefaultParagraphFont"/>
        </w:rPr>
        <w:t xml:space="preserve">a System Deliverability Upgrade </w:t>
      </w:r>
      <w:r w:rsidRPr="004C0E53">
        <w:rPr>
          <w:rStyle w:val="DefaultParagraphFont"/>
        </w:rPr>
        <w:t xml:space="preserve">will be </w:t>
      </w:r>
      <w:r w:rsidRPr="004C0E53">
        <w:rPr>
          <w:rStyle w:val="DefaultParagraphFont"/>
        </w:rPr>
        <w:t xml:space="preserve">deemed </w:t>
      </w:r>
      <w:r w:rsidRPr="004C0E53">
        <w:rPr>
          <w:rStyle w:val="DefaultParagraphFont"/>
        </w:rPr>
        <w:t>permanently</w:t>
      </w:r>
      <w:r w:rsidRPr="004C0E53">
        <w:rPr>
          <w:rStyle w:val="DefaultParagraphFont"/>
        </w:rPr>
        <w:t xml:space="preserve"> terminat</w:t>
      </w:r>
      <w:r w:rsidRPr="004C0E53">
        <w:rPr>
          <w:rStyle w:val="DefaultParagraphFont"/>
        </w:rPr>
        <w:t>ed.</w:t>
      </w:r>
    </w:p>
    <w:p w:rsidR="002407E8">
      <w:pPr>
        <w:pStyle w:val="Bulletpara"/>
        <w:numPr>
          <w:ilvl w:val="0"/>
          <w:numId w:val="0"/>
        </w:numPr>
        <w:spacing w:before="0" w:after="0" w:line="480" w:lineRule="auto"/>
        <w:ind w:firstLine="720"/>
        <w:rPr>
          <w:rStyle w:val="DefaultParagraphFont"/>
        </w:rPr>
        <w:sectPr w:rsidSect="001C1D64">
          <w:headerReference w:type="even" r:id="rId23"/>
          <w:headerReference w:type="default" r:id="rId24"/>
          <w:footerReference w:type="even" r:id="rId25"/>
          <w:footerReference w:type="default" r:id="rId26"/>
          <w:headerReference w:type="first" r:id="rId27"/>
          <w:footerReference w:type="first" r:id="rId28"/>
          <w:type w:val="nextPage"/>
          <w:pgSz w:w="12240" w:h="15840" w:code="1"/>
          <w:pgMar w:top="1440" w:right="1440" w:bottom="1440" w:left="1440" w:header="720" w:footer="720" w:gutter="0"/>
          <w:cols w:space="720"/>
        </w:sectPr>
      </w:pPr>
      <w:r w:rsidRPr="004C0E53">
        <w:rPr>
          <w:rStyle w:val="DefaultParagraphFont"/>
        </w:rPr>
        <w:t>Notwithstanding anything to the contrary in this Section 19.2.4, Incremental TCCs awarded as a result of System Deliverability Upgrades may not be sold or transferred through a Centralized TCC Auction, Reconfiguration Auction or the Secondary Market.</w:t>
      </w:r>
      <w:r w:rsidRPr="004C0E53">
        <w:rPr>
          <w:rStyle w:val="DefaultParagraphFont"/>
        </w:rPr>
        <w:t xml:space="preserve">  </w:t>
      </w:r>
      <w:r w:rsidRPr="004C0E53">
        <w:rPr>
          <w:rStyle w:val="DefaultParagraphFont"/>
        </w:rPr>
        <w:t xml:space="preserve">Incremental TCCs related to a System Deliverability Upgrade that are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as a result of prior declination or termination </w:t>
      </w:r>
      <w:r w:rsidRPr="004C0E53">
        <w:rPr>
          <w:rStyle w:val="DefaultParagraphFont"/>
        </w:rPr>
        <w:t xml:space="preserve">will not be considered as active or valid </w:t>
      </w:r>
      <w:r w:rsidRPr="004C0E53">
        <w:rPr>
          <w:rStyle w:val="DefaultParagraphFont"/>
        </w:rPr>
        <w:t xml:space="preserve">for the period </w:t>
      </w:r>
      <w:r w:rsidRPr="004C0E53">
        <w:rPr>
          <w:rStyle w:val="DefaultParagraphFont"/>
        </w:rPr>
        <w:t>during</w:t>
      </w:r>
      <w:r w:rsidRPr="004C0E53">
        <w:rPr>
          <w:rStyle w:val="DefaultParagraphFont"/>
        </w:rPr>
        <w:t xml:space="preserve"> which they remain </w:t>
      </w:r>
      <w:r w:rsidRPr="004C0E53">
        <w:rPr>
          <w:rStyle w:val="DefaultParagraphFont"/>
        </w:rPr>
        <w:t xml:space="preserve">deemed </w:t>
      </w:r>
      <w:r w:rsidRPr="004C0E53">
        <w:rPr>
          <w:rStyle w:val="DefaultParagraphFont"/>
        </w:rPr>
        <w:t>reserve</w:t>
      </w:r>
      <w:r w:rsidRPr="004C0E53">
        <w:rPr>
          <w:rStyle w:val="DefaultParagraphFont"/>
        </w:rPr>
        <w:t>d</w:t>
      </w:r>
      <w:r w:rsidRPr="004C0E53">
        <w:rPr>
          <w:rStyle w:val="DefaultParagraphFont"/>
        </w:rPr>
        <w:t xml:space="preserve">.  Incremental TCCs related to a System Deliverability Upgrade that </w:t>
      </w:r>
      <w:r w:rsidRPr="004C0E53">
        <w:rPr>
          <w:rStyle w:val="DefaultParagraphFont"/>
        </w:rPr>
        <w:t xml:space="preserve">were previously deemed reserved as a result of prior declination or termination </w:t>
      </w:r>
      <w:r w:rsidRPr="004C0E53">
        <w:rPr>
          <w:rStyle w:val="DefaultParagraphFont"/>
        </w:rPr>
        <w:t xml:space="preserve">will be </w:t>
      </w:r>
      <w:r w:rsidRPr="004C0E53">
        <w:rPr>
          <w:rStyle w:val="DefaultParagraphFont"/>
        </w:rPr>
        <w:t xml:space="preserve">deemed </w:t>
      </w:r>
      <w:r w:rsidRPr="004C0E53">
        <w:rPr>
          <w:rStyle w:val="DefaultParagraphFont"/>
        </w:rPr>
        <w:t>permanently terminated when the Headroom on</w:t>
      </w:r>
      <w:r w:rsidRPr="004C0E53">
        <w:rPr>
          <w:rStyle w:val="DefaultParagraphFont"/>
        </w:rPr>
        <w:t xml:space="preserve"> the </w:t>
      </w:r>
      <w:r w:rsidRPr="004C0E53">
        <w:rPr>
          <w:rStyle w:val="DefaultParagraphFont"/>
        </w:rPr>
        <w:t>System Deliverability Upgrade ceases to exist</w:t>
      </w:r>
      <w:r w:rsidRPr="004C0E53">
        <w:rPr>
          <w:rStyle w:val="DefaultParagraphFont"/>
        </w:rPr>
        <w:t xml:space="preserve"> or is otherwise reduced to zero in accordance with Section 25.8.7.4 of Attachment S of the ISO OATT.</w:t>
      </w:r>
      <w:r>
        <w:rPr>
          <w:rStyle w:val="DefaultParagraphFont"/>
        </w:rPr>
        <w:t xml:space="preserve">  </w:t>
      </w:r>
    </w:p>
    <w:p w:rsidR="00AA61F3" w:rsidRPr="001C0EB9" w:rsidP="009C7F8F">
      <w:pPr>
        <w:pStyle w:val="Heading22"/>
        <w:rPr>
          <w:rStyle w:val="DefaultParagraphFont"/>
        </w:rPr>
      </w:pPr>
      <w:bookmarkStart w:id="47" w:name="_Toc263333573"/>
      <w:bookmarkStart w:id="48" w:name="_GoBack_3"/>
      <w:bookmarkEnd w:id="48"/>
      <w:r w:rsidRPr="00FD4E08">
        <w:rPr>
          <w:rStyle w:val="DefaultParagraphFont"/>
        </w:rPr>
        <w:t>19.</w:t>
      </w:r>
      <w:r w:rsidRPr="001C0EB9">
        <w:rPr>
          <w:rStyle w:val="DefaultParagraphFont"/>
        </w:rPr>
        <w:t>3</w:t>
      </w:r>
      <w:r w:rsidRPr="001C0EB9">
        <w:rPr>
          <w:rStyle w:val="DefaultParagraphFont"/>
        </w:rPr>
        <w:tab/>
        <w:t>Allocation of Residual Transmission Capacity As Original Residual TCCs</w:t>
      </w:r>
      <w:bookmarkEnd w:id="47"/>
    </w:p>
    <w:p w:rsidR="00AA61F3" w:rsidRPr="00C724B0" w:rsidP="009C7F8F">
      <w:pPr>
        <w:pStyle w:val="Bodypara1"/>
        <w:rPr>
          <w:rStyle w:val="DefaultParagraphFont"/>
          <w:u w:val="double"/>
        </w:rPr>
      </w:pPr>
      <w:r w:rsidRPr="001C0EB9">
        <w:rPr>
          <w:rStyle w:val="DefaultParagraphFont"/>
        </w:rPr>
        <w:t>Before the first Centralized TCC Auction</w:t>
      </w:r>
      <w:r>
        <w:rPr>
          <w:rStyle w:val="DefaultParagraphFont"/>
        </w:rPr>
        <w:t>, the ISO calculated the Residual Transmission Capacity across each transmission Interface in both the Summer and Winter Capability Periods from the Operating Study Power Flow dispatch and allocated the Residual Transmission Capacity across Interfaces to i</w:t>
      </w:r>
      <w:r>
        <w:rPr>
          <w:rStyle w:val="DefaultParagraphFont"/>
        </w:rPr>
        <w:t xml:space="preserve">ndividual Transmission Owners in the form of Original Residual TCCs in accordance with the Interface MW-Mile Methodology.  </w:t>
      </w:r>
      <w:r w:rsidRPr="001C0EB9">
        <w:rPr>
          <w:rStyle w:val="DefaultParagraphFont"/>
        </w:rPr>
        <w:t>The Original Residual TCCs allocated to individual Transmission Owners are shown in Table 3.</w:t>
      </w:r>
    </w:p>
    <w:p w:rsidR="00AA61F3" w:rsidRPr="00BD0376" w:rsidP="009C7F8F">
      <w:pPr>
        <w:pStyle w:val="Bodypara1"/>
        <w:rPr>
          <w:rStyle w:val="DefaultParagraphFont"/>
        </w:rPr>
      </w:pPr>
      <w:r>
        <w:rPr>
          <w:rStyle w:val="DefaultParagraphFont"/>
        </w:rPr>
        <w:t>The ISO’s allocation of Original Residua</w:t>
      </w:r>
      <w:r>
        <w:rPr>
          <w:rStyle w:val="DefaultParagraphFont"/>
        </w:rPr>
        <w:t xml:space="preserve">l TCCs to Transmission Owners shall remain the same </w:t>
      </w:r>
      <w:r w:rsidRPr="00BD0376">
        <w:rPr>
          <w:rStyle w:val="DefaultParagraphFont"/>
        </w:rPr>
        <w:t>for at least the duration of the LBMP Transition Period.  At the conclusion of the LBMP Transition Period, the Transmission Owners will review this methodology and shall have the sole discretion to modify</w:t>
      </w:r>
      <w:r w:rsidRPr="00BD0376">
        <w:rPr>
          <w:rStyle w:val="DefaultParagraphFont"/>
        </w:rPr>
        <w:t xml:space="preserve"> by unanimous vote, the procedure to be used to allocate Residual Transmission Capacity across Interfaces in the form of Original Residual TCCs, and to determine the duration of all such Original Residual TCCs allocated.</w:t>
      </w:r>
      <w:r w:rsidRPr="00BD0376">
        <w:rPr>
          <w:rStyle w:val="DefaultParagraphFont"/>
          <w:strike/>
        </w:rPr>
        <w:t xml:space="preserve">  </w:t>
      </w:r>
    </w:p>
    <w:p w:rsidR="00AA61F3" w:rsidP="00AA61F3">
      <w:pPr>
        <w:pStyle w:val="Normal3"/>
        <w:spacing w:line="480" w:lineRule="auto"/>
        <w:ind w:firstLine="720"/>
        <w:rPr>
          <w:rStyle w:val="DefaultParagraphFont"/>
        </w:rPr>
      </w:pPr>
      <w:r>
        <w:rPr>
          <w:rStyle w:val="DefaultParagraphFont"/>
        </w:rPr>
        <w:t>Original Residual TCCs for each I</w:t>
      </w:r>
      <w:r>
        <w:rPr>
          <w:rStyle w:val="DefaultParagraphFont"/>
        </w:rPr>
        <w:t>nterface will constitute point-to-point TCCs, each from a Point of Injection in one Load Zone to a Point of Withdrawal in another Load Zone.</w:t>
      </w:r>
    </w:p>
    <w:p w:rsidR="00AA61F3" w:rsidRPr="001C0EB9" w:rsidP="009C7F8F">
      <w:pPr>
        <w:pStyle w:val="Bodypara1"/>
        <w:rPr>
          <w:rStyle w:val="DefaultParagraphFont"/>
          <w:strike/>
        </w:rPr>
        <w:sectPr w:rsidSect="00657ACC">
          <w:headerReference w:type="even" r:id="rId29"/>
          <w:headerReference w:type="default" r:id="rId30"/>
          <w:footerReference w:type="even" r:id="rId31"/>
          <w:footerReference w:type="default" r:id="rId32"/>
          <w:headerReference w:type="first" r:id="rId33"/>
          <w:footerReference w:type="first" r:id="rId34"/>
          <w:type w:val="nextPage"/>
          <w:pgSz w:w="12240" w:h="15840" w:code="1"/>
          <w:pgMar w:top="1440" w:right="1440" w:bottom="720" w:left="1440" w:header="720" w:footer="720" w:gutter="0"/>
          <w:cols w:space="720"/>
        </w:sectPr>
      </w:pPr>
      <w:r w:rsidRPr="001C0EB9">
        <w:rPr>
          <w:rStyle w:val="DefaultParagraphFont"/>
        </w:rPr>
        <w:t xml:space="preserve">Transmission Owners will be required to sell Original Residual TCCs, not previously sold in a Direct Sale, through </w:t>
      </w:r>
      <w:r w:rsidRPr="001C0EB9">
        <w:rPr>
          <w:rStyle w:val="DefaultParagraphFont"/>
        </w:rPr>
        <w:t>a Centralized TCC Auction.  Primary Holders of Original Residual TCCs shall inform the ISO of all Direct Sales of those TCCs, including the identity of the buyer.</w:t>
      </w:r>
    </w:p>
    <w:p w:rsidR="007D2B56" w:rsidRPr="001C0EB9" w:rsidP="007D2B56">
      <w:pPr>
        <w:pStyle w:val="Heading23"/>
        <w:rPr>
          <w:rStyle w:val="DefaultParagraphFont"/>
        </w:rPr>
      </w:pPr>
      <w:bookmarkStart w:id="49" w:name="_Toc263333574"/>
      <w:bookmarkStart w:id="50" w:name="_GoBack_4"/>
      <w:bookmarkEnd w:id="50"/>
      <w:r w:rsidRPr="001C0EB9">
        <w:rPr>
          <w:rStyle w:val="DefaultParagraphFont"/>
        </w:rPr>
        <w:t>19.4</w:t>
      </w:r>
      <w:r w:rsidRPr="001C0EB9">
        <w:rPr>
          <w:rStyle w:val="DefaultParagraphFont"/>
        </w:rPr>
        <w:tab/>
        <w:t>Reservation of Transmission Capacity in a Centralized TCC Auction through ETCNL TCCs</w:t>
      </w:r>
      <w:bookmarkEnd w:id="49"/>
    </w:p>
    <w:p w:rsidR="007D2B56" w:rsidRPr="00C724B0" w:rsidP="007D2B56">
      <w:pPr>
        <w:pStyle w:val="Bodypara2"/>
        <w:rPr>
          <w:rStyle w:val="DefaultParagraphFont"/>
          <w:u w:val="double"/>
        </w:rPr>
      </w:pPr>
      <w:r w:rsidRPr="001C0EB9">
        <w:rPr>
          <w:rStyle w:val="DefaultParagraphFont"/>
          <w:b/>
        </w:rPr>
        <w:t>19.</w:t>
      </w:r>
      <w:r w:rsidRPr="001C0EB9">
        <w:rPr>
          <w:rStyle w:val="DefaultParagraphFont"/>
          <w:b/>
          <w:bCs/>
        </w:rPr>
        <w:t>4.1</w:t>
      </w:r>
      <w:r w:rsidRPr="001C0EB9">
        <w:rPr>
          <w:rStyle w:val="DefaultParagraphFont"/>
        </w:rPr>
        <w:tab/>
        <w:t>Subject to the limitations set forth in Section 19.4.2 of this Attachment M, a</w:t>
      </w:r>
      <w:r>
        <w:rPr>
          <w:rStyle w:val="DefaultParagraphFont"/>
        </w:rPr>
        <w:t xml:space="preserve"> Transmission Owner with a set o</w:t>
      </w:r>
      <w:r w:rsidRPr="00D66E9F">
        <w:rPr>
          <w:rStyle w:val="romannumeralparaChar"/>
        </w:rPr>
        <w:t>f</w:t>
      </w:r>
      <w:r>
        <w:rPr>
          <w:rStyle w:val="DefaultParagraphFont"/>
        </w:rPr>
        <w:t xml:space="preserve"> ETCNL designated from a Point of Injection to a Point of Withdrawal, as detailed in Table 2 of this Attachment M, shall have a right prior to each Centralized TCC Auction to convert into an ETCNL TCC each megawatt of transmission </w:t>
      </w:r>
      <w:r w:rsidRPr="001C0EB9">
        <w:rPr>
          <w:rStyle w:val="DefaultParagraphFont"/>
        </w:rPr>
        <w:t>Capacity of that set of E</w:t>
      </w:r>
      <w:r w:rsidRPr="001C0EB9">
        <w:rPr>
          <w:rStyle w:val="DefaultParagraphFont"/>
        </w:rPr>
        <w:t xml:space="preserve">TCNL </w:t>
      </w:r>
      <w:r>
        <w:rPr>
          <w:rStyle w:val="DefaultParagraphFont"/>
        </w:rPr>
        <w:t xml:space="preserve">not </w:t>
      </w:r>
      <w:r w:rsidRPr="001C0EB9">
        <w:rPr>
          <w:rStyle w:val="DefaultParagraphFont"/>
        </w:rPr>
        <w:t xml:space="preserve">used to support the sale of existing TCCs that are valid for any part of the </w:t>
      </w:r>
      <w:r w:rsidRPr="00CF0ED7">
        <w:rPr>
          <w:rStyle w:val="DefaultParagraphFont"/>
        </w:rPr>
        <w:t xml:space="preserve">first Capability Period in which </w:t>
      </w:r>
      <w:r w:rsidRPr="00CF0ED7">
        <w:rPr>
          <w:rStyle w:val="DefaultParagraphFont"/>
        </w:rPr>
        <w:t xml:space="preserve">TCCs to </w:t>
      </w:r>
      <w:r w:rsidRPr="001C0EB9">
        <w:rPr>
          <w:rStyle w:val="DefaultParagraphFont"/>
        </w:rPr>
        <w:t xml:space="preserve">be sold in the Centralized TCC Auction </w:t>
      </w:r>
      <w:r w:rsidRPr="00CF0ED7">
        <w:rPr>
          <w:rStyle w:val="DefaultParagraphFont"/>
        </w:rPr>
        <w:t>would be valid</w:t>
      </w:r>
      <w:r>
        <w:rPr>
          <w:rStyle w:val="DefaultParagraphFont"/>
        </w:rPr>
        <w:t xml:space="preserve"> </w:t>
      </w:r>
      <w:r w:rsidRPr="001C0EB9">
        <w:rPr>
          <w:rStyle w:val="DefaultParagraphFont"/>
        </w:rPr>
        <w:t>and that remains after any reduction pursuant to Section 19.8.2 of this Att</w:t>
      </w:r>
      <w:r w:rsidRPr="001C0EB9">
        <w:rPr>
          <w:rStyle w:val="DefaultParagraphFont"/>
        </w:rPr>
        <w:t>achment M.</w:t>
      </w:r>
      <w:r>
        <w:rPr>
          <w:rStyle w:val="DefaultParagraphFont"/>
        </w:rPr>
        <w:t xml:space="preserve">  </w:t>
      </w:r>
    </w:p>
    <w:p w:rsidR="007D2B56" w:rsidRPr="00C724B0" w:rsidP="007D2B56">
      <w:pPr>
        <w:pStyle w:val="Bodypara2"/>
        <w:rPr>
          <w:rStyle w:val="DefaultParagraphFont"/>
          <w:u w:val="double"/>
        </w:rPr>
      </w:pPr>
      <w:r>
        <w:rPr>
          <w:rStyle w:val="DefaultParagraphFont"/>
        </w:rPr>
        <w:t xml:space="preserve">Each ETCNL TCC will have a duration of 6 months and will have the same POI and POW as the original set of ETCNL converted into ETCNL TCCs.  </w:t>
      </w:r>
    </w:p>
    <w:p w:rsidR="007D2B56" w:rsidP="007D2B56">
      <w:pPr>
        <w:pStyle w:val="Bodypara2"/>
        <w:rPr>
          <w:rStyle w:val="DefaultParagraphFont"/>
        </w:rPr>
      </w:pPr>
      <w:r>
        <w:rPr>
          <w:rStyle w:val="DefaultParagraphFont"/>
        </w:rPr>
        <w:t>If a Transmission Owner fails to exercise its right to convert a megawatt of ETCNL into an ETCNL TCC i</w:t>
      </w:r>
      <w:r>
        <w:rPr>
          <w:rStyle w:val="DefaultParagraphFont"/>
        </w:rPr>
        <w:t xml:space="preserve">n the manner and by the date specified in this </w:t>
      </w:r>
      <w:r w:rsidRPr="001C0EB9">
        <w:rPr>
          <w:rStyle w:val="DefaultParagraphFont"/>
        </w:rPr>
        <w:t xml:space="preserve">Section </w:t>
      </w:r>
      <w:r w:rsidRPr="001C0EB9">
        <w:rPr>
          <w:rStyle w:val="DefaultParagraphFont"/>
          <w:bCs/>
        </w:rPr>
        <w:t>19.</w:t>
      </w:r>
      <w:r w:rsidRPr="001C0EB9">
        <w:rPr>
          <w:rStyle w:val="DefaultParagraphFont"/>
        </w:rPr>
        <w:t>4,</w:t>
      </w:r>
      <w:r>
        <w:rPr>
          <w:rStyle w:val="DefaultParagraphFont"/>
        </w:rPr>
        <w:t xml:space="preserve"> the Transmission Owner shall forfeit its right to convert ETCNL into ETCNL TCCs for the Centralized TCC Auction.  </w:t>
      </w:r>
      <w:r w:rsidRPr="00BD0376">
        <w:rPr>
          <w:rStyle w:val="DefaultParagraphFont"/>
        </w:rPr>
        <w:t>Any ETCNL not converted to ETCNL TCCs shall remain valid as ETCNL, and shall be r</w:t>
      </w:r>
      <w:r w:rsidRPr="00BD0376">
        <w:rPr>
          <w:rStyle w:val="DefaultParagraphFont"/>
        </w:rPr>
        <w:t>eleased for the Centralized TCC</w:t>
      </w:r>
      <w:r>
        <w:rPr>
          <w:rStyle w:val="DefaultParagraphFont"/>
        </w:rPr>
        <w:t xml:space="preserve"> Auction pursuant to the provisions of this Attachment M.</w:t>
      </w:r>
    </w:p>
    <w:p w:rsidR="007D2B56" w:rsidRPr="001C0EB9" w:rsidP="007D2B56">
      <w:pPr>
        <w:pStyle w:val="Bodypara2"/>
        <w:rPr>
          <w:rStyle w:val="DefaultParagraphFont"/>
        </w:rPr>
      </w:pPr>
      <w:r w:rsidRPr="001C0EB9">
        <w:rPr>
          <w:rStyle w:val="DefaultParagraphFont"/>
          <w:b/>
        </w:rPr>
        <w:t>19.</w:t>
      </w:r>
      <w:r w:rsidRPr="001C0EB9">
        <w:rPr>
          <w:rStyle w:val="DefaultParagraphFont"/>
          <w:b/>
          <w:bCs/>
        </w:rPr>
        <w:t>4.2</w:t>
      </w:r>
      <w:r w:rsidRPr="001C0EB9">
        <w:rPr>
          <w:rStyle w:val="DefaultParagraphFont"/>
        </w:rPr>
        <w:tab/>
        <w:t xml:space="preserve">Notwithstanding any other provisions of this Section </w:t>
      </w:r>
      <w:r w:rsidRPr="001C0EB9">
        <w:rPr>
          <w:rStyle w:val="DefaultParagraphFont"/>
          <w:bCs/>
        </w:rPr>
        <w:t>19.</w:t>
      </w:r>
      <w:r w:rsidRPr="001C0EB9">
        <w:rPr>
          <w:rStyle w:val="DefaultParagraphFont"/>
        </w:rPr>
        <w:t>4, a Transmission Owner shall not convert into ETCNL TCCs an amount greater than the Capacity Reservatio</w:t>
      </w:r>
      <w:r w:rsidRPr="001C0EB9">
        <w:rPr>
          <w:rStyle w:val="DefaultParagraphFont"/>
        </w:rPr>
        <w:t xml:space="preserve">n Cap of the transmission Capacity of each set of the Transmission Owner’s ETCNL; </w:t>
      </w:r>
      <w:r w:rsidRPr="001C0EB9">
        <w:rPr>
          <w:rStyle w:val="DefaultParagraphFont"/>
          <w:i/>
          <w:iCs/>
        </w:rPr>
        <w:t>provided, however</w:t>
      </w:r>
      <w:r w:rsidRPr="001C0EB9">
        <w:rPr>
          <w:rStyle w:val="DefaultParagraphFont"/>
        </w:rPr>
        <w:t>, that if (i) a Transmission Owner has a set of ETCNL from one POI and one or more sets of ETCNL from another POI, each of which are in the same Load Zone, a</w:t>
      </w:r>
      <w:r w:rsidRPr="001C0EB9">
        <w:rPr>
          <w:rStyle w:val="DefaultParagraphFont"/>
        </w:rPr>
        <w:t>nd (ii) each of these sets of ETCNL has the same POW, then there shall be no maximum amount of transmission Capacity from a single set of ETCNL that a Transmission Owner shall have a right to convert into ETCNL TCCs, but a Transmission Owner shall not conv</w:t>
      </w:r>
      <w:r w:rsidRPr="001C0EB9">
        <w:rPr>
          <w:rStyle w:val="DefaultParagraphFont"/>
        </w:rPr>
        <w:t xml:space="preserve">ert into ETCNL TCCs an amount greater than </w:t>
      </w:r>
      <w:r w:rsidRPr="001C0EB9">
        <w:rPr>
          <w:rStyle w:val="DefaultParagraphFont"/>
        </w:rPr>
        <w:t>the Capacity Reservation Cap of the total transmission Capacity of all of the Transmission</w:t>
      </w:r>
      <w:r>
        <w:rPr>
          <w:rStyle w:val="DefaultParagraphFont"/>
        </w:rPr>
        <w:t xml:space="preserve"> </w:t>
      </w:r>
      <w:r w:rsidRPr="001C0EB9">
        <w:rPr>
          <w:rStyle w:val="DefaultParagraphFont"/>
        </w:rPr>
        <w:t xml:space="preserve">Owner’s sets of ETCNL with that POW.  </w:t>
      </w:r>
    </w:p>
    <w:p w:rsidR="007D2B56" w:rsidRPr="001C0EB9" w:rsidP="007D2B56">
      <w:pPr>
        <w:pStyle w:val="Bodypara2"/>
        <w:rPr>
          <w:rStyle w:val="DefaultParagraphFont"/>
        </w:rPr>
      </w:pPr>
      <w:r w:rsidRPr="001C0EB9">
        <w:rPr>
          <w:rStyle w:val="DefaultParagraphFont"/>
        </w:rPr>
        <w:t>ETCNL may be converted only into whole ETCNL TCCs.  If the Capacity Reservation Cap</w:t>
      </w:r>
      <w:r w:rsidRPr="001C0EB9">
        <w:rPr>
          <w:rStyle w:val="DefaultParagraphFont"/>
        </w:rPr>
        <w:t xml:space="preserve"> multiplied by the transmission Capacity of a set of ETCNL or by the total transmission Capacity of multiple sets of ETCNL, as the case may be pursuant to this Section 19.4.2, does</w:t>
      </w:r>
      <w:r>
        <w:rPr>
          <w:rStyle w:val="DefaultParagraphFont"/>
        </w:rPr>
        <w:t xml:space="preserve"> not yield a whole number, then the number of ETCNL TCCs that a Transmission</w:t>
      </w:r>
      <w:r>
        <w:rPr>
          <w:rStyle w:val="DefaultParagraphFont"/>
        </w:rPr>
        <w:t xml:space="preserve"> Owner may convert from ETCNL will be reduced to the nearest integer and the number of megawatts of ETCNL that a Transmission Owner may not convert to ETCNL TCCs will be increased to the nearest</w:t>
      </w:r>
      <w:r w:rsidRPr="001C0EB9">
        <w:rPr>
          <w:rStyle w:val="DefaultParagraphFont"/>
        </w:rPr>
        <w:t xml:space="preserve"> integer.</w:t>
      </w:r>
    </w:p>
    <w:p w:rsidR="007D2B56" w:rsidRPr="001C0EB9" w:rsidP="007D2B56">
      <w:pPr>
        <w:pStyle w:val="Bodypara2"/>
        <w:rPr>
          <w:rStyle w:val="DefaultParagraphFont"/>
        </w:rPr>
      </w:pPr>
      <w:r w:rsidRPr="001C0EB9">
        <w:rPr>
          <w:rStyle w:val="DefaultParagraphFont"/>
          <w:b/>
        </w:rPr>
        <w:t>19.</w:t>
      </w:r>
      <w:r w:rsidRPr="001C0EB9">
        <w:rPr>
          <w:rStyle w:val="DefaultParagraphFont"/>
          <w:b/>
          <w:bCs/>
        </w:rPr>
        <w:t>4.3</w:t>
      </w:r>
      <w:r w:rsidRPr="001C0EB9">
        <w:rPr>
          <w:rStyle w:val="DefaultParagraphFont"/>
        </w:rPr>
        <w:tab/>
        <w:t>The ISO shall determine the Capacity Reservat</w:t>
      </w:r>
      <w:r w:rsidRPr="001C0EB9">
        <w:rPr>
          <w:rStyle w:val="DefaultParagraphFont"/>
        </w:rPr>
        <w:t>ion Cap prior to each Centralized TCC Auction, and shall post the Capacity Reservation Cap on its website.  The Capacity Reservation Cap shall be any amount less than or equal to five percent (5%).</w:t>
      </w:r>
    </w:p>
    <w:p w:rsidR="007D2B56" w:rsidRPr="001C0EB9" w:rsidP="007D2B56">
      <w:pPr>
        <w:pStyle w:val="Bodypara2"/>
        <w:rPr>
          <w:rStyle w:val="DefaultParagraphFont"/>
        </w:rPr>
      </w:pPr>
      <w:r w:rsidRPr="001C0EB9">
        <w:rPr>
          <w:rStyle w:val="DefaultParagraphFont"/>
          <w:b/>
        </w:rPr>
        <w:t>19.</w:t>
      </w:r>
      <w:r w:rsidRPr="001C0EB9">
        <w:rPr>
          <w:rStyle w:val="DefaultParagraphFont"/>
          <w:b/>
          <w:bCs/>
        </w:rPr>
        <w:t>4.4</w:t>
      </w:r>
      <w:r w:rsidRPr="001C0EB9">
        <w:rPr>
          <w:rStyle w:val="DefaultParagraphFont"/>
        </w:rPr>
        <w:tab/>
        <w:t>Before each Centralized TCC Auction, the ISO shall,</w:t>
      </w:r>
      <w:r w:rsidRPr="001C0EB9">
        <w:rPr>
          <w:rStyle w:val="DefaultParagraphFont"/>
        </w:rPr>
        <w:t xml:space="preserve"> subsequent to performing the reduction process pursuant to Section 19.8.2 of this Attachment M, determine the number of megawatts of transmission Capacity from each of the Transmission Owner’s sets of ETCNL that the Transmission Owner shall have a right t</w:t>
      </w:r>
      <w:r w:rsidRPr="001C0EB9">
        <w:rPr>
          <w:rStyle w:val="DefaultParagraphFont"/>
        </w:rPr>
        <w:t>o convert into ETCNL TCCs.  The ISO shall notify each Transmission Owner of the ISO’s determination with regard to its ETCNL in a written notice to be received by the Transmission Owner on or before the date specified in the timeline for the relevant Centr</w:t>
      </w:r>
      <w:r w:rsidRPr="001C0EB9">
        <w:rPr>
          <w:rStyle w:val="DefaultParagraphFont"/>
        </w:rPr>
        <w:t xml:space="preserve">alized TCC Auction posted on the ISO’s website, as that timeline may be revised from time to time.  </w:t>
      </w:r>
    </w:p>
    <w:p w:rsidR="007D2B56" w:rsidP="007D2B56">
      <w:pPr>
        <w:pStyle w:val="Bodypara2"/>
        <w:rPr>
          <w:rStyle w:val="DefaultParagraphFont"/>
        </w:rPr>
        <w:sectPr w:rsidSect="007D2B56">
          <w:headerReference w:type="even" r:id="rId35"/>
          <w:headerReference w:type="default" r:id="rId36"/>
          <w:footerReference w:type="even" r:id="rId37"/>
          <w:footerReference w:type="default" r:id="rId38"/>
          <w:headerReference w:type="first" r:id="rId39"/>
          <w:footerReference w:type="first" r:id="rId40"/>
          <w:type w:val="nextPage"/>
          <w:pgSz w:w="12240" w:h="15840" w:code="1"/>
          <w:pgMar w:top="1440" w:right="1440" w:bottom="720" w:left="1440" w:header="720" w:footer="720" w:gutter="0"/>
          <w:cols w:space="720"/>
        </w:sectPr>
      </w:pPr>
      <w:r w:rsidRPr="001C0EB9">
        <w:rPr>
          <w:rStyle w:val="DefaultParagraphFont"/>
          <w:b/>
        </w:rPr>
        <w:t>19.</w:t>
      </w:r>
      <w:r w:rsidRPr="001C0EB9">
        <w:rPr>
          <w:rStyle w:val="DefaultParagraphFont"/>
          <w:b/>
          <w:bCs/>
        </w:rPr>
        <w:t>4.5</w:t>
      </w:r>
      <w:r w:rsidRPr="001C0EB9">
        <w:rPr>
          <w:rStyle w:val="DefaultParagraphFont"/>
        </w:rPr>
        <w:tab/>
        <w:t>A Transmission Owner may exercise its right to convert its ETCNL into ETCNL TCCs by notifying the ISO of the number of megawatts of transmission Cap</w:t>
      </w:r>
      <w:r w:rsidRPr="001C0EB9">
        <w:rPr>
          <w:rStyle w:val="DefaultParagraphFont"/>
        </w:rPr>
        <w:t>acity from each of the Transmission Owner’s sets of ETCNL that the Transmission Owner elects to convert</w:t>
      </w:r>
      <w:r>
        <w:rPr>
          <w:rStyle w:val="DefaultParagraphFont"/>
        </w:rPr>
        <w:t xml:space="preserve"> to ETCNL TCCs.  The Transmission Owner shall make the notification in a written notice to be </w:t>
      </w:r>
      <w:r>
        <w:rPr>
          <w:rStyle w:val="DefaultParagraphFont"/>
        </w:rPr>
        <w:t xml:space="preserve">received by the ISO on or before the date specified in the </w:t>
      </w:r>
      <w:r>
        <w:rPr>
          <w:rStyle w:val="DefaultParagraphFont"/>
        </w:rPr>
        <w:t>timeline for the relevant Centralized TCC Auction posted on the ISO’s website, as that timeline may be revised from time to time.  After receipt by the ISO, the Transmission Owner’s notification shall not be modified or revoked, except by permission of the</w:t>
      </w:r>
      <w:r>
        <w:rPr>
          <w:rStyle w:val="DefaultParagraphFont"/>
        </w:rPr>
        <w:t xml:space="preserve"> ISO.</w:t>
      </w:r>
    </w:p>
    <w:p w:rsidR="003B277C" w:rsidRPr="001C0EB9" w:rsidP="003B277C">
      <w:pPr>
        <w:pStyle w:val="Heading24"/>
        <w:rPr>
          <w:rStyle w:val="DefaultParagraphFont"/>
        </w:rPr>
      </w:pPr>
      <w:bookmarkStart w:id="51" w:name="_Toc263333575"/>
      <w:bookmarkStart w:id="52" w:name="_GoBack_5"/>
      <w:bookmarkEnd w:id="52"/>
      <w:r w:rsidRPr="001C0EB9">
        <w:rPr>
          <w:rStyle w:val="DefaultParagraphFont"/>
        </w:rPr>
        <w:t>19.5</w:t>
      </w:r>
      <w:r w:rsidRPr="001C0EB9">
        <w:rPr>
          <w:rStyle w:val="DefaultParagraphFont"/>
        </w:rPr>
        <w:tab/>
        <w:t>Reservation of Transmission Capacity in a Centralized TCC Auction through RCRR TCCs</w:t>
      </w:r>
      <w:bookmarkEnd w:id="51"/>
    </w:p>
    <w:p w:rsidR="003B277C" w:rsidP="003B277C">
      <w:pPr>
        <w:pStyle w:val="Bodypara3"/>
        <w:rPr>
          <w:rStyle w:val="DefaultParagraphFont"/>
        </w:rPr>
      </w:pPr>
      <w:r w:rsidRPr="001C0EB9">
        <w:rPr>
          <w:rStyle w:val="DefaultParagraphFont"/>
          <w:b/>
        </w:rPr>
        <w:t>19.</w:t>
      </w:r>
      <w:r w:rsidRPr="001C0EB9">
        <w:rPr>
          <w:rStyle w:val="DefaultParagraphFont"/>
          <w:b/>
          <w:bCs/>
        </w:rPr>
        <w:t>5.1</w:t>
      </w:r>
      <w:r w:rsidRPr="001C0EB9">
        <w:rPr>
          <w:rStyle w:val="DefaultParagraphFont"/>
        </w:rPr>
        <w:tab/>
      </w:r>
      <w:r w:rsidRPr="001C0EB9">
        <w:rPr>
          <w:rStyle w:val="DefaultParagraphFont"/>
        </w:rPr>
        <w:t>Before each Centralized TCC Auction, the ISO shall, subsequent to performing the reduction process pursuant to Section 19.8.2 of this Attachment M, determine the number of RCRRs between each of the following contiguous pairs of Load Zones within the NYCA t</w:t>
      </w:r>
      <w:r w:rsidRPr="001C0EB9">
        <w:rPr>
          <w:rStyle w:val="DefaultParagraphFont"/>
        </w:rPr>
        <w:t xml:space="preserve">hat the ISO shall allocate to </w:t>
      </w:r>
      <w:r>
        <w:rPr>
          <w:rStyle w:val="DefaultParagraphFont"/>
        </w:rPr>
        <w:t xml:space="preserve">each </w:t>
      </w:r>
      <w:r>
        <w:rPr>
          <w:rStyle w:val="DefaultParagraphFont"/>
        </w:rPr>
        <w:t>Member System</w:t>
      </w:r>
      <w:r w:rsidRPr="001C0EB9">
        <w:rPr>
          <w:rStyle w:val="DefaultParagraphFont"/>
        </w:rPr>
        <w:t>: West –</w:t>
      </w:r>
      <w:r>
        <w:rPr>
          <w:rStyle w:val="DefaultParagraphFont"/>
        </w:rPr>
        <w:t xml:space="preserve"> Genesee; Genesee – Central; North – Mohawk Valley; Central - Mohawk Valley; Mohawk Valley – Capital; Capital - Hudson Valley; Hudson Valley – Millwood; Millwood – Dunwoodie; Dunwoodie - New York City</w:t>
      </w:r>
      <w:r>
        <w:rPr>
          <w:rStyle w:val="DefaultParagraphFont"/>
        </w:rPr>
        <w:t xml:space="preserve">; Dunwoodie - </w:t>
      </w:r>
      <w:smartTag w:uri="urn:schemas-microsoft-com:office:smarttags" w:element="place">
        <w:r>
          <w:rPr>
            <w:rStyle w:val="DefaultParagraphFont"/>
          </w:rPr>
          <w:t>Long Island</w:t>
        </w:r>
      </w:smartTag>
      <w:r>
        <w:rPr>
          <w:rStyle w:val="DefaultParagraphFont"/>
        </w:rPr>
        <w:t>.</w:t>
      </w:r>
    </w:p>
    <w:p w:rsidR="003B277C" w:rsidRPr="001C0EB9" w:rsidP="003B277C">
      <w:pPr>
        <w:pStyle w:val="Bodypara3"/>
        <w:rPr>
          <w:rStyle w:val="DefaultParagraphFont"/>
        </w:rPr>
      </w:pPr>
      <w:r w:rsidRPr="001C0EB9">
        <w:rPr>
          <w:rStyle w:val="DefaultParagraphFont"/>
        </w:rPr>
        <w:t>The ISO shall determine the number of RCRRs that the ISO shall allocate for each of these Load Zone pairs by maximizing the number of RCRRs between each Load Zone pair that are simultaneously feasible with all TCCs and Grandfathe</w:t>
      </w:r>
      <w:r w:rsidRPr="001C0EB9">
        <w:rPr>
          <w:rStyle w:val="DefaultParagraphFont"/>
        </w:rPr>
        <w:t>red Rights listed in Section 19.8.2 (i), and Table 1 ETCNL/TCCs that remain</w:t>
      </w:r>
      <w:r w:rsidRPr="001C0EB9">
        <w:rPr>
          <w:rStyle w:val="DefaultParagraphFont"/>
          <w:strike/>
        </w:rPr>
        <w:t>s</w:t>
      </w:r>
      <w:r w:rsidRPr="001C0EB9">
        <w:rPr>
          <w:rStyle w:val="DefaultParagraphFont"/>
        </w:rPr>
        <w:t xml:space="preserve"> after reduction pursuant to Section 19.8.2 of this Attachment M.  </w:t>
      </w:r>
    </w:p>
    <w:p w:rsidR="003B277C" w:rsidRPr="001C0EB9" w:rsidP="003B277C">
      <w:pPr>
        <w:pStyle w:val="Bodypara3"/>
        <w:rPr>
          <w:rStyle w:val="DefaultParagraphFont"/>
        </w:rPr>
      </w:pPr>
      <w:r>
        <w:rPr>
          <w:rStyle w:val="DefaultParagraphFont"/>
        </w:rPr>
        <w:t xml:space="preserve">To do so, the ISO will use the same optimization model that is used in determining the </w:t>
      </w:r>
      <w:r w:rsidRPr="001C0EB9">
        <w:rPr>
          <w:rStyle w:val="DefaultParagraphFont"/>
        </w:rPr>
        <w:t>award of TCCs in a Centra</w:t>
      </w:r>
      <w:r w:rsidRPr="001C0EB9">
        <w:rPr>
          <w:rStyle w:val="DefaultParagraphFont"/>
        </w:rPr>
        <w:t>lized TCC Auction, and will represent each TCC and Grandfathered Right listed in Section 19.8.2 (i), Table 1 ETCNL/TCCs remaining after reduction pursuant to Section 19.8.2, and a large number of RCRRs in the model as fixed injections and withdrawals.  The</w:t>
      </w:r>
      <w:r w:rsidRPr="001C0EB9">
        <w:rPr>
          <w:rStyle w:val="DefaultParagraphFont"/>
        </w:rPr>
        <w:t xml:space="preserve"> Centralized TCC Auction software will determine the maximum number of RCRRs for each Load Zone pair by maximizing the area under the bid curve Bids</w:t>
      </w:r>
      <w:r w:rsidRPr="001C0EB9">
        <w:rPr>
          <w:rStyle w:val="DefaultParagraphFont"/>
          <w:vertAlign w:val="subscript"/>
        </w:rPr>
        <w:t>j</w:t>
      </w:r>
      <w:r w:rsidRPr="001C0EB9">
        <w:rPr>
          <w:rStyle w:val="DefaultParagraphFont"/>
        </w:rPr>
        <w:t xml:space="preserve"> as expressed by the following formula, subject to the constraint that the injections and withdrawals corre</w:t>
      </w:r>
      <w:r w:rsidRPr="001C0EB9">
        <w:rPr>
          <w:rStyle w:val="DefaultParagraphFont"/>
        </w:rPr>
        <w:t>sponding to the TCCs, Grandfathered Rights listed in Section 19.8.2 (i) and</w:t>
      </w:r>
      <w:r w:rsidRPr="00DC2229">
        <w:rPr>
          <w:rStyle w:val="DefaultParagraphFont"/>
        </w:rPr>
        <w:t xml:space="preserve"> </w:t>
      </w:r>
      <w:r w:rsidRPr="001C0EB9">
        <w:rPr>
          <w:rStyle w:val="DefaultParagraphFont"/>
        </w:rPr>
        <w:t>Table 1 ETCNL/TCCs remaining after reduction pursuant to Section 19.8.2, and potential RCRRs must correspond to a simultaneously feasible Power Flow:</w:t>
      </w:r>
    </w:p>
    <w:p w:rsidR="003B277C" w:rsidP="003B277C">
      <w:pPr>
        <w:pStyle w:val="Normal5"/>
        <w:ind w:left="1526" w:firstLine="1714"/>
        <w:rPr>
          <w:rStyle w:val="DefaultParagraphFont"/>
        </w:rPr>
      </w:pPr>
    </w:p>
    <w:p w:rsidR="003B277C">
      <w:pPr>
        <w:pStyle w:val="Normal5"/>
        <w:ind w:firstLine="4"/>
        <w:rPr>
          <w:rStyle w:val="DefaultParagraphFont"/>
        </w:rPr>
      </w:pPr>
      <m:oMathPara>
        <m:oMath>
          <m:nary>
            <m:naryPr>
              <m:chr m:val="∑"/>
              <m:limLoc m:val="undOvr"/>
              <m:supHide/>
              <m:ctrlPr>
                <w:rPr>
                  <w:rStyle w:val="DefaultParagraphFont"/>
                  <w:rFonts w:ascii="Cambria Math" w:hAnsi="Cambria Math"/>
                  <w:i/>
                </w:rPr>
              </m:ctrlPr>
            </m:naryPr>
            <m:sub>
              <m:ctrlPr>
                <w:rPr>
                  <w:rStyle w:val="DefaultParagraphFont"/>
                </w:rPr>
              </m:ctrlPr>
              <m:r>
                <w:rPr>
                  <w:rStyle w:val="DefaultParagraphFont"/>
                  <w:rFonts w:ascii="Cambria Math" w:hAnsi="Cambria Math"/>
                </w:rPr>
                <m:t>j</m:t>
              </m:r>
              <m:r>
                <w:rPr>
                  <w:rStyle w:val="DefaultParagraphFont"/>
                  <w:rFonts w:ascii="Cambria Math" w:hAnsi="Cambria Math"/>
                </w:rPr>
                <m:t>∈</m:t>
              </m:r>
              <m:r>
                <w:rPr>
                  <w:rStyle w:val="DefaultParagraphFont"/>
                  <w:rFonts w:ascii="Cambria Math" w:hAnsi="Cambria Math"/>
                </w:rPr>
                <m:t>N</m:t>
              </m:r>
            </m:sub>
            <m:sup>
              <m:ctrlPr>
                <w:rPr>
                  <w:rStyle w:val="DefaultParagraphFont"/>
                </w:rPr>
              </m:ctrlPr>
            </m:sup>
            <m:e>
              <m:ctrlPr>
                <w:rPr>
                  <w:rStyle w:val="DefaultParagraphFont"/>
                </w:rPr>
              </m:ctrlPr>
              <m:r>
                <w:rPr>
                  <w:rStyle w:val="DefaultParagraphFont"/>
                  <w:rFonts w:ascii="Cambria Math" w:hAnsi="Cambria Math"/>
                </w:rPr>
                <m:t xml:space="preserve">  </m:t>
              </m:r>
              <m:nary>
                <m:naryPr>
                  <m:limLoc m:val="undOvr"/>
                  <m:ctrlPr>
                    <w:rPr>
                      <w:rStyle w:val="DefaultParagraphFont"/>
                      <w:rFonts w:ascii="Cambria Math" w:hAnsi="Cambria Math"/>
                      <w:i/>
                    </w:rPr>
                  </m:ctrlPr>
                </m:naryPr>
                <m:sub>
                  <m:ctrlPr>
                    <w:rPr>
                      <w:rStyle w:val="DefaultParagraphFont"/>
                    </w:rPr>
                  </m:ctrlPr>
                  <m:r>
                    <w:rPr>
                      <w:rStyle w:val="DefaultParagraphFont"/>
                      <w:rFonts w:ascii="Cambria Math" w:hAnsi="Cambria Math"/>
                    </w:rPr>
                    <m:t>0</m:t>
                  </m:r>
                </m:sub>
                <m:sup>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A</m:t>
                      </m:r>
                    </m:e>
                    <m:sub>
                      <m:ctrlPr>
                        <w:rPr>
                          <w:rStyle w:val="DefaultParagraphFont"/>
                        </w:rPr>
                      </m:ctrlPr>
                      <m:r>
                        <w:rPr>
                          <w:rStyle w:val="DefaultParagraphFont"/>
                          <w:rFonts w:ascii="Cambria Math" w:hAnsi="Cambria Math"/>
                        </w:rPr>
                        <m:t>j</m:t>
                      </m:r>
                    </m:sub>
                  </m:sSub>
                </m:sup>
                <m:e>
                  <m:ctrlPr>
                    <w:rPr>
                      <w:rStyle w:val="DefaultParagraphFont"/>
                    </w:rPr>
                  </m:ctrlPr>
                  <m:sSub>
                    <m:sSubPr>
                      <m:ctrlPr>
                        <w:rPr>
                          <w:rStyle w:val="DefaultParagraphFont"/>
                          <w:rFonts w:ascii="Cambria Math" w:hAnsi="Cambria Math"/>
                          <w:i/>
                        </w:rPr>
                      </m:ctrlPr>
                    </m:sSubPr>
                    <m:e>
                      <m:ctrlPr>
                        <w:rPr>
                          <w:rStyle w:val="DefaultParagraphFont"/>
                        </w:rPr>
                      </m:ctrlPr>
                      <m:r>
                        <w:rPr>
                          <w:rStyle w:val="DefaultParagraphFont"/>
                          <w:rFonts w:ascii="Cambria Math" w:hAnsi="Cambria Math"/>
                        </w:rPr>
                        <m:t xml:space="preserve"> </m:t>
                      </m:r>
                      <m:r>
                        <w:rPr>
                          <w:rStyle w:val="DefaultParagraphFont"/>
                          <w:rFonts w:ascii="Cambria Math" w:hAnsi="Cambria Math"/>
                        </w:rPr>
                        <m:t>Bids</m:t>
                      </m:r>
                    </m:e>
                    <m:sub>
                      <m:ctrlPr>
                        <w:rPr>
                          <w:rStyle w:val="DefaultParagraphFont"/>
                        </w:rPr>
                      </m:ctrlPr>
                      <m:r>
                        <w:rPr>
                          <w:rStyle w:val="DefaultParagraphFont"/>
                          <w:rFonts w:ascii="Cambria Math" w:hAnsi="Cambria Math"/>
                        </w:rPr>
                        <m:t>j</m:t>
                      </m:r>
                    </m:sub>
                  </m:sSub>
                </m:e>
              </m:nary>
            </m:e>
          </m:nary>
        </m:oMath>
      </m:oMathPara>
    </w:p>
    <w:p w:rsidR="003B277C" w:rsidP="003B277C">
      <w:pPr>
        <w:pStyle w:val="Normal5"/>
        <w:keepNext/>
        <w:spacing w:before="120"/>
        <w:ind w:left="2160" w:hanging="720"/>
        <w:rPr>
          <w:rStyle w:val="DefaultParagraphFont"/>
        </w:rPr>
      </w:pPr>
    </w:p>
    <w:p w:rsidR="003B277C" w:rsidP="008D2015">
      <w:pPr>
        <w:pStyle w:val="Normal5"/>
        <w:keepNext/>
        <w:spacing w:before="120"/>
        <w:ind w:firstLine="720"/>
        <w:rPr>
          <w:rStyle w:val="DefaultParagraphFont"/>
        </w:rPr>
      </w:pPr>
      <w:r>
        <w:rPr>
          <w:rStyle w:val="DefaultParagraphFont"/>
        </w:rPr>
        <w:t>Wher</w:t>
      </w:r>
      <w:r>
        <w:rPr>
          <w:rStyle w:val="DefaultParagraphFont"/>
        </w:rPr>
        <w:t>e,</w:t>
      </w:r>
    </w:p>
    <w:p w:rsidR="003B277C" w:rsidP="003B277C">
      <w:pPr>
        <w:pStyle w:val="Normal5"/>
        <w:keepNext/>
        <w:spacing w:before="120"/>
        <w:ind w:left="2160" w:hanging="720"/>
        <w:rPr>
          <w:rStyle w:val="DefaultParagraphFont"/>
        </w:rPr>
      </w:pPr>
      <w:r>
        <w:rPr>
          <w:rStyle w:val="DefaultParagraphFont"/>
        </w:rPr>
        <w:t>j =</w:t>
      </w:r>
      <w:r>
        <w:rPr>
          <w:rStyle w:val="DefaultParagraphFont"/>
        </w:rPr>
        <w:tab/>
        <w:t>A Load Zone pair</w:t>
      </w:r>
    </w:p>
    <w:p w:rsidR="003B277C" w:rsidP="003B277C">
      <w:pPr>
        <w:pStyle w:val="Normal5"/>
        <w:keepNext/>
        <w:spacing w:before="120"/>
        <w:ind w:left="2160" w:hanging="720"/>
        <w:rPr>
          <w:rStyle w:val="DefaultParagraphFont"/>
        </w:rPr>
      </w:pPr>
      <w:r>
        <w:rPr>
          <w:rStyle w:val="DefaultParagraphFont"/>
        </w:rPr>
        <w:t>N =</w:t>
      </w:r>
      <w:r>
        <w:rPr>
          <w:rStyle w:val="DefaultParagraphFont"/>
        </w:rPr>
        <w:tab/>
        <w:t>The set of all Load Zone pairs for which the ISO shall calculate RCRRs</w:t>
      </w:r>
    </w:p>
    <w:p w:rsidR="003B277C" w:rsidP="003B277C">
      <w:pPr>
        <w:pStyle w:val="Normal5"/>
        <w:keepNext/>
        <w:spacing w:before="120"/>
        <w:ind w:left="2160" w:hanging="720"/>
        <w:rPr>
          <w:rStyle w:val="DefaultParagraphFont"/>
        </w:rPr>
      </w:pPr>
      <w:r>
        <w:rPr>
          <w:rStyle w:val="DefaultParagraphFont"/>
        </w:rPr>
        <w:t>A</w:t>
      </w:r>
      <w:r>
        <w:rPr>
          <w:rStyle w:val="DefaultParagraphFont"/>
          <w:vertAlign w:val="subscript"/>
        </w:rPr>
        <w:t>j</w:t>
      </w:r>
      <w:r>
        <w:rPr>
          <w:rStyle w:val="DefaultParagraphFont"/>
        </w:rPr>
        <w:t xml:space="preserve"> =</w:t>
      </w:r>
      <w:r>
        <w:rPr>
          <w:rStyle w:val="DefaultParagraphFont"/>
        </w:rPr>
        <w:tab/>
        <w:t xml:space="preserve">The number of RCRRs defined between Load Zone pair </w:t>
      </w:r>
      <w:r>
        <w:rPr>
          <w:rStyle w:val="DefaultParagraphFont"/>
          <w:i/>
          <w:iCs/>
        </w:rPr>
        <w:t>j</w:t>
      </w:r>
    </w:p>
    <w:p w:rsidR="003B277C" w:rsidP="003B277C">
      <w:pPr>
        <w:pStyle w:val="Normal5"/>
        <w:spacing w:before="120"/>
        <w:ind w:left="2160" w:hanging="720"/>
        <w:rPr>
          <w:rStyle w:val="DefaultParagraphFont"/>
        </w:rPr>
      </w:pPr>
      <w:r>
        <w:rPr>
          <w:rStyle w:val="DefaultParagraphFont"/>
        </w:rPr>
        <w:t>Bids</w:t>
      </w:r>
      <w:r>
        <w:rPr>
          <w:rStyle w:val="DefaultParagraphFont"/>
          <w:vertAlign w:val="subscript"/>
        </w:rPr>
        <w:t>j</w:t>
      </w:r>
      <w:r>
        <w:rPr>
          <w:rStyle w:val="DefaultParagraphFont"/>
        </w:rPr>
        <w:t xml:space="preserve"> =</w:t>
      </w:r>
      <w:r>
        <w:rPr>
          <w:rStyle w:val="DefaultParagraphFont"/>
        </w:rPr>
        <w:tab/>
        <w:t>The line that intersects the y-axis at $1/TCC and which intersects the x-axis at 1 MW, as i</w:t>
      </w:r>
      <w:r>
        <w:rPr>
          <w:rStyle w:val="DefaultParagraphFont"/>
        </w:rPr>
        <w:t xml:space="preserve">llustrated in the bid curve illustrated below.  </w:t>
      </w:r>
    </w:p>
    <w:p w:rsidR="003B277C" w:rsidP="003B277C">
      <w:pPr>
        <w:pStyle w:val="Normal5"/>
        <w:spacing w:before="120"/>
        <w:ind w:left="2160" w:hanging="720"/>
        <w:rPr>
          <w:rStyle w:val="DefaultParagraphFont"/>
        </w:rPr>
      </w:pPr>
    </w:p>
    <w:p w:rsidR="003B277C" w:rsidP="003C7DD5">
      <w:pPr>
        <w:pStyle w:val="Normal5"/>
        <w:keepNext/>
        <w:spacing w:after="120"/>
        <w:jc w:val="center"/>
        <w:rPr>
          <w:rStyle w:val="DefaultParagraphFont"/>
          <w:sz w:val="32"/>
          <w:vertAlign w:val="subscript"/>
        </w:rPr>
      </w:pPr>
      <w:r>
        <w:rPr>
          <w:rStyle w:val="DefaultParagraphFont"/>
          <w:noProof/>
        </w:rPr>
        <mc:AlternateContent>
          <mc:Choice Requires="wps">
            <w:drawing>
              <wp:anchor distT="0" distB="0" distL="114300" distR="114300" simplePos="0" relativeHeight="251658240" behindDoc="0" locked="0" layoutInCell="1" allowOverlap="1">
                <wp:simplePos x="0" y="0"/>
                <wp:positionH relativeFrom="margin">
                  <wp:posOffset>851535</wp:posOffset>
                </wp:positionH>
                <wp:positionV relativeFrom="margin">
                  <wp:posOffset>10335260</wp:posOffset>
                </wp:positionV>
                <wp:extent cx="3383915" cy="635"/>
                <wp:effectExtent l="13335" t="10160" r="12700" b="8255"/>
                <wp:wrapNone/>
                <wp:docPr id="17"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383915" cy="635"/>
                        </a:xfrm>
                        <a:prstGeom prst="line">
                          <a:avLst/>
                        </a:prstGeom>
                        <a:noFill/>
                        <a:ln w="127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anchor>
            </w:drawing>
          </mc:Choice>
          <mc:Fallback>
            <w:pict>
              <v:line id="Line 2" o:spid="_x0000_s1025" style="mso-height-percent:0;mso-height-relative:page;mso-position-horizontal-relative:margin;mso-position-vertical-relative:margin;mso-width-percent:0;mso-width-relative:page;mso-wrap-distance-bottom:0;mso-wrap-distance-left:9pt;mso-wrap-distance-right:9pt;mso-wrap-distance-top:0;mso-wrap-style:square;position:absolute;visibility:visible;z-index:251659264" from="67.05pt,813.8pt" to="333.5pt,813.85pt" strokeweight="1pt">
                <v:stroke startarrowwidth="narrow" endarrowwidth="narrow"/>
                <w10:wrap anchorx="margin" anchory="margin"/>
              </v:line>
            </w:pict>
          </mc:Fallback>
        </mc:AlternateContent>
      </w:r>
      <w:r>
        <w:rPr>
          <w:rStyle w:val="DefaultParagraphFont"/>
          <w:sz w:val="32"/>
        </w:rPr>
        <w:t>Bid Curve Bids</w:t>
      </w:r>
      <w:r>
        <w:rPr>
          <w:rStyle w:val="DefaultParagraphFont"/>
          <w:sz w:val="32"/>
          <w:vertAlign w:val="subscript"/>
        </w:rPr>
        <w:t>j</w:t>
      </w:r>
      <w:r>
        <w:rPr>
          <w:rStyle w:val="DefaultParagraphFont"/>
          <w:sz w:val="32"/>
        </w:rPr>
        <w:t xml:space="preserve"> for RCRR</w:t>
      </w:r>
      <w:r>
        <w:rPr>
          <w:rStyle w:val="DefaultParagraphFont"/>
          <w:sz w:val="32"/>
          <w:vertAlign w:val="subscript"/>
        </w:rPr>
        <w:t>j</w:t>
      </w:r>
    </w:p>
    <w:p w:rsidR="009323D0" w:rsidP="003C7DD5">
      <w:pPr>
        <w:pStyle w:val="Bodypara3"/>
        <w:ind w:firstLine="0"/>
        <w:jc w:val="center"/>
        <w:rPr>
          <w:rStyle w:val="DefaultParagraphFont"/>
        </w:rPr>
      </w:pPr>
      <w:r>
        <w:rPr>
          <w:rStyle w:val="DefaultParagraphFont"/>
          <w:noProof/>
        </w:rPr>
        <w:pict>
          <v:group id="Group 55" o:spid="_x0000_i1026" style="height:152.55pt;mso-position-horizontal-relative:char;mso-position-vertical-relative:line;width:215.55pt" coordorigin="4808,6000" coordsize="4311,3051">
            <v:group id="Group 50" o:spid="_x0000_s1027" style="height:2682;left:5340;position:absolute;top:6000;width:3578" coordorigin="5340,6000" coordsize="3578,2682">
              <v:shapetype id="_x0000_t32" coordsize="21600,21600" o:spt="32" o:oned="t" path="m,l21600,21600e" filled="f">
                <v:path arrowok="t" fillok="f" o:connecttype="none"/>
                <o:lock v:ext="edit" shapetype="t"/>
              </v:shapetype>
              <v:shape id="AutoShape 41" o:spid="_x0000_s1028" type="#_x0000_t32" style="flip:x;height:322;left:6923;mso-wrap-style:square;position:absolute;top:7403;visibility:visible;width:457" o:connectortype="straight">
                <v:stroke endarrow="classic"/>
              </v:shape>
              <v:group id="Group 49" o:spid="_x0000_s1029" style="height:2682;left:5340;position:absolute;top:6000;width:3578" coordorigin="5340,6000" coordsize="3578,2682">
                <v:shape id="Freeform 48" o:spid="_x0000_s1030" style="height:2419;left:5340;mso-wrap-style:square;position:absolute;top:6263;v-text-anchor:top;visibility:visible;width:1170" coordsize="1170,2419" path="m,l,2419l1170,2419l1170,1180,,xe" fillcolor="#d8d8d8" stroked="f">
                  <v:path arrowok="t" o:connecttype="custom" o:connectlocs="0,0;0,2419;1170,2419;1170,1180;0,0" o:connectangles="0,0,0,0,0"/>
                </v:shape>
                <v:shape id="AutoShape 32" o:spid="_x0000_s1031" type="#_x0000_t32" style="height:2678;left:5340;mso-wrap-style:square;position:absolute;top:6000;visibility:visible;width:0" o:connectortype="straight"/>
                <v:shape id="AutoShape 33" o:spid="_x0000_s1032" type="#_x0000_t32" style="flip:x;height:4;left:5340;mso-wrap-style:square;position:absolute;top:8678;visibility:visible;width:3578" o:connectortype="straight"/>
                <v:shape id="AutoShape 23" o:spid="_x0000_s1033" type="#_x0000_t32" style="height:2415;left:5340;mso-wrap-style:square;position:absolute;top:6263;visibility:visible;width:2422" o:connectortype="straight"/>
                <v:shape id="AutoShape 44" o:spid="_x0000_s1034" type="#_x0000_t32" style="flip:y;height:1235;left:6510;mso-wrap-style:square;position:absolute;top:7443;visibility:visible;width:0" o:connectortype="straight"/>
              </v:group>
            </v:group>
            <v:group id="Group 54" o:spid="_x0000_s1035" style="height:2943;left:4808;position:absolute;top:6108;width:4311" coordorigin="4808,6108" coordsize="4311,2943">
              <v:shapetype id="_x0000_t202" coordsize="21600,21600" o:spt="202" path="m,l,21600r21600,l21600,xe">
                <v:stroke joinstyle="miter"/>
                <v:path gradientshapeok="t" o:connecttype="rect"/>
              </v:shapetype>
              <v:shape id="Text Box 36" o:spid="_x0000_s1036" type="#_x0000_t202" style="height:332;left:8280;mso-wrap-style:square;position:absolute;top:8662;v-text-anchor:top;visibility:visible;width:839" filled="f" stroked="f">
                <v:textbox>
                  <w:txbxContent>
                    <w:p w:rsidR="009323D0" w:rsidRPr="0018623D" w:rsidP="009323D0">
                      <w:pPr>
                        <w:pStyle w:val="Normal5"/>
                        <w:rPr>
                          <w:rStyle w:val="DefaultParagraphFont"/>
                          <w:sz w:val="18"/>
                          <w:szCs w:val="18"/>
                        </w:rPr>
                      </w:pPr>
                      <w:r w:rsidRPr="0018623D">
                        <w:rPr>
                          <w:rStyle w:val="DefaultParagraphFont"/>
                          <w:sz w:val="24"/>
                          <w:szCs w:val="18"/>
                        </w:rPr>
                        <w:t>RCRRs</w:t>
                      </w:r>
                    </w:p>
                  </w:txbxContent>
                </v:textbox>
              </v:shape>
              <v:shape id="Text Box 37" o:spid="_x0000_s1037" type="#_x0000_t202" style="height:332;left:7565;mso-wrap-style:square;position:absolute;top:8666;v-text-anchor:top;visibility:visible;width:388" filled="f" stroked="f">
                <v:textbox>
                  <w:txbxContent>
                    <w:p w:rsidR="0018623D" w:rsidRPr="0018623D" w:rsidP="0018623D">
                      <w:pPr>
                        <w:pStyle w:val="Normal5"/>
                        <w:rPr>
                          <w:rStyle w:val="DefaultParagraphFont"/>
                          <w:sz w:val="18"/>
                          <w:szCs w:val="18"/>
                        </w:rPr>
                      </w:pPr>
                      <w:r w:rsidRPr="0018623D">
                        <w:rPr>
                          <w:rStyle w:val="DefaultParagraphFont"/>
                          <w:sz w:val="24"/>
                          <w:szCs w:val="18"/>
                        </w:rPr>
                        <w:t>1</w:t>
                      </w:r>
                    </w:p>
                  </w:txbxContent>
                </v:textbox>
              </v:shape>
              <v:shape id="Text Box 38" o:spid="_x0000_s1038" type="#_x0000_t202" style="height:332;left:4940;mso-wrap-style:square;position:absolute;top:8508;v-text-anchor:top;visibility:visible;width:388" filled="f" stroked="f">
                <v:textbox>
                  <w:txbxContent>
                    <w:p w:rsidR="0018623D" w:rsidRPr="0018623D" w:rsidP="0018623D">
                      <w:pPr>
                        <w:pStyle w:val="Normal5"/>
                        <w:jc w:val="right"/>
                        <w:rPr>
                          <w:rStyle w:val="DefaultParagraphFont"/>
                          <w:sz w:val="18"/>
                          <w:szCs w:val="18"/>
                        </w:rPr>
                      </w:pPr>
                      <w:r w:rsidRPr="0018623D">
                        <w:rPr>
                          <w:rStyle w:val="DefaultParagraphFont"/>
                          <w:sz w:val="18"/>
                          <w:szCs w:val="18"/>
                        </w:rPr>
                        <w:t>0</w:t>
                      </w:r>
                    </w:p>
                    <w:p w:rsidR="0018623D" w:rsidP="0018623D">
                      <w:pPr>
                        <w:pStyle w:val="Normal5"/>
                        <w:jc w:val="right"/>
                        <w:rPr>
                          <w:rStyle w:val="DefaultParagraphFont"/>
                        </w:rPr>
                      </w:pPr>
                    </w:p>
                  </w:txbxContent>
                </v:textbox>
              </v:shape>
              <v:shape id="Text Box 39" o:spid="_x0000_s1039" type="#_x0000_t202" style="height:332;left:4808;mso-wrap-style:square;position:absolute;top:6108;v-text-anchor:top;visibility:visible;width:512" filled="f" stroked="f">
                <v:textbox>
                  <w:txbxContent>
                    <w:p w:rsidR="0018623D" w:rsidRPr="0018623D" w:rsidP="0018623D">
                      <w:pPr>
                        <w:pStyle w:val="Normal5"/>
                        <w:jc w:val="right"/>
                        <w:rPr>
                          <w:rStyle w:val="DefaultParagraphFont"/>
                          <w:sz w:val="18"/>
                          <w:szCs w:val="18"/>
                        </w:rPr>
                      </w:pPr>
                      <w:r w:rsidRPr="0018623D">
                        <w:rPr>
                          <w:rStyle w:val="DefaultParagraphFont"/>
                          <w:sz w:val="18"/>
                          <w:szCs w:val="18"/>
                        </w:rPr>
                        <w:t>$1</w:t>
                      </w:r>
                    </w:p>
                  </w:txbxContent>
                </v:textbox>
              </v:shape>
              <v:shape id="Text Box 40" o:spid="_x0000_s1040" type="#_x0000_t202" style="height:332;left:7112;mso-wrap-style:square;position:absolute;top:7111;v-text-anchor:top;visibility:visible;width:1050" filled="f" stroked="f">
                <v:textbox>
                  <w:txbxContent>
                    <w:p w:rsidR="0018623D" w:rsidRPr="0018623D" w:rsidP="0018623D">
                      <w:pPr>
                        <w:pStyle w:val="Normal5"/>
                        <w:rPr>
                          <w:rStyle w:val="DefaultParagraphFont"/>
                          <w:sz w:val="18"/>
                          <w:szCs w:val="18"/>
                        </w:rPr>
                      </w:pPr>
                      <w:r w:rsidRPr="0018623D">
                        <w:rPr>
                          <w:rStyle w:val="DefaultParagraphFont"/>
                          <w:sz w:val="24"/>
                          <w:szCs w:val="18"/>
                        </w:rPr>
                        <w:t>Slope = -1</w:t>
                      </w:r>
                    </w:p>
                  </w:txbxContent>
                </v:textbox>
              </v:shape>
              <v:shape id="Text Box 53" o:spid="_x0000_s1041" type="#_x0000_t202" style="height:389;left:6270;mso-wrap-style:square;position:absolute;top:8662;v-text-anchor:top;visibility:visible;width:479" filled="f" stroked="f">
                <v:textbox>
                  <w:txbxContent>
                    <w:p w:rsidR="00EC7C0E" w:rsidRPr="0018623D" w:rsidP="00EC7C0E">
                      <w:pPr>
                        <w:pStyle w:val="Normal5"/>
                        <w:jc w:val="center"/>
                        <w:rPr>
                          <w:rStyle w:val="DefaultParagraphFont"/>
                          <w:sz w:val="18"/>
                          <w:szCs w:val="18"/>
                        </w:rPr>
                      </w:pPr>
                      <w:r>
                        <w:rPr>
                          <w:rStyle w:val="DefaultParagraphFont"/>
                          <w:sz w:val="18"/>
                          <w:szCs w:val="18"/>
                        </w:rPr>
                        <w:t>A</w:t>
                      </w:r>
                      <w:r w:rsidRPr="00EC7C0E">
                        <w:rPr>
                          <w:rStyle w:val="DefaultParagraphFont"/>
                          <w:sz w:val="18"/>
                          <w:szCs w:val="18"/>
                          <w:vertAlign w:val="subscript"/>
                        </w:rPr>
                        <w:t>j</w:t>
                      </w:r>
                    </w:p>
                  </w:txbxContent>
                </v:textbox>
              </v:shape>
            </v:group>
            <w10:wrap type="none"/>
            <w10:anchorlock/>
          </v:group>
        </w:pict>
      </w:r>
    </w:p>
    <w:p w:rsidR="003B277C" w:rsidP="003B277C">
      <w:pPr>
        <w:pStyle w:val="Bodypara3"/>
        <w:rPr>
          <w:rStyle w:val="DefaultParagraphFont"/>
        </w:rPr>
      </w:pPr>
      <w:r>
        <w:rPr>
          <w:rStyle w:val="DefaultParagraphFont"/>
        </w:rPr>
        <w:t>The ISO shall determine the POI and POW of each RCRR by assigning the POI and POW that the ISO expects, based on the ISO’s review of historical and other information available to the ISO, to produce positive Congestion p</w:t>
      </w:r>
      <w:r>
        <w:rPr>
          <w:rStyle w:val="DefaultParagraphFont"/>
        </w:rPr>
        <w:t xml:space="preserve">ayments to a </w:t>
      </w:r>
      <w:r>
        <w:rPr>
          <w:rStyle w:val="DefaultParagraphFont"/>
        </w:rPr>
        <w:t>Member System</w:t>
      </w:r>
      <w:r>
        <w:rPr>
          <w:rStyle w:val="DefaultParagraphFont"/>
        </w:rPr>
        <w:t xml:space="preserve"> that converts the RCRR into an RCRR TCC for the majority of the </w:t>
      </w:r>
      <w:r w:rsidRPr="000B69CF">
        <w:rPr>
          <w:rStyle w:val="DefaultParagraphFont"/>
        </w:rPr>
        <w:t xml:space="preserve">Capability Period that commences immediately following the completion of </w:t>
      </w:r>
      <w:r>
        <w:rPr>
          <w:rStyle w:val="DefaultParagraphFont"/>
        </w:rPr>
        <w:t>the relevant Centralized TCC Auction.</w:t>
      </w:r>
    </w:p>
    <w:p w:rsidR="003B277C" w:rsidP="003B277C">
      <w:pPr>
        <w:pStyle w:val="Bodypara3"/>
        <w:rPr>
          <w:rStyle w:val="DefaultParagraphFont"/>
        </w:rPr>
      </w:pPr>
      <w:r w:rsidRPr="0039666F">
        <w:rPr>
          <w:rStyle w:val="DefaultParagraphFont"/>
          <w:b/>
        </w:rPr>
        <w:t>19.</w:t>
      </w:r>
      <w:r w:rsidRPr="0039666F">
        <w:rPr>
          <w:rStyle w:val="DefaultParagraphFont"/>
          <w:b/>
          <w:bCs/>
        </w:rPr>
        <w:t>5.</w:t>
      </w:r>
      <w:r w:rsidRPr="00377646">
        <w:rPr>
          <w:rStyle w:val="DefaultParagraphFont"/>
          <w:b/>
          <w:bCs/>
        </w:rPr>
        <w:t>2</w:t>
      </w:r>
      <w:r>
        <w:rPr>
          <w:rStyle w:val="DefaultParagraphFont"/>
        </w:rPr>
        <w:tab/>
        <w:t xml:space="preserve">The ISO shall allocate RCRRs between each Load </w:t>
      </w:r>
      <w:r>
        <w:rPr>
          <w:rStyle w:val="DefaultParagraphFont"/>
        </w:rPr>
        <w:t xml:space="preserve">Zone pair to each </w:t>
      </w:r>
      <w:r>
        <w:rPr>
          <w:rStyle w:val="DefaultParagraphFont"/>
        </w:rPr>
        <w:t>Member System</w:t>
      </w:r>
      <w:r>
        <w:rPr>
          <w:rStyle w:val="DefaultParagraphFont"/>
        </w:rPr>
        <w:t xml:space="preserve"> in an amount equal to the product of (i) the number of RCRRs between the Load Zone pair for the Centralized TCC Auction as calculated pursuant to Section 19.</w:t>
      </w:r>
      <w:r w:rsidRPr="00334B71">
        <w:rPr>
          <w:rStyle w:val="DefaultParagraphFont"/>
        </w:rPr>
        <w:t>5.</w:t>
      </w:r>
      <w:r>
        <w:rPr>
          <w:rStyle w:val="DefaultParagraphFont"/>
        </w:rPr>
        <w:t xml:space="preserve">1 of this Attachment M, and (ii) the </w:t>
      </w:r>
      <w:r>
        <w:rPr>
          <w:rStyle w:val="DefaultParagraphFont"/>
        </w:rPr>
        <w:t>Member System</w:t>
      </w:r>
      <w:r>
        <w:rPr>
          <w:rStyle w:val="DefaultParagraphFont"/>
        </w:rPr>
        <w:t>’s allocation f</w:t>
      </w:r>
      <w:r>
        <w:rPr>
          <w:rStyle w:val="DefaultParagraphFont"/>
        </w:rPr>
        <w:t>actor for that Load Zone pair, which shall be calculated pursuant to the following formula:</w:t>
      </w:r>
    </w:p>
    <w:tbl>
      <w:tblPr>
        <w:tblStyle w:val="TableGrid1"/>
        <w:tblpPr w:leftFromText="180" w:rightFromText="180" w:vertAnchor="text" w:horzAnchor="page" w:tblpXSpec="center" w:tblpY="113"/>
        <w:tblW w:w="0" w:type="auto"/>
        <w:jc w:val="center"/>
        <w:tblBorders>
          <w:top w:val="nil"/>
          <w:left w:val="nil"/>
          <w:bottom w:val="nil"/>
          <w:right w:val="nil"/>
        </w:tblBorders>
        <w:tblLayout w:type="fixed"/>
        <w:tblLook w:val="04A0"/>
      </w:tblPr>
      <w:tblGrid>
        <w:gridCol w:w="2268"/>
        <w:gridCol w:w="2450"/>
      </w:tblGrid>
      <w:tr w:rsidTr="00E93E69">
        <w:tblPrEx>
          <w:tblW w:w="0" w:type="auto"/>
          <w:jc w:val="center"/>
          <w:tblBorders>
            <w:top w:val="nil"/>
            <w:left w:val="nil"/>
            <w:bottom w:val="nil"/>
            <w:right w:val="nil"/>
          </w:tblBorders>
          <w:tblLayout w:type="fixed"/>
          <w:tblLook w:val="04A0"/>
        </w:tblPrEx>
        <w:trPr>
          <w:trHeight w:val="350"/>
          <w:jc w:val="center"/>
        </w:trPr>
        <w:tc>
          <w:tcPr>
            <w:tcW w:w="2268" w:type="dxa"/>
            <w:vMerge w:val="restart"/>
            <w:tcBorders>
              <w:right w:val="nil"/>
            </w:tcBorders>
            <w:vAlign w:val="center"/>
          </w:tcPr>
          <w:p w:rsidR="00E93E69" w:rsidRPr="00E93E69" w:rsidP="00E93E69">
            <w:pPr>
              <w:pStyle w:val="Normal5"/>
              <w:widowControl/>
              <w:jc w:val="center"/>
              <w:rPr>
                <w:rStyle w:val="DefaultParagraphFont"/>
                <w:noProof/>
                <w:snapToGrid/>
                <w:szCs w:val="18"/>
              </w:rPr>
            </w:pPr>
            <m:oMathPara>
              <m:oMath>
                <m:sSub>
                  <m:sSubPr>
                    <m:ctrlPr>
                      <w:rPr>
                        <w:rStyle w:val="DefaultParagraphFont"/>
                        <w:rFonts w:ascii="Cambria Math" w:hAnsi="Cambria Math"/>
                        <w:noProof/>
                        <w:snapToGrid/>
                        <w:szCs w:val="18"/>
                      </w:rPr>
                    </m:ctrlPr>
                  </m:sSubPr>
                  <m:e>
                    <m:ctrlPr>
                      <w:rPr>
                        <w:rStyle w:val="DefaultParagraphFont"/>
                      </w:rPr>
                    </m:ctrlPr>
                    <m:r>
                      <m:rPr>
                        <m:sty m:val="p"/>
                      </m:rPr>
                      <w:rPr>
                        <w:rStyle w:val="DefaultParagraphFont"/>
                        <w:rFonts w:ascii="Cambria Math" w:hAnsi="Cambria Math"/>
                        <w:noProof/>
                        <w:snapToGrid/>
                        <w:szCs w:val="18"/>
                      </w:rPr>
                      <m:t>Allocation Factor</m:t>
                    </m:r>
                  </m:e>
                  <m:sub>
                    <m:ctrlPr>
                      <w:rPr>
                        <w:rStyle w:val="DefaultParagraphFont"/>
                      </w:rPr>
                    </m:ctrlPr>
                    <m:r>
                      <m:rPr>
                        <m:sty m:val="p"/>
                      </m:rPr>
                      <w:rPr>
                        <w:rStyle w:val="DefaultParagraphFont"/>
                        <w:rFonts w:ascii="Cambria Math" w:hAnsi="Cambria Math"/>
                        <w:noProof/>
                        <w:snapToGrid/>
                        <w:szCs w:val="18"/>
                      </w:rPr>
                      <m:t>t,j</m:t>
                    </m:r>
                  </m:sub>
                </m:sSub>
                <m:r>
                  <m:rPr>
                    <m:sty m:val="p"/>
                  </m:rPr>
                  <w:rPr>
                    <w:rStyle w:val="DefaultParagraphFont"/>
                    <w:rFonts w:ascii="Cambria Math" w:hAnsi="Cambria Math"/>
                    <w:noProof/>
                    <w:snapToGrid/>
                    <w:szCs w:val="18"/>
                  </w:rPr>
                  <m:t>=</m:t>
                </m:r>
              </m:oMath>
            </m:oMathPara>
          </w:p>
        </w:tc>
        <w:tc>
          <w:tcPr>
            <w:tcW w:w="2450" w:type="dxa"/>
            <w:tcBorders>
              <w:top w:val="nil"/>
              <w:left w:val="nil"/>
              <w:bottom w:val="single" w:sz="4" w:space="0" w:color="auto"/>
            </w:tcBorders>
            <w:vAlign w:val="center"/>
          </w:tcPr>
          <w:p w:rsidR="00E93E69" w:rsidRPr="00E93E69" w:rsidP="00E93E69">
            <w:pPr>
              <w:pStyle w:val="Normal5"/>
              <w:widowControl/>
              <w:tabs>
                <w:tab w:val="left" w:pos="450"/>
              </w:tabs>
              <w:jc w:val="center"/>
              <w:rPr>
                <w:rStyle w:val="DefaultParagraphFont"/>
                <w:rFonts w:ascii="Calibri" w:hAnsi="Calibri"/>
                <w:snapToGrid/>
                <w:sz w:val="18"/>
                <w:szCs w:val="18"/>
              </w:rPr>
            </w:pPr>
            <m:oMathPara>
              <m:oMath>
                <m:nary>
                  <m:naryPr>
                    <m:chr m:val="∑"/>
                    <m:limLoc m:val="undOvr"/>
                    <m:supHide/>
                    <m:ctrlPr>
                      <w:rPr>
                        <w:rStyle w:val="DefaultParagraphFont"/>
                        <w:rFonts w:ascii="Cambria Math" w:hAnsi="Cambria Math"/>
                        <w:i/>
                        <w:snapToGrid/>
                        <w:sz w:val="18"/>
                        <w:szCs w:val="18"/>
                      </w:rPr>
                    </m:ctrlPr>
                  </m:naryPr>
                  <m:sub>
                    <m:ctrlPr>
                      <w:rPr>
                        <w:rStyle w:val="DefaultParagraphFont"/>
                      </w:rPr>
                    </m:ctrlPr>
                    <m:r>
                      <w:rPr>
                        <w:rStyle w:val="DefaultParagraphFont"/>
                        <w:rFonts w:ascii="Cambria Math" w:hAnsi="Cambria Math"/>
                        <w:snapToGrid/>
                        <w:sz w:val="18"/>
                        <w:szCs w:val="18"/>
                      </w:rPr>
                      <m:t>a</m:t>
                    </m:r>
                    <m:r>
                      <w:rPr>
                        <w:rStyle w:val="DefaultParagraphFont"/>
                        <w:rFonts w:ascii="Cambria Math" w:hAnsi="Cambria Math"/>
                        <w:snapToGrid/>
                        <w:sz w:val="18"/>
                        <w:szCs w:val="18"/>
                      </w:rPr>
                      <m:t>∈</m:t>
                    </m:r>
                    <m:r>
                      <w:rPr>
                        <w:rStyle w:val="DefaultParagraphFont"/>
                        <w:rFonts w:ascii="Cambria Math" w:hAnsi="Cambria Math"/>
                        <w:snapToGrid/>
                        <w:sz w:val="18"/>
                        <w:szCs w:val="18"/>
                      </w:rPr>
                      <m:t>A</m:t>
                    </m:r>
                  </m:sub>
                  <m:sup>
                    <m:ctrlPr>
                      <w:rPr>
                        <w:rStyle w:val="DefaultParagraphFont"/>
                      </w:rPr>
                    </m:ctrlPr>
                  </m:sup>
                  <m:e>
                    <m:ctrlPr>
                      <w:rPr>
                        <w:rStyle w:val="DefaultParagraphFont"/>
                      </w:rPr>
                    </m:ctrlPr>
                    <m:d>
                      <m:dPr>
                        <m:ctrlPr>
                          <w:rPr>
                            <w:rStyle w:val="DefaultParagraphFont"/>
                            <w:rFonts w:ascii="Cambria Math" w:hAnsi="Cambria Math"/>
                            <w:i/>
                            <w:snapToGrid/>
                            <w:sz w:val="18"/>
                            <w:szCs w:val="18"/>
                          </w:rPr>
                        </m:ctrlPr>
                      </m:dPr>
                      <m:e>
                        <m:ctrlPr>
                          <w:rPr>
                            <w:rStyle w:val="DefaultParagraphFont"/>
                          </w:rPr>
                        </m:ctrlPr>
                        <m:sSub>
                          <m:sSubPr>
                            <m:ctrlPr>
                              <w:rPr>
                                <w:rStyle w:val="DefaultParagraphFont"/>
                                <w:rFonts w:ascii="Cambria Math" w:hAnsi="Cambria Math"/>
                                <w:i/>
                                <w:snapToGrid/>
                                <w:sz w:val="18"/>
                                <w:szCs w:val="18"/>
                              </w:rPr>
                            </m:ctrlPr>
                          </m:sSubPr>
                          <m:e>
                            <m:ctrlPr>
                              <w:rPr>
                                <w:rStyle w:val="DefaultParagraphFont"/>
                              </w:rPr>
                            </m:ctrlPr>
                            <m:r>
                              <m:rPr>
                                <m:sty m:val="p"/>
                              </m:rPr>
                              <w:rPr>
                                <w:rStyle w:val="DefaultParagraphFont"/>
                                <w:rFonts w:ascii="Cambria Math" w:hAnsi="Cambria Math"/>
                                <w:snapToGrid/>
                                <w:sz w:val="18"/>
                                <w:szCs w:val="18"/>
                              </w:rPr>
                              <m:t>Interface Revenue</m:t>
                            </m:r>
                          </m:e>
                          <m:sub>
                            <m:ctrlPr>
                              <w:rPr>
                                <w:rStyle w:val="DefaultParagraphFont"/>
                              </w:rPr>
                            </m:ctrlPr>
                            <m:r>
                              <w:rPr>
                                <w:rStyle w:val="DefaultParagraphFont"/>
                                <w:rFonts w:ascii="Cambria Math" w:hAnsi="Cambria Math"/>
                                <w:snapToGrid/>
                                <w:sz w:val="18"/>
                                <w:szCs w:val="18"/>
                              </w:rPr>
                              <m:t>t</m:t>
                            </m:r>
                            <m:r>
                              <w:rPr>
                                <w:rStyle w:val="DefaultParagraphFont"/>
                                <w:rFonts w:ascii="Cambria Math" w:hAnsi="Cambria Math"/>
                                <w:snapToGrid/>
                                <w:sz w:val="18"/>
                                <w:szCs w:val="18"/>
                              </w:rPr>
                              <m:t xml:space="preserve">, </m:t>
                            </m:r>
                            <m:r>
                              <w:rPr>
                                <w:rStyle w:val="DefaultParagraphFont"/>
                                <w:rFonts w:ascii="Cambria Math" w:hAnsi="Cambria Math"/>
                                <w:snapToGrid/>
                                <w:sz w:val="18"/>
                                <w:szCs w:val="18"/>
                              </w:rPr>
                              <m:t>j</m:t>
                            </m:r>
                            <m:r>
                              <w:rPr>
                                <w:rStyle w:val="DefaultParagraphFont"/>
                                <w:rFonts w:ascii="Cambria Math" w:hAnsi="Cambria Math"/>
                                <w:snapToGrid/>
                                <w:sz w:val="18"/>
                                <w:szCs w:val="18"/>
                              </w:rPr>
                              <m:t xml:space="preserve">, </m:t>
                            </m:r>
                            <m:r>
                              <w:rPr>
                                <w:rStyle w:val="DefaultParagraphFont"/>
                                <w:rFonts w:ascii="Cambria Math" w:hAnsi="Cambria Math"/>
                                <w:snapToGrid/>
                                <w:sz w:val="18"/>
                                <w:szCs w:val="18"/>
                              </w:rPr>
                              <m:t>a</m:t>
                            </m:r>
                          </m:sub>
                        </m:sSub>
                      </m:e>
                    </m:d>
                  </m:e>
                </m:nary>
              </m:oMath>
            </m:oMathPara>
          </w:p>
        </w:tc>
      </w:tr>
      <w:tr w:rsidTr="00E93E69">
        <w:tblPrEx>
          <w:tblW w:w="0" w:type="auto"/>
          <w:jc w:val="center"/>
          <w:tblLayout w:type="fixed"/>
          <w:tblLook w:val="04A0"/>
        </w:tblPrEx>
        <w:trPr>
          <w:jc w:val="center"/>
        </w:trPr>
        <w:tc>
          <w:tcPr>
            <w:tcW w:w="2268" w:type="dxa"/>
            <w:vMerge/>
            <w:tcBorders>
              <w:right w:val="nil"/>
            </w:tcBorders>
            <w:vAlign w:val="center"/>
          </w:tcPr>
          <w:p w:rsidR="00E93E69" w:rsidRPr="00E93E69" w:rsidP="00E93E69">
            <w:pPr>
              <w:pStyle w:val="Normal5"/>
              <w:widowControl/>
              <w:tabs>
                <w:tab w:val="left" w:pos="450"/>
              </w:tabs>
              <w:jc w:val="center"/>
              <w:rPr>
                <w:rStyle w:val="DefaultParagraphFont"/>
                <w:rFonts w:ascii="Calibri" w:hAnsi="Calibri"/>
                <w:snapToGrid/>
                <w:szCs w:val="18"/>
              </w:rPr>
            </w:pPr>
          </w:p>
        </w:tc>
        <w:tc>
          <w:tcPr>
            <w:tcW w:w="2450" w:type="dxa"/>
            <w:tcBorders>
              <w:top w:val="single" w:sz="4" w:space="0" w:color="auto"/>
              <w:left w:val="nil"/>
              <w:bottom w:val="nil"/>
            </w:tcBorders>
          </w:tcPr>
          <w:p w:rsidR="00E93E69" w:rsidRPr="00E93E69" w:rsidP="00E93E69">
            <w:pPr>
              <w:pStyle w:val="Normal5"/>
              <w:widowControl/>
              <w:tabs>
                <w:tab w:val="left" w:pos="450"/>
              </w:tabs>
              <w:rPr>
                <w:rStyle w:val="DefaultParagraphFont"/>
                <w:snapToGrid/>
                <w:sz w:val="18"/>
                <w:szCs w:val="18"/>
              </w:rPr>
            </w:pPr>
            <m:oMathPara>
              <m:oMath>
                <m:nary>
                  <m:naryPr>
                    <m:chr m:val="∑"/>
                    <m:limLoc m:val="undOvr"/>
                    <m:supHide/>
                    <m:ctrlPr>
                      <w:rPr>
                        <w:rStyle w:val="DefaultParagraphFont"/>
                        <w:rFonts w:ascii="Cambria Math" w:hAnsi="Cambria Math"/>
                        <w:i/>
                        <w:snapToGrid/>
                        <w:sz w:val="18"/>
                        <w:szCs w:val="18"/>
                      </w:rPr>
                    </m:ctrlPr>
                  </m:naryPr>
                  <m:sub>
                    <m:ctrlPr>
                      <w:rPr>
                        <w:rStyle w:val="DefaultParagraphFont"/>
                      </w:rPr>
                    </m:ctrlPr>
                    <m:eqArr>
                      <m:eqArrPr>
                        <m:ctrlPr>
                          <w:rPr>
                            <w:rStyle w:val="DefaultParagraphFont"/>
                            <w:rFonts w:ascii="Cambria Math" w:hAnsi="Cambria Math"/>
                            <w:i/>
                            <w:snapToGrid/>
                            <w:sz w:val="18"/>
                            <w:szCs w:val="18"/>
                          </w:rPr>
                        </m:ctrlPr>
                      </m:eqArrPr>
                      <m:e>
                        <m:ctrlPr>
                          <w:rPr>
                            <w:rStyle w:val="DefaultParagraphFont"/>
                          </w:rPr>
                        </m:ctrlPr>
                        <m:r>
                          <w:rPr>
                            <w:rStyle w:val="DefaultParagraphFont"/>
                            <w:rFonts w:ascii="Cambria Math" w:hAnsi="Cambria Math"/>
                            <w:snapToGrid/>
                            <w:sz w:val="18"/>
                            <w:szCs w:val="18"/>
                          </w:rPr>
                          <m:t>t</m:t>
                        </m:r>
                        <m:r>
                          <w:rPr>
                            <w:rStyle w:val="DefaultParagraphFont"/>
                            <w:rFonts w:ascii="Cambria Math" w:hAnsi="Cambria Math"/>
                            <w:snapToGrid/>
                            <w:sz w:val="18"/>
                            <w:szCs w:val="18"/>
                          </w:rPr>
                          <m:t>∈</m:t>
                        </m:r>
                        <m:r>
                          <w:rPr>
                            <w:rStyle w:val="DefaultParagraphFont"/>
                            <w:rFonts w:ascii="Cambria Math" w:hAnsi="Cambria Math"/>
                            <w:snapToGrid/>
                            <w:sz w:val="18"/>
                            <w:szCs w:val="18"/>
                          </w:rPr>
                          <m:t>T</m:t>
                        </m:r>
                      </m:e>
                      <m:e>
                        <m:ctrlPr>
                          <w:rPr>
                            <w:rStyle w:val="DefaultParagraphFont"/>
                          </w:rPr>
                        </m:ctrlPr>
                        <m:r>
                          <w:rPr>
                            <w:rStyle w:val="DefaultParagraphFont"/>
                            <w:rFonts w:ascii="Cambria Math" w:hAnsi="Cambria Math"/>
                            <w:snapToGrid/>
                            <w:sz w:val="18"/>
                            <w:szCs w:val="18"/>
                          </w:rPr>
                          <m:t>a</m:t>
                        </m:r>
                        <m:r>
                          <w:rPr>
                            <w:rStyle w:val="DefaultParagraphFont"/>
                            <w:rFonts w:ascii="Cambria Math" w:hAnsi="Cambria Math"/>
                            <w:snapToGrid/>
                            <w:sz w:val="18"/>
                            <w:szCs w:val="18"/>
                          </w:rPr>
                          <m:t>∈</m:t>
                        </m:r>
                        <m:r>
                          <w:rPr>
                            <w:rStyle w:val="DefaultParagraphFont"/>
                            <w:rFonts w:ascii="Cambria Math" w:hAnsi="Cambria Math"/>
                            <w:snapToGrid/>
                            <w:sz w:val="18"/>
                            <w:szCs w:val="18"/>
                          </w:rPr>
                          <m:t>A</m:t>
                        </m:r>
                      </m:e>
                    </m:eqArr>
                  </m:sub>
                  <m:sup>
                    <m:ctrlPr>
                      <w:rPr>
                        <w:rStyle w:val="DefaultParagraphFont"/>
                      </w:rPr>
                    </m:ctrlPr>
                  </m:sup>
                  <m:e>
                    <m:ctrlPr>
                      <w:rPr>
                        <w:rStyle w:val="DefaultParagraphFont"/>
                      </w:rPr>
                    </m:ctrlPr>
                    <m:d>
                      <m:dPr>
                        <m:ctrlPr>
                          <w:rPr>
                            <w:rStyle w:val="DefaultParagraphFont"/>
                            <w:rFonts w:ascii="Cambria Math" w:hAnsi="Cambria Math"/>
                            <w:i/>
                            <w:snapToGrid/>
                            <w:sz w:val="18"/>
                            <w:szCs w:val="18"/>
                          </w:rPr>
                        </m:ctrlPr>
                      </m:dPr>
                      <m:e>
                        <m:ctrlPr>
                          <w:rPr>
                            <w:rStyle w:val="DefaultParagraphFont"/>
                          </w:rPr>
                        </m:ctrlPr>
                        <m:sSub>
                          <m:sSubPr>
                            <m:ctrlPr>
                              <w:rPr>
                                <w:rStyle w:val="DefaultParagraphFont"/>
                                <w:rFonts w:ascii="Cambria Math" w:hAnsi="Cambria Math"/>
                                <w:i/>
                                <w:snapToGrid/>
                                <w:sz w:val="18"/>
                                <w:szCs w:val="18"/>
                              </w:rPr>
                            </m:ctrlPr>
                          </m:sSubPr>
                          <m:e>
                            <m:ctrlPr>
                              <w:rPr>
                                <w:rStyle w:val="DefaultParagraphFont"/>
                              </w:rPr>
                            </m:ctrlPr>
                            <m:r>
                              <m:rPr>
                                <m:sty m:val="p"/>
                              </m:rPr>
                              <w:rPr>
                                <w:rStyle w:val="DefaultParagraphFont"/>
                                <w:rFonts w:ascii="Cambria Math" w:hAnsi="Cambria Math"/>
                                <w:snapToGrid/>
                                <w:sz w:val="18"/>
                                <w:szCs w:val="18"/>
                              </w:rPr>
                              <m:t>Interface Revenue</m:t>
                            </m:r>
                          </m:e>
                          <m:sub>
                            <m:ctrlPr>
                              <w:rPr>
                                <w:rStyle w:val="DefaultParagraphFont"/>
                              </w:rPr>
                            </m:ctrlPr>
                            <m:r>
                              <w:rPr>
                                <w:rStyle w:val="DefaultParagraphFont"/>
                                <w:rFonts w:ascii="Cambria Math" w:hAnsi="Cambria Math"/>
                                <w:snapToGrid/>
                                <w:sz w:val="18"/>
                                <w:szCs w:val="18"/>
                              </w:rPr>
                              <m:t>t</m:t>
                            </m:r>
                            <m:r>
                              <w:rPr>
                                <w:rStyle w:val="DefaultParagraphFont"/>
                                <w:rFonts w:ascii="Cambria Math" w:hAnsi="Cambria Math"/>
                                <w:snapToGrid/>
                                <w:sz w:val="18"/>
                                <w:szCs w:val="18"/>
                              </w:rPr>
                              <m:t xml:space="preserve">, </m:t>
                            </m:r>
                            <m:r>
                              <w:rPr>
                                <w:rStyle w:val="DefaultParagraphFont"/>
                                <w:rFonts w:ascii="Cambria Math" w:hAnsi="Cambria Math"/>
                                <w:snapToGrid/>
                                <w:sz w:val="18"/>
                                <w:szCs w:val="18"/>
                              </w:rPr>
                              <m:t>j</m:t>
                            </m:r>
                            <m:r>
                              <w:rPr>
                                <w:rStyle w:val="DefaultParagraphFont"/>
                                <w:rFonts w:ascii="Cambria Math" w:hAnsi="Cambria Math"/>
                                <w:snapToGrid/>
                                <w:sz w:val="18"/>
                                <w:szCs w:val="18"/>
                              </w:rPr>
                              <m:t xml:space="preserve">, </m:t>
                            </m:r>
                            <m:r>
                              <w:rPr>
                                <w:rStyle w:val="DefaultParagraphFont"/>
                                <w:rFonts w:ascii="Cambria Math" w:hAnsi="Cambria Math"/>
                                <w:snapToGrid/>
                                <w:sz w:val="18"/>
                                <w:szCs w:val="18"/>
                              </w:rPr>
                              <m:t>a</m:t>
                            </m:r>
                          </m:sub>
                        </m:sSub>
                      </m:e>
                    </m:d>
                  </m:e>
                </m:nary>
              </m:oMath>
            </m:oMathPara>
          </w:p>
        </w:tc>
      </w:tr>
    </w:tbl>
    <w:p w:rsidR="00E93E69" w:rsidP="003B277C">
      <w:pPr>
        <w:pStyle w:val="Normal5"/>
        <w:keepNext/>
        <w:spacing w:before="120"/>
        <w:ind w:left="1440"/>
        <w:rPr>
          <w:rStyle w:val="DefaultParagraphFont"/>
        </w:rPr>
      </w:pPr>
    </w:p>
    <w:p w:rsidR="00E93E69" w:rsidP="003B277C">
      <w:pPr>
        <w:pStyle w:val="Normal5"/>
        <w:keepNext/>
        <w:spacing w:before="120"/>
        <w:ind w:left="1440"/>
        <w:rPr>
          <w:rStyle w:val="DefaultParagraphFont"/>
        </w:rPr>
      </w:pPr>
    </w:p>
    <w:p w:rsidR="00E93E69" w:rsidP="003B277C">
      <w:pPr>
        <w:pStyle w:val="Normal5"/>
        <w:keepNext/>
        <w:spacing w:before="120"/>
        <w:ind w:left="3600" w:hanging="2160"/>
        <w:rPr>
          <w:rStyle w:val="DefaultParagraphFont"/>
        </w:rPr>
      </w:pPr>
    </w:p>
    <w:p w:rsidR="003B277C" w:rsidP="008D2015">
      <w:pPr>
        <w:pStyle w:val="Normal5"/>
        <w:keepNext/>
        <w:spacing w:before="120"/>
        <w:rPr>
          <w:rStyle w:val="DefaultParagraphFont"/>
        </w:rPr>
      </w:pPr>
      <w:r>
        <w:rPr>
          <w:rStyle w:val="DefaultParagraphFont"/>
        </w:rPr>
        <w:tab/>
        <w:t>Where,</w:t>
      </w:r>
    </w:p>
    <w:tbl>
      <w:tblPr>
        <w:tblStyle w:val="TableNormal"/>
        <w:tblW w:w="0" w:type="auto"/>
        <w:tblInd w:w="288" w:type="dxa"/>
        <w:tblLayout w:type="fixed"/>
        <w:tblLook w:val="0000"/>
      </w:tblPr>
      <w:tblGrid>
        <w:gridCol w:w="2520"/>
        <w:gridCol w:w="270"/>
        <w:gridCol w:w="6498"/>
      </w:tblGrid>
      <w:tr w:rsidTr="00901AFB">
        <w:tblPrEx>
          <w:tblW w:w="0" w:type="auto"/>
          <w:tblInd w:w="288" w:type="dxa"/>
          <w:tblLayout w:type="fixed"/>
          <w:tblLook w:val="0000"/>
        </w:tblPrEx>
        <w:tc>
          <w:tcPr>
            <w:tcW w:w="2520" w:type="dxa"/>
          </w:tcPr>
          <w:p w:rsidR="003B277C" w:rsidP="003B277C">
            <w:pPr>
              <w:pStyle w:val="Normal5"/>
              <w:keepNext/>
              <w:spacing w:before="120"/>
              <w:rPr>
                <w:rStyle w:val="DefaultParagraphFont"/>
              </w:rPr>
            </w:pPr>
            <w:r>
              <w:rPr>
                <w:rStyle w:val="DefaultParagraphFont"/>
              </w:rPr>
              <w:t>Allocation Factor</w:t>
            </w:r>
            <w:r>
              <w:rPr>
                <w:rStyle w:val="DefaultParagraphFont"/>
                <w:vertAlign w:val="subscript"/>
              </w:rPr>
              <w:t>t,j</w:t>
            </w:r>
            <w:r>
              <w:rPr>
                <w:rStyle w:val="DefaultParagraphFont"/>
              </w:rPr>
              <w:t xml:space="preserve"> </w:t>
            </w:r>
          </w:p>
        </w:tc>
        <w:tc>
          <w:tcPr>
            <w:tcW w:w="270" w:type="dxa"/>
          </w:tcPr>
          <w:p w:rsidR="003B277C" w:rsidP="003B277C">
            <w:pPr>
              <w:pStyle w:val="Normal5"/>
              <w:keepNext/>
              <w:spacing w:before="120"/>
              <w:rPr>
                <w:rStyle w:val="DefaultParagraphFont"/>
              </w:rPr>
            </w:pPr>
            <w:r>
              <w:rPr>
                <w:rStyle w:val="DefaultParagraphFont"/>
              </w:rPr>
              <w:t>=</w:t>
            </w:r>
          </w:p>
        </w:tc>
        <w:tc>
          <w:tcPr>
            <w:tcW w:w="6498" w:type="dxa"/>
          </w:tcPr>
          <w:p w:rsidR="003B277C" w:rsidP="00507531">
            <w:pPr>
              <w:pStyle w:val="Normal5"/>
              <w:keepNext/>
              <w:spacing w:before="120"/>
              <w:rPr>
                <w:rStyle w:val="DefaultParagraphFont"/>
              </w:rPr>
            </w:pPr>
            <w:r>
              <w:rPr>
                <w:rStyle w:val="DefaultParagraphFont"/>
              </w:rPr>
              <w:t xml:space="preserve">The allocation factor used by the ISO to allocate a share of RCRRs between Load Zone pair </w:t>
            </w:r>
            <w:r>
              <w:rPr>
                <w:rStyle w:val="DefaultParagraphFont"/>
                <w:i/>
                <w:iCs/>
              </w:rPr>
              <w:t>j</w:t>
            </w:r>
            <w:r>
              <w:rPr>
                <w:rStyle w:val="DefaultParagraphFont"/>
              </w:rPr>
              <w:t xml:space="preserve"> to </w:t>
            </w:r>
            <w:r>
              <w:rPr>
                <w:rStyle w:val="DefaultParagraphFont"/>
              </w:rPr>
              <w:t>Member System</w:t>
            </w:r>
            <w:r>
              <w:rPr>
                <w:rStyle w:val="DefaultParagraphFont"/>
              </w:rPr>
              <w:t xml:space="preserve"> </w:t>
            </w:r>
            <w:r>
              <w:rPr>
                <w:rStyle w:val="DefaultParagraphFont"/>
                <w:i/>
                <w:iCs/>
              </w:rPr>
              <w:t xml:space="preserve">t </w:t>
            </w:r>
            <w:r>
              <w:rPr>
                <w:rStyle w:val="DefaultParagraphFont"/>
              </w:rPr>
              <w:t>for a Centralized TCC Auction</w:t>
            </w:r>
          </w:p>
        </w:tc>
      </w:tr>
      <w:tr w:rsidTr="00901AFB">
        <w:tblPrEx>
          <w:tblW w:w="0" w:type="auto"/>
          <w:tblInd w:w="288" w:type="dxa"/>
          <w:tblLayout w:type="fixed"/>
          <w:tblLook w:val="0000"/>
        </w:tblPrEx>
        <w:tc>
          <w:tcPr>
            <w:tcW w:w="2520" w:type="dxa"/>
          </w:tcPr>
          <w:p w:rsidR="003B277C" w:rsidP="003B277C">
            <w:pPr>
              <w:pStyle w:val="Normal5"/>
              <w:spacing w:before="120"/>
              <w:rPr>
                <w:rStyle w:val="DefaultParagraphFont"/>
                <w:lang w:val="fr-FR"/>
              </w:rPr>
            </w:pPr>
            <w:r>
              <w:rPr>
                <w:rStyle w:val="DefaultParagraphFont"/>
                <w:lang w:val="fr-FR"/>
              </w:rPr>
              <w:t>Interface Revenue</w:t>
            </w:r>
            <w:r>
              <w:rPr>
                <w:rStyle w:val="DefaultParagraphFont"/>
                <w:vertAlign w:val="subscript"/>
                <w:lang w:val="fr-FR"/>
              </w:rPr>
              <w:t>t,j,a</w:t>
            </w:r>
            <w:r>
              <w:rPr>
                <w:rStyle w:val="DefaultParagraphFont"/>
                <w:lang w:val="fr-FR"/>
              </w:rPr>
              <w:t xml:space="preserve"> </w:t>
            </w:r>
          </w:p>
        </w:tc>
        <w:tc>
          <w:tcPr>
            <w:tcW w:w="270" w:type="dxa"/>
          </w:tcPr>
          <w:p w:rsidR="003B277C" w:rsidP="003B277C">
            <w:pPr>
              <w:pStyle w:val="Normal5"/>
              <w:spacing w:before="120"/>
              <w:rPr>
                <w:rStyle w:val="DefaultParagraphFont"/>
              </w:rPr>
            </w:pPr>
            <w:r>
              <w:rPr>
                <w:rStyle w:val="DefaultParagraphFont"/>
              </w:rPr>
              <w:t>=</w:t>
            </w:r>
          </w:p>
        </w:tc>
        <w:tc>
          <w:tcPr>
            <w:tcW w:w="6498" w:type="dxa"/>
          </w:tcPr>
          <w:p w:rsidR="003B277C" w:rsidRPr="00493CFC" w:rsidP="00507531">
            <w:pPr>
              <w:pStyle w:val="Normal5"/>
              <w:spacing w:before="120"/>
              <w:rPr>
                <w:rStyle w:val="DefaultParagraphFont"/>
              </w:rPr>
            </w:pPr>
            <w:r w:rsidRPr="00493CFC">
              <w:rPr>
                <w:rStyle w:val="DefaultParagraphFont"/>
              </w:rPr>
              <w:t xml:space="preserve">The revenue from the sale of TCCs (excluding those TCCs for which revenue is allocated to a </w:t>
            </w:r>
            <w:r>
              <w:rPr>
                <w:rStyle w:val="DefaultParagraphFont"/>
              </w:rPr>
              <w:t>Member System</w:t>
            </w:r>
            <w:r w:rsidRPr="00493CFC">
              <w:rPr>
                <w:rStyle w:val="DefaultParagraphFont"/>
              </w:rPr>
              <w:t xml:space="preserve"> pursuant to Sections </w:t>
            </w:r>
            <w:r>
              <w:rPr>
                <w:rStyle w:val="DefaultParagraphFont"/>
              </w:rPr>
              <w:t>20.</w:t>
            </w:r>
            <w:r w:rsidRPr="00493CFC">
              <w:rPr>
                <w:rStyle w:val="DefaultParagraphFont"/>
              </w:rPr>
              <w:t xml:space="preserve">3.3 through </w:t>
            </w:r>
            <w:r>
              <w:rPr>
                <w:rStyle w:val="DefaultParagraphFont"/>
              </w:rPr>
              <w:t>20.</w:t>
            </w:r>
            <w:r w:rsidRPr="00493CFC">
              <w:rPr>
                <w:rStyle w:val="DefaultParagraphFont"/>
              </w:rPr>
              <w:t xml:space="preserve">3.5 of Attachment N) associated with the Interface between Load Zone pair </w:t>
            </w:r>
            <w:r w:rsidRPr="00493CFC">
              <w:rPr>
                <w:rStyle w:val="DefaultParagraphFont"/>
                <w:i/>
                <w:iCs/>
              </w:rPr>
              <w:t xml:space="preserve">j </w:t>
            </w:r>
            <w:r w:rsidRPr="00493CFC">
              <w:rPr>
                <w:rStyle w:val="DefaultParagraphFont"/>
              </w:rPr>
              <w:t xml:space="preserve">in Centralized TCC Auction </w:t>
            </w:r>
            <w:r w:rsidRPr="00493CFC">
              <w:rPr>
                <w:rStyle w:val="DefaultParagraphFont"/>
                <w:i/>
                <w:iCs/>
              </w:rPr>
              <w:t>a</w:t>
            </w:r>
            <w:r w:rsidRPr="00493CFC">
              <w:rPr>
                <w:rStyle w:val="DefaultParagraphFont"/>
              </w:rPr>
              <w:t xml:space="preserve"> assign</w:t>
            </w:r>
            <w:r w:rsidRPr="00493CFC">
              <w:rPr>
                <w:rStyle w:val="DefaultParagraphFont"/>
              </w:rPr>
              <w:t xml:space="preserve">ed to </w:t>
            </w:r>
            <w:r>
              <w:rPr>
                <w:rStyle w:val="DefaultParagraphFont"/>
              </w:rPr>
              <w:t>Member System</w:t>
            </w:r>
            <w:r w:rsidRPr="00493CFC">
              <w:rPr>
                <w:rStyle w:val="DefaultParagraphFont"/>
              </w:rPr>
              <w:t xml:space="preserve"> </w:t>
            </w:r>
            <w:r w:rsidRPr="00493CFC">
              <w:rPr>
                <w:rStyle w:val="DefaultParagraphFont"/>
                <w:i/>
                <w:iCs/>
              </w:rPr>
              <w:t>t</w:t>
            </w:r>
          </w:p>
        </w:tc>
      </w:tr>
    </w:tbl>
    <w:p w:rsidR="003B277C" w:rsidP="003B277C">
      <w:pPr>
        <w:pStyle w:val="Normal5"/>
        <w:rPr>
          <w:rStyle w:val="DefaultParagraphFont"/>
        </w:rPr>
      </w:pPr>
    </w:p>
    <w:p w:rsidR="003B277C" w:rsidP="003B277C">
      <w:pPr>
        <w:pStyle w:val="Normal5"/>
        <w:rPr>
          <w:rStyle w:val="DefaultParagraphFont"/>
        </w:rPr>
      </w:pPr>
    </w:p>
    <w:tbl>
      <w:tblPr>
        <w:tblStyle w:val="TableNormal"/>
        <w:tblW w:w="0" w:type="auto"/>
        <w:tblInd w:w="1458" w:type="dxa"/>
        <w:tblLayout w:type="fixed"/>
        <w:tblLook w:val="0000"/>
      </w:tblPr>
      <w:tblGrid>
        <w:gridCol w:w="1260"/>
        <w:gridCol w:w="270"/>
        <w:gridCol w:w="6588"/>
      </w:tblGrid>
      <w:tr w:rsidTr="003B277C">
        <w:tblPrEx>
          <w:tblW w:w="0" w:type="auto"/>
          <w:tblInd w:w="1458" w:type="dxa"/>
          <w:tblLayout w:type="fixed"/>
          <w:tblLook w:val="0000"/>
        </w:tblPrEx>
        <w:tc>
          <w:tcPr>
            <w:tcW w:w="1260" w:type="dxa"/>
          </w:tcPr>
          <w:p w:rsidR="003B277C" w:rsidP="003B277C">
            <w:pPr>
              <w:pStyle w:val="Normal5"/>
              <w:spacing w:before="120"/>
              <w:rPr>
                <w:rStyle w:val="DefaultParagraphFont"/>
              </w:rPr>
            </w:pPr>
            <w:r>
              <w:rPr>
                <w:rStyle w:val="DefaultParagraphFont"/>
              </w:rPr>
              <w:t>t</w:t>
            </w:r>
          </w:p>
        </w:tc>
        <w:tc>
          <w:tcPr>
            <w:tcW w:w="270" w:type="dxa"/>
          </w:tcPr>
          <w:p w:rsidR="003B277C" w:rsidP="003B277C">
            <w:pPr>
              <w:pStyle w:val="Normal5"/>
              <w:spacing w:before="120"/>
              <w:rPr>
                <w:rStyle w:val="DefaultParagraphFont"/>
              </w:rPr>
            </w:pPr>
            <w:r>
              <w:rPr>
                <w:rStyle w:val="DefaultParagraphFont"/>
              </w:rPr>
              <w:t>=</w:t>
            </w:r>
          </w:p>
        </w:tc>
        <w:tc>
          <w:tcPr>
            <w:tcW w:w="6588" w:type="dxa"/>
          </w:tcPr>
          <w:p w:rsidR="003B277C" w:rsidP="00507531">
            <w:pPr>
              <w:pStyle w:val="Normal5"/>
              <w:spacing w:before="120"/>
              <w:rPr>
                <w:rStyle w:val="DefaultParagraphFont"/>
              </w:rPr>
            </w:pPr>
            <w:r>
              <w:rPr>
                <w:rStyle w:val="DefaultParagraphFont"/>
              </w:rPr>
              <w:t xml:space="preserve">A </w:t>
            </w:r>
            <w:r>
              <w:rPr>
                <w:rStyle w:val="DefaultParagraphFont"/>
              </w:rPr>
              <w:t>Member System</w:t>
            </w:r>
          </w:p>
        </w:tc>
      </w:tr>
      <w:tr w:rsidTr="003B277C">
        <w:tblPrEx>
          <w:tblW w:w="0" w:type="auto"/>
          <w:tblInd w:w="1458" w:type="dxa"/>
          <w:tblLayout w:type="fixed"/>
          <w:tblLook w:val="0000"/>
        </w:tblPrEx>
        <w:tc>
          <w:tcPr>
            <w:tcW w:w="1260" w:type="dxa"/>
          </w:tcPr>
          <w:p w:rsidR="003B277C" w:rsidP="003B277C">
            <w:pPr>
              <w:pStyle w:val="Normal5"/>
              <w:spacing w:before="120"/>
              <w:rPr>
                <w:rStyle w:val="DefaultParagraphFont"/>
              </w:rPr>
            </w:pPr>
            <w:r>
              <w:rPr>
                <w:rStyle w:val="DefaultParagraphFont"/>
              </w:rPr>
              <w:t>T</w:t>
            </w:r>
          </w:p>
        </w:tc>
        <w:tc>
          <w:tcPr>
            <w:tcW w:w="270" w:type="dxa"/>
          </w:tcPr>
          <w:p w:rsidR="003B277C" w:rsidP="003B277C">
            <w:pPr>
              <w:pStyle w:val="Normal5"/>
              <w:spacing w:before="120"/>
              <w:rPr>
                <w:rStyle w:val="DefaultParagraphFont"/>
              </w:rPr>
            </w:pPr>
            <w:r>
              <w:rPr>
                <w:rStyle w:val="DefaultParagraphFont"/>
              </w:rPr>
              <w:t>=</w:t>
            </w:r>
          </w:p>
        </w:tc>
        <w:tc>
          <w:tcPr>
            <w:tcW w:w="6588" w:type="dxa"/>
          </w:tcPr>
          <w:p w:rsidR="003B277C" w:rsidP="00507531">
            <w:pPr>
              <w:pStyle w:val="Normal5"/>
              <w:spacing w:before="120"/>
              <w:rPr>
                <w:rStyle w:val="DefaultParagraphFont"/>
              </w:rPr>
            </w:pPr>
            <w:r>
              <w:rPr>
                <w:rStyle w:val="DefaultParagraphFont"/>
              </w:rPr>
              <w:t xml:space="preserve">The set of all </w:t>
            </w:r>
            <w:r>
              <w:rPr>
                <w:rStyle w:val="DefaultParagraphFont"/>
              </w:rPr>
              <w:t>Member Systems</w:t>
            </w:r>
          </w:p>
        </w:tc>
      </w:tr>
      <w:tr w:rsidTr="003B277C">
        <w:tblPrEx>
          <w:tblW w:w="0" w:type="auto"/>
          <w:tblInd w:w="1458" w:type="dxa"/>
          <w:tblLayout w:type="fixed"/>
          <w:tblLook w:val="0000"/>
        </w:tblPrEx>
        <w:tc>
          <w:tcPr>
            <w:tcW w:w="1260" w:type="dxa"/>
          </w:tcPr>
          <w:p w:rsidR="003B277C" w:rsidP="003B277C">
            <w:pPr>
              <w:pStyle w:val="Normal5"/>
              <w:spacing w:before="120"/>
              <w:rPr>
                <w:rStyle w:val="DefaultParagraphFont"/>
              </w:rPr>
            </w:pPr>
            <w:r>
              <w:rPr>
                <w:rStyle w:val="DefaultParagraphFont"/>
              </w:rPr>
              <w:t>a</w:t>
            </w:r>
          </w:p>
        </w:tc>
        <w:tc>
          <w:tcPr>
            <w:tcW w:w="270" w:type="dxa"/>
          </w:tcPr>
          <w:p w:rsidR="003B277C" w:rsidP="003B277C">
            <w:pPr>
              <w:pStyle w:val="Normal5"/>
              <w:spacing w:before="120"/>
              <w:rPr>
                <w:rStyle w:val="DefaultParagraphFont"/>
              </w:rPr>
            </w:pPr>
            <w:r>
              <w:rPr>
                <w:rStyle w:val="DefaultParagraphFont"/>
              </w:rPr>
              <w:t>=</w:t>
            </w:r>
          </w:p>
        </w:tc>
        <w:tc>
          <w:tcPr>
            <w:tcW w:w="6588" w:type="dxa"/>
          </w:tcPr>
          <w:p w:rsidR="003B277C" w:rsidP="003B277C">
            <w:pPr>
              <w:pStyle w:val="Normal5"/>
              <w:spacing w:before="120"/>
              <w:rPr>
                <w:rStyle w:val="DefaultParagraphFont"/>
              </w:rPr>
            </w:pPr>
            <w:r>
              <w:rPr>
                <w:rStyle w:val="DefaultParagraphFont"/>
              </w:rPr>
              <w:t>A Centralized TCC Auction</w:t>
            </w:r>
          </w:p>
        </w:tc>
      </w:tr>
      <w:tr w:rsidTr="003B277C">
        <w:tblPrEx>
          <w:tblW w:w="0" w:type="auto"/>
          <w:tblInd w:w="1458" w:type="dxa"/>
          <w:tblLayout w:type="fixed"/>
          <w:tblLook w:val="0000"/>
        </w:tblPrEx>
        <w:tc>
          <w:tcPr>
            <w:tcW w:w="1260" w:type="dxa"/>
          </w:tcPr>
          <w:p w:rsidR="003B277C" w:rsidP="003B277C">
            <w:pPr>
              <w:pStyle w:val="Normal5"/>
              <w:spacing w:before="120"/>
              <w:rPr>
                <w:rStyle w:val="DefaultParagraphFont"/>
              </w:rPr>
            </w:pPr>
            <w:r>
              <w:rPr>
                <w:rStyle w:val="DefaultParagraphFont"/>
              </w:rPr>
              <w:t>A</w:t>
            </w:r>
          </w:p>
        </w:tc>
        <w:tc>
          <w:tcPr>
            <w:tcW w:w="270" w:type="dxa"/>
          </w:tcPr>
          <w:p w:rsidR="003B277C" w:rsidP="003B277C">
            <w:pPr>
              <w:pStyle w:val="Normal5"/>
              <w:spacing w:before="120"/>
              <w:rPr>
                <w:rStyle w:val="DefaultParagraphFont"/>
              </w:rPr>
            </w:pPr>
            <w:r>
              <w:rPr>
                <w:rStyle w:val="DefaultParagraphFont"/>
              </w:rPr>
              <w:t>=</w:t>
            </w:r>
          </w:p>
        </w:tc>
        <w:tc>
          <w:tcPr>
            <w:tcW w:w="6588" w:type="dxa"/>
          </w:tcPr>
          <w:p w:rsidR="003B277C" w:rsidP="003B277C">
            <w:pPr>
              <w:pStyle w:val="Normal5"/>
              <w:spacing w:before="120"/>
              <w:rPr>
                <w:rStyle w:val="DefaultParagraphFont"/>
              </w:rPr>
            </w:pPr>
            <w:r>
              <w:rPr>
                <w:rStyle w:val="DefaultParagraphFont"/>
              </w:rPr>
              <w:t xml:space="preserve">The set of Centralized TCC Auctions beginning with the Centralized TCC Auction held for the 2000 Summer Capability Period and ending with </w:t>
            </w:r>
            <w:r>
              <w:rPr>
                <w:rStyle w:val="DefaultParagraphFont"/>
              </w:rPr>
              <w:t>the Centralized TCC Auction held for the 2003-2004 Winter Capability Period</w:t>
            </w:r>
          </w:p>
        </w:tc>
      </w:tr>
      <w:tr w:rsidTr="003B277C">
        <w:tblPrEx>
          <w:tblW w:w="0" w:type="auto"/>
          <w:tblInd w:w="1458" w:type="dxa"/>
          <w:tblLayout w:type="fixed"/>
          <w:tblLook w:val="0000"/>
        </w:tblPrEx>
        <w:tc>
          <w:tcPr>
            <w:tcW w:w="1260" w:type="dxa"/>
          </w:tcPr>
          <w:p w:rsidR="003B277C" w:rsidP="003B277C">
            <w:pPr>
              <w:pStyle w:val="Normal5"/>
              <w:spacing w:before="120"/>
              <w:rPr>
                <w:rStyle w:val="DefaultParagraphFont"/>
              </w:rPr>
            </w:pPr>
            <w:r>
              <w:rPr>
                <w:rStyle w:val="DefaultParagraphFont"/>
              </w:rPr>
              <w:t>j</w:t>
            </w:r>
          </w:p>
        </w:tc>
        <w:tc>
          <w:tcPr>
            <w:tcW w:w="270" w:type="dxa"/>
          </w:tcPr>
          <w:p w:rsidR="003B277C" w:rsidP="003B277C">
            <w:pPr>
              <w:pStyle w:val="Normal5"/>
              <w:spacing w:before="120"/>
              <w:rPr>
                <w:rStyle w:val="DefaultParagraphFont"/>
              </w:rPr>
            </w:pPr>
            <w:r>
              <w:rPr>
                <w:rStyle w:val="DefaultParagraphFont"/>
              </w:rPr>
              <w:t>=</w:t>
            </w:r>
          </w:p>
        </w:tc>
        <w:tc>
          <w:tcPr>
            <w:tcW w:w="6588" w:type="dxa"/>
          </w:tcPr>
          <w:p w:rsidR="003B277C" w:rsidP="003B277C">
            <w:pPr>
              <w:pStyle w:val="Normal5"/>
              <w:spacing w:before="120"/>
              <w:rPr>
                <w:rStyle w:val="DefaultParagraphFont"/>
              </w:rPr>
            </w:pPr>
            <w:r>
              <w:rPr>
                <w:rStyle w:val="DefaultParagraphFont"/>
              </w:rPr>
              <w:t>A Load Zone pair.</w:t>
            </w:r>
          </w:p>
        </w:tc>
      </w:tr>
    </w:tbl>
    <w:p w:rsidR="003B277C" w:rsidP="003B277C">
      <w:pPr>
        <w:pStyle w:val="Normal5"/>
        <w:ind w:left="720" w:firstLine="720"/>
        <w:rPr>
          <w:rStyle w:val="DefaultParagraphFont"/>
          <w:bCs/>
        </w:rPr>
      </w:pPr>
    </w:p>
    <w:p w:rsidR="003B277C" w:rsidRPr="00334B71" w:rsidP="003B277C">
      <w:pPr>
        <w:pStyle w:val="Bodypara3"/>
        <w:rPr>
          <w:rStyle w:val="DefaultParagraphFont"/>
        </w:rPr>
      </w:pPr>
      <w:r w:rsidRPr="00334B71">
        <w:rPr>
          <w:rStyle w:val="DefaultParagraphFont"/>
          <w:b/>
        </w:rPr>
        <w:t>19.</w:t>
      </w:r>
      <w:r w:rsidRPr="00334B71">
        <w:rPr>
          <w:rStyle w:val="DefaultParagraphFont"/>
          <w:b/>
          <w:bCs/>
        </w:rPr>
        <w:t>5.3</w:t>
      </w:r>
      <w:r w:rsidRPr="00334B71">
        <w:rPr>
          <w:rStyle w:val="DefaultParagraphFont"/>
        </w:rPr>
        <w:tab/>
        <w:t xml:space="preserve">Subject to the limitations set forth in Section 19.5.4 of this Attachment M, a </w:t>
      </w:r>
      <w:r>
        <w:rPr>
          <w:rStyle w:val="DefaultParagraphFont"/>
        </w:rPr>
        <w:t>Member System</w:t>
      </w:r>
      <w:r w:rsidRPr="00334B71">
        <w:rPr>
          <w:rStyle w:val="DefaultParagraphFont"/>
        </w:rPr>
        <w:t xml:space="preserve"> allocated an RCRR pursuant to Section 19.5.2 of this At</w:t>
      </w:r>
      <w:r w:rsidRPr="00334B71">
        <w:rPr>
          <w:rStyle w:val="DefaultParagraphFont"/>
        </w:rPr>
        <w:t xml:space="preserve">tachment M shall have a right prior to each Centralized TCC Auction to convert each RCRR into an RCRR TCC.  Each RCRR TCC will have a duration of 6 months and will have the same POW and POI as the RCRR from which it was converted.  If a </w:t>
      </w:r>
      <w:r>
        <w:rPr>
          <w:rStyle w:val="DefaultParagraphFont"/>
        </w:rPr>
        <w:t>Member System</w:t>
      </w:r>
      <w:r w:rsidRPr="00334B71">
        <w:rPr>
          <w:rStyle w:val="DefaultParagraphFont"/>
        </w:rPr>
        <w:t xml:space="preserve"> fails</w:t>
      </w:r>
      <w:r w:rsidRPr="00334B71">
        <w:rPr>
          <w:rStyle w:val="DefaultParagraphFont"/>
        </w:rPr>
        <w:t xml:space="preserve"> to exercise its right to convert an RCRR into an RCRR TCC in the manner and by the date specified in this Section </w:t>
      </w:r>
      <w:r w:rsidRPr="00334B71">
        <w:rPr>
          <w:rStyle w:val="DefaultParagraphFont"/>
          <w:bCs/>
        </w:rPr>
        <w:t>19.</w:t>
      </w:r>
      <w:r w:rsidRPr="00334B71">
        <w:rPr>
          <w:rStyle w:val="DefaultParagraphFont"/>
        </w:rPr>
        <w:t xml:space="preserve">5.0, the </w:t>
      </w:r>
      <w:r>
        <w:rPr>
          <w:rStyle w:val="DefaultParagraphFont"/>
        </w:rPr>
        <w:t>Member System</w:t>
      </w:r>
      <w:r w:rsidRPr="00334B71">
        <w:rPr>
          <w:rStyle w:val="DefaultParagraphFont"/>
        </w:rPr>
        <w:t xml:space="preserve"> shall forfeit the RCRR.  Each RCRR shall be valid only for the Centralized TCC Auction for which it was allocated.</w:t>
      </w:r>
    </w:p>
    <w:p w:rsidR="003B277C" w:rsidP="003B277C">
      <w:pPr>
        <w:pStyle w:val="Bodypara3"/>
        <w:rPr>
          <w:rStyle w:val="DefaultParagraphFont"/>
        </w:rPr>
      </w:pPr>
      <w:r w:rsidRPr="00334B71">
        <w:rPr>
          <w:rStyle w:val="DefaultParagraphFont"/>
          <w:b/>
        </w:rPr>
        <w:t>19.</w:t>
      </w:r>
      <w:r w:rsidRPr="00334B71">
        <w:rPr>
          <w:rStyle w:val="DefaultParagraphFont"/>
          <w:b/>
          <w:bCs/>
        </w:rPr>
        <w:t>5.4</w:t>
      </w:r>
      <w:r w:rsidRPr="00334B71">
        <w:rPr>
          <w:rStyle w:val="DefaultParagraphFont"/>
        </w:rPr>
        <w:tab/>
        <w:t xml:space="preserve">Notwithstanding any other provisions of this Section 19.5.0, a </w:t>
      </w:r>
      <w:r>
        <w:rPr>
          <w:rStyle w:val="DefaultParagraphFont"/>
        </w:rPr>
        <w:t>Member System</w:t>
      </w:r>
      <w:r w:rsidRPr="00334B71">
        <w:rPr>
          <w:rStyle w:val="DefaultParagraphFont"/>
        </w:rPr>
        <w:t xml:space="preserve"> shall not convert an amount greater than the Capacity Reservation Cap of the</w:t>
      </w:r>
      <w:r>
        <w:rPr>
          <w:rStyle w:val="DefaultParagraphFont"/>
        </w:rPr>
        <w:t xml:space="preserve"> </w:t>
      </w:r>
      <w:r>
        <w:rPr>
          <w:rStyle w:val="DefaultParagraphFont"/>
        </w:rPr>
        <w:t>Member System</w:t>
      </w:r>
      <w:r>
        <w:rPr>
          <w:rStyle w:val="DefaultParagraphFont"/>
        </w:rPr>
        <w:t>’s RCRRs into RCRR TCCs.</w:t>
      </w:r>
    </w:p>
    <w:p w:rsidR="003B277C" w:rsidP="003B277C">
      <w:pPr>
        <w:pStyle w:val="Bodypara3"/>
        <w:rPr>
          <w:rStyle w:val="DefaultParagraphFont"/>
        </w:rPr>
      </w:pPr>
      <w:r>
        <w:rPr>
          <w:rStyle w:val="DefaultParagraphFont"/>
        </w:rPr>
        <w:t>RCRRs may be converted only into whole RCRR TCCs.  If the</w:t>
      </w:r>
      <w:r>
        <w:rPr>
          <w:rStyle w:val="DefaultParagraphFont"/>
        </w:rPr>
        <w:t xml:space="preserve"> Capacity Reservation Cap multiplied by the number of RCRR does not yield a whole number, then the number of RCRR TCCs that a </w:t>
      </w:r>
      <w:r>
        <w:rPr>
          <w:rStyle w:val="DefaultParagraphFont"/>
        </w:rPr>
        <w:t>Member System</w:t>
      </w:r>
      <w:r>
        <w:rPr>
          <w:rStyle w:val="DefaultParagraphFont"/>
        </w:rPr>
        <w:t xml:space="preserve"> shall have a right to convert from RCRRs will be reduced to the nearest integer and the number of RCRRs that a </w:t>
      </w:r>
      <w:r>
        <w:rPr>
          <w:rStyle w:val="DefaultParagraphFont"/>
        </w:rPr>
        <w:t>Membe</w:t>
      </w:r>
      <w:r>
        <w:rPr>
          <w:rStyle w:val="DefaultParagraphFont"/>
        </w:rPr>
        <w:t>r System</w:t>
      </w:r>
      <w:r>
        <w:rPr>
          <w:rStyle w:val="DefaultParagraphFont"/>
        </w:rPr>
        <w:t xml:space="preserve"> shall not have a right to convert to RCRR TCCs will be increased to the nearest integer.</w:t>
      </w:r>
    </w:p>
    <w:p w:rsidR="003B277C" w:rsidP="003B277C">
      <w:pPr>
        <w:pStyle w:val="Bodypara3"/>
        <w:rPr>
          <w:rStyle w:val="DefaultParagraphFont"/>
        </w:rPr>
      </w:pPr>
      <w:r w:rsidRPr="00E32D38">
        <w:rPr>
          <w:rStyle w:val="DefaultParagraphFont"/>
          <w:b/>
        </w:rPr>
        <w:t>19.</w:t>
      </w:r>
      <w:r w:rsidRPr="00334B71">
        <w:rPr>
          <w:rStyle w:val="DefaultParagraphFont"/>
          <w:b/>
          <w:bCs/>
        </w:rPr>
        <w:t>5.5</w:t>
      </w:r>
      <w:r w:rsidRPr="00334B71">
        <w:rPr>
          <w:rStyle w:val="DefaultParagraphFont"/>
        </w:rPr>
        <w:tab/>
        <w:t>Before each Centralized TCC Auction, the ISO shall, subsequent to performing the reduction process pursuant to Section 19.8.2 of</w:t>
      </w:r>
      <w:r>
        <w:rPr>
          <w:rStyle w:val="DefaultParagraphFont"/>
        </w:rPr>
        <w:t xml:space="preserve"> this Attachment M, det</w:t>
      </w:r>
      <w:r>
        <w:rPr>
          <w:rStyle w:val="DefaultParagraphFont"/>
        </w:rPr>
        <w:t xml:space="preserve">ermine the number of RCRRs that each </w:t>
      </w:r>
      <w:r>
        <w:rPr>
          <w:rStyle w:val="DefaultParagraphFont"/>
        </w:rPr>
        <w:t>Member System</w:t>
      </w:r>
      <w:r>
        <w:rPr>
          <w:rStyle w:val="DefaultParagraphFont"/>
        </w:rPr>
        <w:t xml:space="preserve"> shall have a right to convert to RCRR TCCs.  The ISO shall notify each </w:t>
      </w:r>
      <w:r>
        <w:rPr>
          <w:rStyle w:val="DefaultParagraphFont"/>
        </w:rPr>
        <w:t>Member System</w:t>
      </w:r>
      <w:r>
        <w:rPr>
          <w:rStyle w:val="DefaultParagraphFont"/>
        </w:rPr>
        <w:t xml:space="preserve"> of the ISO’s determination with regard to its RCRRs in a written notice to be received by the </w:t>
      </w:r>
      <w:r>
        <w:rPr>
          <w:rStyle w:val="DefaultParagraphFont"/>
        </w:rPr>
        <w:t>Member System</w:t>
      </w:r>
      <w:r>
        <w:rPr>
          <w:rStyle w:val="DefaultParagraphFont"/>
        </w:rPr>
        <w:t xml:space="preserve"> on or before</w:t>
      </w:r>
      <w:r>
        <w:rPr>
          <w:rStyle w:val="DefaultParagraphFont"/>
        </w:rPr>
        <w:t xml:space="preserve"> the date specified in the timeline for the relevant Centralized TCC Auction posted on the ISO’s website, as that timeline may be revised from time to time.  </w:t>
      </w:r>
    </w:p>
    <w:p w:rsidR="003B277C" w:rsidP="003B277C">
      <w:pPr>
        <w:pStyle w:val="Bodypara3"/>
        <w:rPr>
          <w:rStyle w:val="DefaultParagraphFont"/>
        </w:rPr>
      </w:pPr>
      <w:r w:rsidRPr="00AA446A">
        <w:rPr>
          <w:rStyle w:val="DefaultParagraphFont"/>
          <w:b/>
        </w:rPr>
        <w:t>19.</w:t>
      </w:r>
      <w:r w:rsidRPr="00334B71">
        <w:rPr>
          <w:rStyle w:val="DefaultParagraphFont"/>
          <w:b/>
          <w:bCs/>
        </w:rPr>
        <w:t>5.6</w:t>
      </w:r>
      <w:r w:rsidRPr="00334B71">
        <w:rPr>
          <w:rStyle w:val="DefaultParagraphFont"/>
        </w:rPr>
        <w:tab/>
        <w:t>A</w:t>
      </w:r>
      <w:r>
        <w:rPr>
          <w:rStyle w:val="DefaultParagraphFont"/>
        </w:rPr>
        <w:t xml:space="preserve"> </w:t>
      </w:r>
      <w:r>
        <w:rPr>
          <w:rStyle w:val="DefaultParagraphFont"/>
        </w:rPr>
        <w:t>Member System</w:t>
      </w:r>
      <w:r>
        <w:rPr>
          <w:rStyle w:val="DefaultParagraphFont"/>
        </w:rPr>
        <w:t xml:space="preserve"> may exercise its right to convert its RCRRs into RCRR TCCs by notifying the ISO of the number of the </w:t>
      </w:r>
      <w:r>
        <w:rPr>
          <w:rStyle w:val="DefaultParagraphFont"/>
        </w:rPr>
        <w:t>Member System</w:t>
      </w:r>
      <w:r>
        <w:rPr>
          <w:rStyle w:val="DefaultParagraphFont"/>
        </w:rPr>
        <w:t xml:space="preserve">’s RCRRs that the </w:t>
      </w:r>
      <w:r>
        <w:rPr>
          <w:rStyle w:val="DefaultParagraphFont"/>
        </w:rPr>
        <w:t>Member System</w:t>
      </w:r>
      <w:r>
        <w:rPr>
          <w:rStyle w:val="DefaultParagraphFont"/>
        </w:rPr>
        <w:t xml:space="preserve"> elects to convert to RCRR TCCs.  The </w:t>
      </w:r>
      <w:r>
        <w:rPr>
          <w:rStyle w:val="DefaultParagraphFont"/>
        </w:rPr>
        <w:t>Member System</w:t>
      </w:r>
      <w:r>
        <w:rPr>
          <w:rStyle w:val="DefaultParagraphFont"/>
        </w:rPr>
        <w:t xml:space="preserve"> shall make the notification in a </w:t>
      </w:r>
      <w:r w:rsidRPr="00334B71">
        <w:rPr>
          <w:rStyle w:val="DefaultParagraphFont"/>
        </w:rPr>
        <w:t>written notice, in accord</w:t>
      </w:r>
      <w:r w:rsidRPr="00334B71">
        <w:rPr>
          <w:rStyle w:val="DefaultParagraphFont"/>
        </w:rPr>
        <w:t>ance with ISO Procedures, to be</w:t>
      </w:r>
      <w:r>
        <w:rPr>
          <w:rStyle w:val="DefaultParagraphFont"/>
        </w:rPr>
        <w:t xml:space="preserve"> received by the ISO on or before the date specified in the timeline for the relevant Centralized TCC Auction posted on the ISO’s website, as that timeline may be revised from time to time.  After receipt by the ISO, the </w:t>
      </w:r>
      <w:r>
        <w:rPr>
          <w:rStyle w:val="DefaultParagraphFont"/>
        </w:rPr>
        <w:t>Memb</w:t>
      </w:r>
      <w:r>
        <w:rPr>
          <w:rStyle w:val="DefaultParagraphFont"/>
        </w:rPr>
        <w:t>er System</w:t>
      </w:r>
      <w:r>
        <w:rPr>
          <w:rStyle w:val="DefaultParagraphFont"/>
        </w:rPr>
        <w:t>’s notification shall not be modified or revoked, except by permission of the ISO.</w:t>
      </w:r>
    </w:p>
    <w:p w:rsidR="003B277C" w:rsidP="003B277C">
      <w:pPr>
        <w:pStyle w:val="Bodypara3"/>
        <w:rPr>
          <w:rStyle w:val="DefaultParagraphFont"/>
        </w:rPr>
        <w:sectPr w:rsidSect="003B277C">
          <w:headerReference w:type="even" r:id="rId41"/>
          <w:headerReference w:type="default" r:id="rId42"/>
          <w:footerReference w:type="even" r:id="rId43"/>
          <w:footerReference w:type="default" r:id="rId44"/>
          <w:headerReference w:type="first" r:id="rId45"/>
          <w:footerReference w:type="first" r:id="rId46"/>
          <w:type w:val="nextPage"/>
          <w:pgSz w:w="12240" w:h="15840" w:code="1"/>
          <w:pgMar w:top="1440" w:right="1440" w:bottom="720" w:left="1440" w:header="720" w:footer="720" w:gutter="0"/>
          <w:cols w:space="720"/>
        </w:sectPr>
      </w:pPr>
      <w:r w:rsidRPr="00AA446A">
        <w:rPr>
          <w:rStyle w:val="DefaultParagraphFont"/>
          <w:b/>
        </w:rPr>
        <w:t>19.</w:t>
      </w:r>
      <w:r w:rsidRPr="00334B71">
        <w:rPr>
          <w:rStyle w:val="DefaultParagraphFont"/>
          <w:b/>
          <w:bCs/>
        </w:rPr>
        <w:t>5.7</w:t>
      </w:r>
      <w:r w:rsidRPr="00334B71">
        <w:rPr>
          <w:rStyle w:val="DefaultParagraphFont"/>
        </w:rPr>
        <w:tab/>
        <w:t xml:space="preserve">A </w:t>
      </w:r>
      <w:r>
        <w:rPr>
          <w:rStyle w:val="DefaultParagraphFont"/>
        </w:rPr>
        <w:t>Member System</w:t>
      </w:r>
      <w:r w:rsidRPr="00334B71">
        <w:rPr>
          <w:rStyle w:val="DefaultParagraphFont"/>
        </w:rPr>
        <w:t xml:space="preserve"> shall not transfer (by sale or otherwise) its RCRR TCC</w:t>
      </w:r>
      <w:r>
        <w:rPr>
          <w:rStyle w:val="DefaultParagraphFont"/>
        </w:rPr>
        <w:t>s</w:t>
      </w:r>
      <w:r>
        <w:rPr>
          <w:rStyle w:val="DefaultParagraphFont"/>
        </w:rPr>
        <w:t xml:space="preserve"> except through a Centralized TCC Auction or Reconfiguration Auction, and shall not se</w:t>
      </w:r>
      <w:r>
        <w:rPr>
          <w:rStyle w:val="DefaultParagraphFont"/>
        </w:rPr>
        <w:t>ll its RCRR TCC</w:t>
      </w:r>
      <w:r>
        <w:rPr>
          <w:rStyle w:val="DefaultParagraphFont"/>
        </w:rPr>
        <w:t>s</w:t>
      </w:r>
      <w:r>
        <w:rPr>
          <w:rStyle w:val="DefaultParagraphFont"/>
        </w:rPr>
        <w:t xml:space="preserve"> through Direct Sales or through Secondary Markets.</w:t>
      </w:r>
    </w:p>
    <w:p w:rsidR="00AA61F3" w:rsidRPr="00D13E1F" w:rsidP="00DD3CC4">
      <w:pPr>
        <w:pStyle w:val="Heading25"/>
        <w:rPr>
          <w:rStyle w:val="DefaultParagraphFont"/>
          <w:rFonts w:ascii="Times New Roman" w:hAnsi="Times New Roman" w:cs="Times New Roman"/>
          <w:sz w:val="24"/>
          <w:szCs w:val="24"/>
        </w:rPr>
      </w:pPr>
      <w:bookmarkStart w:id="53" w:name="_Toc263333576"/>
      <w:bookmarkStart w:id="54" w:name="_GoBack_6"/>
      <w:bookmarkEnd w:id="54"/>
      <w:r w:rsidRPr="00D13E1F">
        <w:rPr>
          <w:rStyle w:val="DefaultParagraphFont"/>
          <w:rFonts w:ascii="Times New Roman" w:hAnsi="Times New Roman" w:cs="Times New Roman"/>
          <w:sz w:val="24"/>
          <w:szCs w:val="24"/>
        </w:rPr>
        <w:t>19.</w:t>
      </w:r>
      <w:r w:rsidRPr="00D13E1F">
        <w:rPr>
          <w:rStyle w:val="DefaultParagraphFont"/>
          <w:rFonts w:ascii="Times New Roman" w:hAnsi="Times New Roman" w:cs="Times New Roman"/>
          <w:sz w:val="24"/>
          <w:szCs w:val="24"/>
        </w:rPr>
        <w:t>6</w:t>
      </w:r>
      <w:r w:rsidRPr="00D13E1F">
        <w:rPr>
          <w:rStyle w:val="DefaultParagraphFont"/>
          <w:rFonts w:ascii="Times New Roman" w:hAnsi="Times New Roman" w:cs="Times New Roman"/>
          <w:sz w:val="24"/>
          <w:szCs w:val="24"/>
        </w:rPr>
        <w:tab/>
        <w:t>Direct Sale of TCCs by Transmission Owners directly over the OASIS (“Direct Sale”)</w:t>
      </w:r>
      <w:bookmarkEnd w:id="53"/>
    </w:p>
    <w:p w:rsidR="006F2510" w:rsidRPr="00D13E1F" w:rsidP="006F2510">
      <w:pPr>
        <w:pStyle w:val="Heading32"/>
        <w:rPr>
          <w:rStyle w:val="DefaultParagraphFont"/>
          <w:rFonts w:ascii="Times New Roman" w:hAnsi="Times New Roman" w:cs="Times New Roman"/>
          <w:sz w:val="24"/>
          <w:szCs w:val="24"/>
        </w:rPr>
      </w:pPr>
      <w:bookmarkStart w:id="55" w:name="_Toc263333577"/>
      <w:r w:rsidRPr="00D13E1F">
        <w:rPr>
          <w:rStyle w:val="DefaultParagraphFont"/>
          <w:rFonts w:ascii="Times New Roman" w:hAnsi="Times New Roman" w:cs="Times New Roman"/>
          <w:sz w:val="24"/>
          <w:szCs w:val="24"/>
        </w:rPr>
        <w:t>19.</w:t>
      </w:r>
      <w:r w:rsidRPr="00D13E1F">
        <w:rPr>
          <w:rStyle w:val="DefaultParagraphFont"/>
          <w:rFonts w:ascii="Times New Roman" w:hAnsi="Times New Roman" w:cs="Times New Roman"/>
          <w:sz w:val="24"/>
          <w:szCs w:val="24"/>
        </w:rPr>
        <w:t>6.1</w:t>
      </w:r>
      <w:r w:rsidRPr="00D13E1F">
        <w:rPr>
          <w:rStyle w:val="DefaultParagraphFont"/>
          <w:rFonts w:ascii="Times New Roman" w:hAnsi="Times New Roman" w:cs="Times New Roman"/>
          <w:sz w:val="24"/>
          <w:szCs w:val="24"/>
        </w:rPr>
        <w:tab/>
        <w:t>Direct Sales</w:t>
      </w:r>
      <w:bookmarkEnd w:id="55"/>
    </w:p>
    <w:p w:rsidR="00AA61F3" w:rsidRPr="00D13E1F" w:rsidP="009C7F8F">
      <w:pPr>
        <w:pStyle w:val="Bodypara4"/>
        <w:rPr>
          <w:rStyle w:val="DefaultParagraphFont"/>
          <w:rFonts w:ascii="Times New Roman" w:hAnsi="Times New Roman" w:cs="Times New Roman"/>
          <w:sz w:val="24"/>
          <w:szCs w:val="24"/>
        </w:rPr>
      </w:pPr>
      <w:r w:rsidRPr="00D13E1F">
        <w:rPr>
          <w:rStyle w:val="DefaultParagraphFont"/>
          <w:rFonts w:ascii="Times New Roman" w:hAnsi="Times New Roman" w:cs="Times New Roman"/>
          <w:spacing w:val="-6"/>
          <w:sz w:val="24"/>
          <w:szCs w:val="24"/>
        </w:rPr>
        <w:t>Transmission Owners may sell their Original Residual TCCs, ETCNL, and Grandfathered TCCs directly to</w:t>
      </w:r>
      <w:r w:rsidRPr="00D13E1F">
        <w:rPr>
          <w:rStyle w:val="DefaultParagraphFont"/>
          <w:rFonts w:ascii="Times New Roman" w:hAnsi="Times New Roman" w:cs="Times New Roman"/>
          <w:sz w:val="24"/>
          <w:szCs w:val="24"/>
        </w:rPr>
        <w:t xml:space="preserve"> buyers through a Direct Sale.  Sellers and potential buyers shall communicate all offers to sell and buy TCCs, through a </w:t>
      </w:r>
      <w:r w:rsidRPr="00D13E1F">
        <w:rPr>
          <w:rStyle w:val="DefaultParagraphFont"/>
          <w:rFonts w:ascii="Times New Roman" w:hAnsi="Times New Roman" w:cs="Times New Roman"/>
          <w:spacing w:val="-2"/>
          <w:sz w:val="24"/>
          <w:szCs w:val="24"/>
        </w:rPr>
        <w:t xml:space="preserve">Direct Sale, solely over the ISO’s OASIS.  Buyers and </w:t>
      </w:r>
      <w:r w:rsidRPr="00D13E1F">
        <w:rPr>
          <w:rStyle w:val="DefaultParagraphFont"/>
          <w:rFonts w:ascii="Times New Roman" w:hAnsi="Times New Roman" w:cs="Times New Roman"/>
          <w:sz w:val="24"/>
          <w:szCs w:val="24"/>
        </w:rPr>
        <w:t>Sellers</w:t>
      </w:r>
      <w:r w:rsidRPr="00D13E1F">
        <w:rPr>
          <w:rStyle w:val="DefaultParagraphFont"/>
          <w:rFonts w:ascii="Times New Roman" w:hAnsi="Times New Roman" w:cs="Times New Roman"/>
          <w:spacing w:val="-2"/>
          <w:sz w:val="24"/>
          <w:szCs w:val="24"/>
        </w:rPr>
        <w:t xml:space="preserve"> of TCCs by Direct Sale will have the responsibility to report their TCC </w:t>
      </w:r>
      <w:r w:rsidRPr="00D13E1F">
        <w:rPr>
          <w:rStyle w:val="DefaultParagraphFont"/>
          <w:rFonts w:ascii="Times New Roman" w:hAnsi="Times New Roman" w:cs="Times New Roman"/>
          <w:spacing w:val="-2"/>
          <w:sz w:val="24"/>
          <w:szCs w:val="24"/>
        </w:rPr>
        <w:t xml:space="preserve">transactions to the ISO, whereupon the ISO </w:t>
      </w:r>
      <w:r w:rsidRPr="00D13E1F">
        <w:rPr>
          <w:rStyle w:val="DefaultParagraphFont"/>
          <w:rFonts w:ascii="Times New Roman" w:hAnsi="Times New Roman" w:cs="Times New Roman"/>
          <w:sz w:val="24"/>
          <w:szCs w:val="24"/>
        </w:rPr>
        <w:t xml:space="preserve">will post them on the OASIS.  Provisions governing Primary Holder status and responsibilities otherwise applicable to TCCs shall be applicable to TCCs acquired through a Direct Sale. </w:t>
      </w:r>
    </w:p>
    <w:p w:rsidR="00AA61F3" w:rsidRPr="00D13E1F" w:rsidP="009C7F8F">
      <w:pPr>
        <w:pStyle w:val="Bodypara4"/>
        <w:rPr>
          <w:rStyle w:val="DefaultParagraphFont"/>
          <w:rFonts w:ascii="Times New Roman" w:hAnsi="Times New Roman" w:cs="Times New Roman"/>
          <w:sz w:val="24"/>
          <w:szCs w:val="24"/>
        </w:rPr>
      </w:pPr>
      <w:r w:rsidRPr="00D13E1F">
        <w:rPr>
          <w:rStyle w:val="DefaultParagraphFont"/>
          <w:rFonts w:ascii="Times New Roman" w:hAnsi="Times New Roman" w:cs="Times New Roman"/>
          <w:sz w:val="24"/>
          <w:szCs w:val="24"/>
        </w:rPr>
        <w:t>During the Direct Sale proces</w:t>
      </w:r>
      <w:r w:rsidRPr="00D13E1F">
        <w:rPr>
          <w:rStyle w:val="DefaultParagraphFont"/>
          <w:rFonts w:ascii="Times New Roman" w:hAnsi="Times New Roman" w:cs="Times New Roman"/>
          <w:sz w:val="24"/>
          <w:szCs w:val="24"/>
        </w:rPr>
        <w:t xml:space="preserve">s, the Transmission Owner electing to use Direct Sale shall </w:t>
      </w:r>
      <w:r w:rsidRPr="00D13E1F">
        <w:rPr>
          <w:rStyle w:val="DefaultParagraphFont"/>
          <w:rFonts w:ascii="Times New Roman" w:hAnsi="Times New Roman" w:cs="Times New Roman"/>
          <w:spacing w:val="-2"/>
          <w:sz w:val="24"/>
          <w:szCs w:val="24"/>
        </w:rPr>
        <w:t>have the sole discretio</w:t>
      </w:r>
      <w:r w:rsidRPr="00D13E1F">
        <w:rPr>
          <w:rStyle w:val="DefaultParagraphFont"/>
          <w:rFonts w:ascii="Times New Roman" w:hAnsi="Times New Roman" w:cs="Times New Roman"/>
          <w:sz w:val="24"/>
          <w:szCs w:val="24"/>
        </w:rPr>
        <w:t>n to accept or reject an offer to purchase TCCs.  Each Transmission Owner shall develop and apply a non-discriminatory method for choosing the winning offers consistent with</w:t>
      </w:r>
      <w:r w:rsidRPr="00D13E1F">
        <w:rPr>
          <w:rStyle w:val="DefaultParagraphFont"/>
          <w:rFonts w:ascii="Times New Roman" w:hAnsi="Times New Roman" w:cs="Times New Roman"/>
          <w:sz w:val="24"/>
          <w:szCs w:val="24"/>
        </w:rPr>
        <w:t xml:space="preserve"> FERC Order No. 889, et seq., and may establish eligibility requirements that shall be no more stringent than those set forth in Section </w:t>
      </w:r>
      <w:r w:rsidRPr="00D13E1F">
        <w:rPr>
          <w:rStyle w:val="DefaultParagraphFont"/>
          <w:rFonts w:ascii="Times New Roman" w:hAnsi="Times New Roman" w:cs="Times New Roman"/>
          <w:sz w:val="24"/>
          <w:szCs w:val="24"/>
        </w:rPr>
        <w:t xml:space="preserve">2.14 </w:t>
      </w:r>
      <w:r w:rsidRPr="00D13E1F">
        <w:rPr>
          <w:rStyle w:val="DefaultParagraphFont"/>
          <w:rFonts w:ascii="Times New Roman" w:hAnsi="Times New Roman" w:cs="Times New Roman"/>
          <w:sz w:val="24"/>
          <w:szCs w:val="24"/>
        </w:rPr>
        <w:t>of this Tariff.  The Transmission Owner shall post information regarding the results of the Direct Sale on the ISO</w:t>
      </w:r>
      <w:r w:rsidRPr="00D13E1F">
        <w:rPr>
          <w:rStyle w:val="DefaultParagraphFont"/>
          <w:rFonts w:ascii="Times New Roman" w:hAnsi="Times New Roman" w:cs="Times New Roman"/>
          <w:sz w:val="24"/>
          <w:szCs w:val="24"/>
        </w:rPr>
        <w:t>’s OASIS promptly after the Direct Sale is completed.  The information shall include: (i) the amount of TCCs sold (in MW); (ii) the Point of Injection and Point of Withdrawal</w:t>
      </w:r>
      <w:r w:rsidRPr="00D13E1F">
        <w:rPr>
          <w:rStyle w:val="DefaultParagraphFont"/>
          <w:rFonts w:ascii="Times New Roman" w:hAnsi="Times New Roman" w:cs="Times New Roman"/>
          <w:sz w:val="24"/>
          <w:szCs w:val="24"/>
        </w:rPr>
        <w:t xml:space="preserve"> </w:t>
      </w:r>
      <w:r w:rsidRPr="00D13E1F">
        <w:rPr>
          <w:rStyle w:val="DefaultParagraphFont"/>
          <w:rFonts w:ascii="Times New Roman" w:hAnsi="Times New Roman" w:cs="Times New Roman"/>
          <w:sz w:val="24"/>
          <w:szCs w:val="24"/>
        </w:rPr>
        <w:t>for each TCC sold; and (iii) the price paid for each TCC.</w:t>
      </w:r>
    </w:p>
    <w:p w:rsidR="00AA61F3" w:rsidRPr="00D13E1F" w:rsidP="009C7F8F">
      <w:pPr>
        <w:pStyle w:val="Bodypara4"/>
        <w:rPr>
          <w:rStyle w:val="DefaultParagraphFont"/>
          <w:rFonts w:ascii="Times New Roman" w:hAnsi="Times New Roman" w:cs="Times New Roman"/>
          <w:sz w:val="24"/>
          <w:szCs w:val="24"/>
          <w:u w:val="double"/>
        </w:rPr>
      </w:pPr>
      <w:r w:rsidRPr="00D13E1F">
        <w:rPr>
          <w:rStyle w:val="DefaultParagraphFont"/>
          <w:rFonts w:ascii="Times New Roman" w:hAnsi="Times New Roman" w:cs="Times New Roman"/>
          <w:sz w:val="24"/>
          <w:szCs w:val="24"/>
        </w:rPr>
        <w:t>Each Transmission Owner</w:t>
      </w:r>
      <w:r w:rsidRPr="00D13E1F">
        <w:rPr>
          <w:rStyle w:val="DefaultParagraphFont"/>
          <w:rFonts w:ascii="Times New Roman" w:hAnsi="Times New Roman" w:cs="Times New Roman"/>
          <w:sz w:val="24"/>
          <w:szCs w:val="24"/>
        </w:rPr>
        <w:t xml:space="preserve"> may retain its Grandfathered TCCs.  If it sells Grandfathered TCCs, a Transmission Owner shall do so through Direct Sales or through Centralized TCC Auctions or Reconfiguration Auctions for periods not </w:t>
      </w:r>
      <w:r w:rsidRPr="00D13E1F">
        <w:rPr>
          <w:rStyle w:val="DefaultParagraphFont"/>
          <w:rFonts w:ascii="Times New Roman" w:hAnsi="Times New Roman" w:cs="Times New Roman"/>
          <w:spacing w:val="-2"/>
          <w:sz w:val="24"/>
          <w:szCs w:val="24"/>
        </w:rPr>
        <w:t xml:space="preserve">extending beyond the termination date of </w:t>
      </w:r>
      <w:r w:rsidRPr="00D13E1F">
        <w:rPr>
          <w:rStyle w:val="DefaultParagraphFont"/>
          <w:rFonts w:ascii="Times New Roman" w:hAnsi="Times New Roman" w:cs="Times New Roman"/>
          <w:spacing w:val="-2"/>
          <w:sz w:val="24"/>
          <w:szCs w:val="24"/>
        </w:rPr>
        <w:t xml:space="preserve">those TCCs. </w:t>
      </w:r>
      <w:r w:rsidRPr="00D13E1F">
        <w:rPr>
          <w:rStyle w:val="DefaultParagraphFont"/>
          <w:rFonts w:ascii="Times New Roman" w:hAnsi="Times New Roman" w:cs="Times New Roman"/>
          <w:sz w:val="24"/>
          <w:szCs w:val="24"/>
        </w:rPr>
        <w:t xml:space="preserve">Payment </w:t>
      </w:r>
      <w:r w:rsidRPr="00D13E1F">
        <w:rPr>
          <w:rStyle w:val="DefaultParagraphFont"/>
          <w:rFonts w:ascii="Times New Roman" w:hAnsi="Times New Roman" w:cs="Times New Roman"/>
          <w:spacing w:val="-2"/>
          <w:sz w:val="24"/>
          <w:szCs w:val="24"/>
        </w:rPr>
        <w:t>for TCCs purchased in a Direct Sale shall</w:t>
      </w:r>
      <w:r w:rsidRPr="00D13E1F">
        <w:rPr>
          <w:rStyle w:val="DefaultParagraphFont"/>
          <w:rFonts w:ascii="Times New Roman" w:hAnsi="Times New Roman" w:cs="Times New Roman"/>
          <w:sz w:val="24"/>
          <w:szCs w:val="24"/>
        </w:rPr>
        <w:t xml:space="preserve"> be in accordance with the terms and conditions of the agreement between the buyer and seller.</w:t>
      </w:r>
    </w:p>
    <w:p w:rsidR="006F2510" w:rsidRPr="00D13E1F" w:rsidP="006F2510">
      <w:pPr>
        <w:pStyle w:val="Heading32"/>
        <w:rPr>
          <w:rStyle w:val="DefaultParagraphFont"/>
          <w:rFonts w:ascii="Times New Roman" w:hAnsi="Times New Roman" w:cs="Times New Roman"/>
          <w:sz w:val="24"/>
          <w:szCs w:val="24"/>
        </w:rPr>
      </w:pPr>
      <w:bookmarkStart w:id="56" w:name="_Toc263333578"/>
      <w:r w:rsidRPr="00D13E1F">
        <w:rPr>
          <w:rStyle w:val="DefaultParagraphFont"/>
          <w:rFonts w:ascii="Times New Roman" w:hAnsi="Times New Roman" w:cs="Times New Roman"/>
          <w:sz w:val="24"/>
          <w:szCs w:val="24"/>
        </w:rPr>
        <w:t>19.</w:t>
      </w:r>
      <w:r w:rsidRPr="00D13E1F">
        <w:rPr>
          <w:rStyle w:val="DefaultParagraphFont"/>
          <w:rFonts w:ascii="Times New Roman" w:hAnsi="Times New Roman" w:cs="Times New Roman"/>
          <w:sz w:val="24"/>
          <w:szCs w:val="24"/>
        </w:rPr>
        <w:t>6.2</w:t>
      </w:r>
      <w:r w:rsidRPr="00D13E1F">
        <w:rPr>
          <w:rStyle w:val="DefaultParagraphFont"/>
          <w:rFonts w:ascii="Times New Roman" w:hAnsi="Times New Roman" w:cs="Times New Roman"/>
          <w:sz w:val="24"/>
          <w:szCs w:val="24"/>
        </w:rPr>
        <w:tab/>
        <w:t>Secondary Market for TCCs</w:t>
      </w:r>
      <w:bookmarkEnd w:id="56"/>
      <w:r w:rsidRPr="00D13E1F">
        <w:rPr>
          <w:rStyle w:val="DefaultParagraphFont"/>
          <w:rFonts w:ascii="Times New Roman" w:hAnsi="Times New Roman" w:cs="Times New Roman"/>
          <w:sz w:val="24"/>
          <w:szCs w:val="24"/>
        </w:rPr>
        <w:t xml:space="preserve">  </w:t>
      </w:r>
    </w:p>
    <w:p w:rsidR="00AA61F3" w:rsidRPr="00D13E1F" w:rsidP="006F2510">
      <w:pPr>
        <w:pStyle w:val="Bodypara4"/>
        <w:rPr>
          <w:rStyle w:val="DefaultParagraphFont"/>
          <w:rFonts w:ascii="Times New Roman" w:hAnsi="Times New Roman" w:cs="Times New Roman"/>
          <w:sz w:val="24"/>
          <w:szCs w:val="24"/>
        </w:rPr>
        <w:sectPr w:rsidSect="005C5FB0">
          <w:headerReference w:type="even" r:id="rId47"/>
          <w:headerReference w:type="default" r:id="rId48"/>
          <w:footerReference w:type="even" r:id="rId49"/>
          <w:footerReference w:type="default" r:id="rId50"/>
          <w:headerReference w:type="first" r:id="rId51"/>
          <w:footerReference w:type="first" r:id="rId52"/>
          <w:type w:val="nextPage"/>
          <w:pgSz w:w="12240" w:h="15840" w:code="1"/>
          <w:pgMar w:top="1440" w:right="1440" w:bottom="720" w:left="1440" w:header="720" w:footer="720" w:gutter="0"/>
          <w:cols w:space="720"/>
        </w:sectPr>
      </w:pPr>
      <w:r w:rsidRPr="00D13E1F">
        <w:rPr>
          <w:rStyle w:val="DefaultParagraphFont"/>
          <w:rFonts w:ascii="Times New Roman" w:hAnsi="Times New Roman" w:cs="Times New Roman"/>
          <w:sz w:val="24"/>
          <w:szCs w:val="24"/>
        </w:rPr>
        <w:t xml:space="preserve">After the conclusion of each </w:t>
      </w:r>
      <w:r>
        <w:rPr>
          <w:rStyle w:val="DefaultParagraphFont"/>
          <w:rFonts w:ascii="Times New Roman" w:hAnsi="Times New Roman" w:cs="Times New Roman"/>
          <w:sz w:val="24"/>
          <w:szCs w:val="24"/>
        </w:rPr>
        <w:t>a</w:t>
      </w:r>
      <w:r w:rsidRPr="00D13E1F">
        <w:rPr>
          <w:rStyle w:val="DefaultParagraphFont"/>
          <w:rFonts w:ascii="Times New Roman" w:hAnsi="Times New Roman" w:cs="Times New Roman"/>
          <w:sz w:val="24"/>
          <w:szCs w:val="24"/>
        </w:rPr>
        <w:t>uction, all Primary Holders may sell their TCCs</w:t>
      </w:r>
      <w:r w:rsidRPr="00D13E1F">
        <w:rPr>
          <w:rStyle w:val="DefaultParagraphFont"/>
          <w:rFonts w:ascii="Times New Roman" w:hAnsi="Times New Roman" w:cs="Times New Roman"/>
          <w:sz w:val="24"/>
          <w:szCs w:val="24"/>
        </w:rPr>
        <w:t xml:space="preserve"> in the Secondary Markets, unless otherwise provided in this Attachment M.  However, the ISO shall make all Settlements with Primary Holders.  Buyers in a Secondary Market that elect to become Primary Holders must meet the eligibility criteria in Section </w:t>
      </w:r>
      <w:r w:rsidRPr="00D13E1F">
        <w:rPr>
          <w:rStyle w:val="DefaultParagraphFont"/>
          <w:rFonts w:ascii="Times New Roman" w:hAnsi="Times New Roman" w:cs="Times New Roman"/>
          <w:sz w:val="24"/>
          <w:szCs w:val="24"/>
        </w:rPr>
        <w:t>1</w:t>
      </w:r>
      <w:r w:rsidRPr="00D13E1F">
        <w:rPr>
          <w:rStyle w:val="DefaultParagraphFont"/>
          <w:rFonts w:ascii="Times New Roman" w:hAnsi="Times New Roman" w:cs="Times New Roman"/>
          <w:sz w:val="24"/>
          <w:szCs w:val="24"/>
        </w:rPr>
        <w:t>9.</w:t>
      </w:r>
      <w:r w:rsidRPr="00D13E1F">
        <w:rPr>
          <w:rStyle w:val="DefaultParagraphFont"/>
          <w:rFonts w:ascii="Times New Roman" w:hAnsi="Times New Roman" w:cs="Times New Roman"/>
          <w:sz w:val="24"/>
          <w:szCs w:val="24"/>
        </w:rPr>
        <w:t>7</w:t>
      </w:r>
      <w:r w:rsidRPr="00D13E1F">
        <w:rPr>
          <w:rStyle w:val="DefaultParagraphFont"/>
          <w:rFonts w:ascii="Times New Roman" w:hAnsi="Times New Roman" w:cs="Times New Roman"/>
          <w:sz w:val="24"/>
          <w:szCs w:val="24"/>
        </w:rPr>
        <w:t xml:space="preserve"> of this Attachment M.  Buyers and Sellers of TCCs in the Secondary Market will have the responsibility to report their TCC transactions to the ISO, whereupon the ISO will post them on the OASIS.</w:t>
      </w:r>
    </w:p>
    <w:p w:rsidR="009C24C7">
      <w:pPr>
        <w:pStyle w:val="Heading26"/>
        <w:rPr>
          <w:rStyle w:val="DefaultParagraphFont"/>
        </w:rPr>
      </w:pPr>
      <w:bookmarkStart w:id="57" w:name="_GoBack_7"/>
      <w:bookmarkEnd w:id="57"/>
      <w:r>
        <w:rPr>
          <w:rStyle w:val="DefaultParagraphFont"/>
        </w:rPr>
        <w:t>19.7</w:t>
      </w:r>
      <w:r>
        <w:rPr>
          <w:rStyle w:val="DefaultParagraphFont"/>
        </w:rPr>
        <w:tab/>
        <w:t>Primary Holders</w:t>
      </w:r>
    </w:p>
    <w:p w:rsidR="009C24C7">
      <w:pPr>
        <w:pStyle w:val="Bodypara5"/>
        <w:rPr>
          <w:rStyle w:val="DefaultParagraphFont"/>
        </w:rPr>
      </w:pPr>
      <w:r w:rsidRPr="00A05B2B">
        <w:rPr>
          <w:rStyle w:val="DefaultParagraphFont"/>
        </w:rPr>
        <w:t>Parties that purchase TCCs at the close of the Centralized TCC Auction</w:t>
      </w:r>
      <w:r w:rsidRPr="00A05B2B">
        <w:rPr>
          <w:rStyle w:val="DefaultParagraphFont"/>
        </w:rPr>
        <w:t xml:space="preserve"> or Reconfiguration Auction</w:t>
      </w:r>
      <w:r w:rsidRPr="00A05B2B">
        <w:rPr>
          <w:rStyle w:val="DefaultParagraphFont"/>
        </w:rPr>
        <w:t>, that convert their ETAs to Historic Fixed Price TCCs</w:t>
      </w:r>
      <w:r w:rsidRPr="00A05B2B">
        <w:rPr>
          <w:rStyle w:val="DefaultParagraphFont"/>
        </w:rPr>
        <w:t xml:space="preserve"> (including extensions of Historic Fixed Price TCCs </w:t>
      </w:r>
      <w:r w:rsidRPr="00A05B2B">
        <w:rPr>
          <w:rStyle w:val="DefaultParagraphFont"/>
        </w:rPr>
        <w:t xml:space="preserve">awarded </w:t>
      </w:r>
      <w:r w:rsidRPr="00A05B2B">
        <w:rPr>
          <w:rStyle w:val="DefaultParagraphFont"/>
        </w:rPr>
        <w:t xml:space="preserve">pursuant to Section 19.2.1.4 of </w:t>
      </w:r>
      <w:r w:rsidRPr="00A05B2B">
        <w:rPr>
          <w:rStyle w:val="DefaultParagraphFont"/>
        </w:rPr>
        <w:t>this Attachment M</w:t>
      </w:r>
      <w:r w:rsidRPr="00A05B2B">
        <w:rPr>
          <w:rStyle w:val="DefaultParagraphFont"/>
        </w:rPr>
        <w:t>)</w:t>
      </w:r>
      <w:r w:rsidRPr="00A05B2B">
        <w:rPr>
          <w:rStyle w:val="DefaultParagraphFont"/>
        </w:rPr>
        <w:t>, buyers of Non</w:t>
      </w:r>
      <w:r>
        <w:rPr>
          <w:rStyle w:val="DefaultParagraphFont"/>
        </w:rPr>
        <w:t>-Historic Fixed Price TCCs, buyers in the Secondary Market that meet the eligibility criteria listed herein, and Expanders (as defined in Section 19.2.</w:t>
      </w:r>
      <w:r>
        <w:rPr>
          <w:rStyle w:val="DefaultParagraphFont"/>
        </w:rPr>
        <w:t>4</w:t>
      </w:r>
      <w:r>
        <w:rPr>
          <w:rStyle w:val="DefaultParagraphFont"/>
        </w:rPr>
        <w:t>.1) accepting a Temporary or Final Awar</w:t>
      </w:r>
      <w:r>
        <w:rPr>
          <w:rStyle w:val="DefaultParagraphFont"/>
        </w:rPr>
        <w:t xml:space="preserve">d of Incremental TCCs become Primary Holders of those TCCs.  The ISO shall make all TCC settlements with Primary Holders.  When selling TCCs, Transmission Owners are considered Primary Holders of those TCCs.  A Primary Holder of a TCC which sells that TCC </w:t>
      </w:r>
      <w:r>
        <w:rPr>
          <w:rStyle w:val="DefaultParagraphFont"/>
        </w:rPr>
        <w:t>through a Direct Sale continues to be the Primary Holder of that TCC unless the buyer elects to become the Primary Holder of that TCC.</w:t>
      </w:r>
    </w:p>
    <w:p w:rsidR="009C24C7">
      <w:pPr>
        <w:pStyle w:val="Bodypara5"/>
        <w:rPr>
          <w:rStyle w:val="DefaultParagraphFont"/>
        </w:rPr>
      </w:pPr>
      <w:r>
        <w:rPr>
          <w:rStyle w:val="DefaultParagraphFont"/>
        </w:rPr>
        <w:t>Primary Holders must meet the following eligibility criteria</w:t>
      </w:r>
      <w:r>
        <w:rPr>
          <w:rStyle w:val="DefaultParagraphFont"/>
        </w:rPr>
        <w:t>:</w:t>
      </w:r>
      <w:r>
        <w:rPr>
          <w:rStyle w:val="DefaultParagraphFont"/>
        </w:rPr>
        <w:t xml:space="preserve"> (i) register as Transmission Customers and otherwise comply</w:t>
      </w:r>
      <w:r>
        <w:rPr>
          <w:rStyle w:val="DefaultParagraphFont"/>
        </w:rPr>
        <w:t xml:space="preserve"> with all applicable registration requirements established in ISO Procedures; (ii) comply with all applicable credit requirements as set forth in Attachment K of the ISO Services tariff; and (iii) submit a statement signed by the buyer, representing that t</w:t>
      </w:r>
      <w:r>
        <w:rPr>
          <w:rStyle w:val="DefaultParagraphFont"/>
        </w:rPr>
        <w:t>he buyer is financially able and willing to pay for the TCCs it proposes to purchase as well as all other obligations associated with the purchase of such TCCs, including without limitation, Congestion Rent due pursuant to this Tariff.</w:t>
      </w:r>
    </w:p>
    <w:p w:rsidR="009C24C7">
      <w:pPr>
        <w:pStyle w:val="Bodypara5"/>
        <w:rPr>
          <w:rStyle w:val="DefaultParagraphFont"/>
        </w:rPr>
        <w:sectPr w:rsidSect="003F1725">
          <w:headerReference w:type="even" r:id="rId53"/>
          <w:headerReference w:type="default" r:id="rId54"/>
          <w:footerReference w:type="even" r:id="rId55"/>
          <w:footerReference w:type="default" r:id="rId56"/>
          <w:headerReference w:type="first" r:id="rId57"/>
          <w:footerReference w:type="first" r:id="rId58"/>
          <w:type w:val="nextPage"/>
          <w:pgSz w:w="12240" w:h="15840" w:code="1"/>
          <w:pgMar w:top="1440" w:right="1440" w:bottom="1440" w:left="1440" w:header="720" w:footer="720" w:gutter="0"/>
          <w:cols w:space="720"/>
        </w:sectPr>
      </w:pPr>
      <w:r>
        <w:rPr>
          <w:rStyle w:val="DefaultParagraphFont"/>
        </w:rPr>
        <w:t>Where a buyer electi</w:t>
      </w:r>
      <w:r>
        <w:rPr>
          <w:rStyle w:val="DefaultParagraphFont"/>
        </w:rPr>
        <w:t>ng to become a Primary Holder fails to meet the eligibility criteria or the above financial criteria (as determined by the ISO), or fails to provide information required by the ISO, the seller of the TCCs in a Direct Sale shall be the Primary Holder with r</w:t>
      </w:r>
      <w:r>
        <w:rPr>
          <w:rStyle w:val="DefaultParagraphFont"/>
        </w:rPr>
        <w:t xml:space="preserve">espect to those TCCs.   </w:t>
      </w:r>
    </w:p>
    <w:p w:rsidR="00117F15">
      <w:pPr>
        <w:pStyle w:val="Heading27"/>
        <w:rPr>
          <w:rStyle w:val="DefaultParagraphFont"/>
          <w:rFonts w:ascii="Times New Roman" w:eastAsia="Times New Roman" w:hAnsi="Times New Roman" w:cs="Times New Roman"/>
          <w:lang w:val="en-US" w:eastAsia="en-US" w:bidi="ar-SA"/>
        </w:rPr>
      </w:pPr>
      <w:bookmarkStart w:id="58" w:name="_Toc263333579"/>
      <w:bookmarkStart w:id="59" w:name="_GoBack_8"/>
      <w:bookmarkEnd w:id="59"/>
      <w:r>
        <w:rPr>
          <w:rStyle w:val="DefaultParagraphFont"/>
          <w:rFonts w:ascii="Times New Roman" w:eastAsia="Times New Roman" w:hAnsi="Times New Roman" w:cs="Times New Roman"/>
          <w:lang w:val="en-US" w:eastAsia="en-US" w:bidi="ar-SA"/>
        </w:rPr>
        <w:t>19.8</w:t>
      </w:r>
      <w:r>
        <w:rPr>
          <w:rStyle w:val="DefaultParagraphFont"/>
          <w:rFonts w:ascii="Times New Roman" w:eastAsia="Times New Roman" w:hAnsi="Times New Roman" w:cs="Times New Roman"/>
          <w:lang w:val="en-US" w:eastAsia="en-US" w:bidi="ar-SA"/>
        </w:rPr>
        <w:tab/>
        <w:t>Auctions for TCCs</w:t>
      </w:r>
      <w:bookmarkEnd w:id="58"/>
    </w:p>
    <w:p w:rsidR="00117F15">
      <w:pPr>
        <w:pStyle w:val="Heading33"/>
        <w:rPr>
          <w:rStyle w:val="DefaultParagraphFont"/>
          <w:rFonts w:ascii="Times New Roman" w:eastAsia="Times New Roman" w:hAnsi="Times New Roman" w:cs="Times New Roman"/>
          <w:lang w:val="en-US" w:eastAsia="en-US" w:bidi="ar-SA"/>
        </w:rPr>
      </w:pPr>
      <w:bookmarkStart w:id="60" w:name="_Toc263333580"/>
      <w:r>
        <w:rPr>
          <w:rStyle w:val="DefaultParagraphFont"/>
          <w:rFonts w:ascii="Times New Roman" w:eastAsia="Times New Roman" w:hAnsi="Times New Roman" w:cs="Times New Roman"/>
          <w:lang w:val="en-US" w:eastAsia="en-US" w:bidi="ar-SA"/>
        </w:rPr>
        <w:t>19.8.1</w:t>
      </w:r>
      <w:r>
        <w:rPr>
          <w:rStyle w:val="DefaultParagraphFont"/>
          <w:rFonts w:ascii="Times New Roman" w:eastAsia="Times New Roman" w:hAnsi="Times New Roman" w:cs="Times New Roman"/>
          <w:lang w:val="en-US" w:eastAsia="en-US" w:bidi="ar-SA"/>
        </w:rPr>
        <w:tab/>
        <w:t>Overview</w:t>
      </w:r>
      <w:bookmarkEnd w:id="60"/>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The ISO will conduct Centralized TCC Auctions before each Capability Period.  Winning bidders in each such auction will purchase TCCs that will be valid for one or more Capability Periods, beginning with the first Capability Period that begins after the co</w:t>
      </w:r>
      <w:r>
        <w:rPr>
          <w:rStyle w:val="DefaultParagraphFont"/>
          <w:rFonts w:ascii="Times New Roman" w:eastAsia="Times New Roman" w:hAnsi="Times New Roman" w:cs="Times New Roman"/>
          <w:lang w:val="en-US" w:eastAsia="en-US" w:bidi="ar-SA"/>
        </w:rPr>
        <w:t xml:space="preserve">nclusion of the auction.  The ISO will also conduct Reconfiguration Auctions each month.  Winning bidders in each such auction will purchase TCCs valid for </w:t>
      </w:r>
      <w:r>
        <w:rPr>
          <w:rStyle w:val="DefaultParagraphFont"/>
          <w:rFonts w:ascii="Times New Roman" w:eastAsia="Times New Roman" w:hAnsi="Times New Roman" w:cs="Times New Roman"/>
          <w:lang w:val="en-US" w:eastAsia="en-US" w:bidi="ar-SA"/>
        </w:rPr>
        <w:t>one or more</w:t>
      </w:r>
      <w:r>
        <w:rPr>
          <w:rStyle w:val="DefaultParagraphFont"/>
          <w:rFonts w:ascii="Times New Roman" w:eastAsia="Times New Roman" w:hAnsi="Times New Roman" w:cs="Times New Roman"/>
          <w:lang w:val="en-US" w:eastAsia="en-US" w:bidi="ar-SA"/>
        </w:rPr>
        <w:t xml:space="preserve"> calendar month</w:t>
      </w:r>
      <w:r>
        <w:rPr>
          <w:rStyle w:val="DefaultParagraphFont"/>
          <w:rFonts w:ascii="Times New Roman" w:eastAsia="Times New Roman" w:hAnsi="Times New Roman" w:cs="Times New Roman"/>
          <w:lang w:val="en-US" w:eastAsia="en-US" w:bidi="ar-SA"/>
        </w:rPr>
        <w:t>s</w:t>
      </w:r>
      <w:r>
        <w:rPr>
          <w:rStyle w:val="DefaultParagraphFont"/>
          <w:rFonts w:ascii="Times New Roman" w:eastAsia="Times New Roman" w:hAnsi="Times New Roman" w:cs="Times New Roman"/>
          <w:lang w:val="en-US" w:eastAsia="en-US" w:bidi="ar-SA"/>
        </w:rPr>
        <w:t xml:space="preserve"> </w:t>
      </w:r>
      <w:r w:rsidRPr="002A2DEA">
        <w:rPr>
          <w:rStyle w:val="DefaultParagraphFont"/>
          <w:rFonts w:ascii="Times New Roman" w:eastAsia="Times New Roman" w:hAnsi="Times New Roman" w:cs="Times New Roman"/>
          <w:lang w:val="en-US" w:eastAsia="en-US" w:bidi="ar-SA"/>
        </w:rPr>
        <w:t>within the same Capability Period, beginning with the calendar month tha</w:t>
      </w:r>
      <w:r w:rsidRPr="002A2DEA">
        <w:rPr>
          <w:rStyle w:val="DefaultParagraphFont"/>
          <w:rFonts w:ascii="Times New Roman" w:eastAsia="Times New Roman" w:hAnsi="Times New Roman" w:cs="Times New Roman"/>
          <w:lang w:val="en-US" w:eastAsia="en-US" w:bidi="ar-SA"/>
        </w:rPr>
        <w:t>t begins after the conclusion of the auction</w:t>
      </w:r>
      <w:r>
        <w:rPr>
          <w:rStyle w:val="DefaultParagraphFont"/>
          <w:rFonts w:ascii="Times New Roman" w:eastAsia="Times New Roman" w:hAnsi="Times New Roman" w:cs="Times New Roman"/>
          <w:lang w:val="en-US" w:eastAsia="en-US" w:bidi="ar-SA"/>
        </w:rPr>
        <w:t>.</w:t>
      </w:r>
    </w:p>
    <w:p w:rsidR="00117F15">
      <w:pPr>
        <w:pStyle w:val="Heading33"/>
        <w:rPr>
          <w:rStyle w:val="DefaultParagraphFont"/>
          <w:rFonts w:ascii="Times New Roman" w:eastAsia="Times New Roman" w:hAnsi="Times New Roman" w:cs="Times New Roman"/>
          <w:lang w:val="en-US" w:eastAsia="en-US" w:bidi="ar-SA"/>
        </w:rPr>
      </w:pPr>
      <w:bookmarkStart w:id="61" w:name="_Toc263333581"/>
      <w:r>
        <w:rPr>
          <w:rStyle w:val="DefaultParagraphFont"/>
          <w:rFonts w:ascii="Times New Roman" w:eastAsia="Times New Roman" w:hAnsi="Times New Roman" w:cs="Times New Roman"/>
          <w:lang w:val="en-US" w:eastAsia="en-US" w:bidi="ar-SA"/>
        </w:rPr>
        <w:t>19.8.2</w:t>
      </w:r>
      <w:r>
        <w:rPr>
          <w:rStyle w:val="DefaultParagraphFont"/>
          <w:rFonts w:ascii="Times New Roman" w:eastAsia="Times New Roman" w:hAnsi="Times New Roman" w:cs="Times New Roman"/>
          <w:lang w:val="en-US" w:eastAsia="en-US" w:bidi="ar-SA"/>
        </w:rPr>
        <w:tab/>
        <w:t>Description of the Reduction Process For Reducible ETCNL/GFTCCs</w:t>
      </w:r>
      <w:bookmarkEnd w:id="61"/>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Before each Centralized TCC Auction, the ISO shall ensure that all of the following correspond to a simultaneously feasible security constr</w:t>
      </w:r>
      <w:r>
        <w:rPr>
          <w:rStyle w:val="DefaultParagraphFont"/>
          <w:rFonts w:ascii="Times New Roman" w:eastAsia="Times New Roman" w:hAnsi="Times New Roman" w:cs="Times New Roman"/>
          <w:lang w:val="en-US" w:eastAsia="en-US" w:bidi="ar-SA"/>
        </w:rPr>
        <w:t>ained Power Flow: (i) existing TCCs and Grandfathered Rights that are valid for any part of the duration of any TCCs to be sold in the Centralized TCC Auction, including but not limited to Fixed Price TCCs that were created pursuant to Section 19.2.</w:t>
      </w:r>
      <w:r w:rsidRPr="007B2D5A">
        <w:rPr>
          <w:rStyle w:val="DefaultParagraphFont"/>
          <w:rFonts w:ascii="Times New Roman" w:eastAsia="Times New Roman" w:hAnsi="Times New Roman" w:cs="Times New Roman"/>
          <w:lang w:val="en-US" w:eastAsia="en-US" w:bidi="ar-SA"/>
        </w:rPr>
        <w:t>1</w:t>
      </w:r>
      <w:r w:rsidRPr="007B2D5A">
        <w:rPr>
          <w:rStyle w:val="DefaultParagraphFont"/>
          <w:rFonts w:ascii="Times New Roman" w:eastAsia="Times New Roman" w:hAnsi="Times New Roman" w:cs="Times New Roman"/>
          <w:lang w:val="en-US" w:eastAsia="en-US" w:bidi="ar-SA"/>
        </w:rPr>
        <w:t xml:space="preserve"> (i</w:t>
      </w:r>
      <w:r w:rsidRPr="007B2D5A">
        <w:rPr>
          <w:rStyle w:val="DefaultParagraphFont"/>
          <w:rFonts w:ascii="Times New Roman" w:eastAsia="Times New Roman" w:hAnsi="Times New Roman" w:cs="Times New Roman"/>
          <w:lang w:val="en-US" w:eastAsia="en-US" w:bidi="ar-SA"/>
        </w:rPr>
        <w:t>ncl</w:t>
      </w:r>
      <w:r w:rsidRPr="007B2D5A">
        <w:rPr>
          <w:rStyle w:val="DefaultParagraphFont"/>
          <w:rFonts w:ascii="Times New Roman" w:eastAsia="Times New Roman" w:hAnsi="Times New Roman" w:cs="Times New Roman"/>
          <w:lang w:val="en-US" w:eastAsia="en-US" w:bidi="ar-SA"/>
        </w:rPr>
        <w:t xml:space="preserve">uding </w:t>
      </w:r>
      <w:r w:rsidRPr="007B2D5A">
        <w:rPr>
          <w:rStyle w:val="DefaultParagraphFont"/>
          <w:rFonts w:ascii="Times New Roman" w:eastAsia="Times New Roman" w:hAnsi="Times New Roman" w:cs="Times New Roman"/>
          <w:lang w:val="en-US" w:eastAsia="en-US" w:bidi="ar-SA"/>
        </w:rPr>
        <w:t xml:space="preserve">Section </w:t>
      </w:r>
      <w:r w:rsidRPr="007B2D5A">
        <w:rPr>
          <w:rStyle w:val="DefaultParagraphFont"/>
          <w:rFonts w:ascii="Times New Roman" w:eastAsia="Times New Roman" w:hAnsi="Times New Roman" w:cs="Times New Roman"/>
          <w:lang w:val="en-US" w:eastAsia="en-US" w:bidi="ar-SA"/>
        </w:rPr>
        <w:t>19.2.1.4)</w:t>
      </w:r>
      <w:r w:rsidRPr="007B2D5A">
        <w:rPr>
          <w:rStyle w:val="DefaultParagraphFont"/>
          <w:rFonts w:ascii="Times New Roman" w:eastAsia="Times New Roman" w:hAnsi="Times New Roman" w:cs="Times New Roman"/>
          <w:lang w:val="en-US" w:eastAsia="en-US" w:bidi="ar-SA"/>
        </w:rPr>
        <w:t xml:space="preserve"> or </w:t>
      </w:r>
      <w:r w:rsidRPr="007B2D5A">
        <w:rPr>
          <w:rStyle w:val="DefaultParagraphFont"/>
          <w:rFonts w:ascii="Times New Roman" w:eastAsia="Times New Roman" w:hAnsi="Times New Roman" w:cs="Times New Roman"/>
          <w:lang w:val="en-US" w:eastAsia="en-US" w:bidi="ar-SA"/>
        </w:rPr>
        <w:t>Section</w:t>
      </w:r>
      <w:r>
        <w:rPr>
          <w:rStyle w:val="DefaultParagraphFont"/>
          <w:rFonts w:ascii="Times New Roman" w:eastAsia="Times New Roman" w:hAnsi="Times New Roman" w:cs="Times New Roman"/>
          <w:lang w:val="en-US" w:eastAsia="en-US" w:bidi="ar-SA"/>
        </w:rPr>
        <w:t xml:space="preserve"> </w:t>
      </w:r>
      <w:r>
        <w:rPr>
          <w:rStyle w:val="DefaultParagraphFont"/>
          <w:rFonts w:ascii="Times New Roman" w:eastAsia="Times New Roman" w:hAnsi="Times New Roman" w:cs="Times New Roman"/>
          <w:lang w:val="en-US" w:eastAsia="en-US" w:bidi="ar-SA"/>
        </w:rPr>
        <w:t>19.2.2.of this Attachment M and Incremental TCCs awarded pursuant to Section 19.2.4 of this Attachment M; Grandfathered TCCs not subject to reduction and Original Residual TCCs to the extent not previously used to support</w:t>
      </w:r>
      <w:r>
        <w:rPr>
          <w:rStyle w:val="DefaultParagraphFont"/>
          <w:rFonts w:ascii="Times New Roman" w:eastAsia="Times New Roman" w:hAnsi="Times New Roman" w:cs="Times New Roman"/>
          <w:lang w:val="en-US" w:eastAsia="en-US" w:bidi="ar-SA"/>
        </w:rPr>
        <w:t xml:space="preserve"> the purchase of TCCs that are valid for any part of the duration of any TCCs to be sold in the Centralized TCC Auction (henceforth “TCCs and Grandfathered Rights listed in Section 19.8.2 (i)”); and (ii) ETCNL (to the extent not previously used to support </w:t>
      </w:r>
      <w:r>
        <w:rPr>
          <w:rStyle w:val="DefaultParagraphFont"/>
          <w:rFonts w:ascii="Times New Roman" w:eastAsia="Times New Roman" w:hAnsi="Times New Roman" w:cs="Times New Roman"/>
          <w:lang w:val="en-US" w:eastAsia="en-US" w:bidi="ar-SA"/>
        </w:rPr>
        <w:t>the purchase of TCCs that are valid for any part of the duration of any TCCs to be sold in the Centralized TCC Auction) and Grandfathered TCCs subject to reduction as listed in Table 1 of this Attachment M (henceforth “Table 1 ETCNL/TCCs”).  In some cases,</w:t>
      </w:r>
      <w:r>
        <w:rPr>
          <w:rStyle w:val="DefaultParagraphFont"/>
          <w:rFonts w:ascii="Times New Roman" w:eastAsia="Times New Roman" w:hAnsi="Times New Roman" w:cs="Times New Roman"/>
          <w:lang w:val="en-US" w:eastAsia="en-US" w:bidi="ar-SA"/>
        </w:rPr>
        <w:t xml:space="preserve"> the total set of all the TCCs, Grandfathered Rights, and Table 1 ETCNL/TCCs listed in (i) through (ii) above may not </w:t>
      </w:r>
      <w:r>
        <w:rPr>
          <w:rStyle w:val="DefaultParagraphFont"/>
          <w:rFonts w:ascii="Times New Roman" w:eastAsia="Times New Roman" w:hAnsi="Times New Roman" w:cs="Times New Roman"/>
          <w:lang w:val="en-US" w:eastAsia="en-US" w:bidi="ar-SA"/>
        </w:rPr>
        <w:t>correspond to a simultaneously feasible Power Flow in some period of time.  In such cases, Table 1 ETCNL/TCCs, will be reduced for that pe</w:t>
      </w:r>
      <w:r>
        <w:rPr>
          <w:rStyle w:val="DefaultParagraphFont"/>
          <w:rFonts w:ascii="Times New Roman" w:eastAsia="Times New Roman" w:hAnsi="Times New Roman" w:cs="Times New Roman"/>
          <w:lang w:val="en-US" w:eastAsia="en-US" w:bidi="ar-SA"/>
        </w:rPr>
        <w:t>riod in order to make the total set of TCCs and Grandfathered Rights listed in Section 19.8.2 (i), and Table 1 ETCNL/TCCs remaining after reduction correspond to a simultaneously feasible Power Flow.</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lang w:val="en-US" w:eastAsia="en-US" w:bidi="ar-SA"/>
        </w:rPr>
        <w:t xml:space="preserve">This reduction procedure will use the same optimization </w:t>
      </w:r>
      <w:r>
        <w:rPr>
          <w:rStyle w:val="DefaultParagraphFont"/>
          <w:rFonts w:ascii="Times New Roman" w:eastAsia="Times New Roman" w:hAnsi="Times New Roman" w:cs="Times New Roman"/>
          <w:lang w:val="en-US" w:eastAsia="en-US" w:bidi="ar-SA"/>
        </w:rPr>
        <w:t>model that will be used in the Centralized TCC Auction to determine the amount by which Table 1 ETCNL/TCCs will be reduced.  Each of the TCCs and Grandfathered Rights listed in Section 19.8.2 (i) above will be represented in the Centralized TCC Auction mod</w:t>
      </w:r>
      <w:r>
        <w:rPr>
          <w:rStyle w:val="DefaultParagraphFont"/>
          <w:rFonts w:ascii="Times New Roman" w:eastAsia="Times New Roman" w:hAnsi="Times New Roman" w:cs="Times New Roman"/>
          <w:lang w:val="en-US" w:eastAsia="en-US" w:bidi="ar-SA"/>
        </w:rPr>
        <w:t>el by a fixed injection of 1 MW at its Point of Injection, and a fixed withdrawal of 1 MW at its Point of Withdrawal.  In addition, Table 1 ETCNL/TCCs will be represented in the model, but they will be represented in such a way as to allow their reduction.</w:t>
      </w:r>
      <w:r>
        <w:rPr>
          <w:rStyle w:val="DefaultParagraphFont"/>
          <w:rFonts w:ascii="Times New Roman" w:eastAsia="Times New Roman" w:hAnsi="Times New Roman" w:cs="Times New Roman"/>
          <w:lang w:val="en-US" w:eastAsia="en-US" w:bidi="ar-SA"/>
        </w:rPr>
        <w:t xml:space="preserve">  To do so, bids for each Table 1 ETCNL/TCC will consist of a line which intersects the y-axis at $1/TCC (or any other value selected by the ISO, so long as that value is constant for each bid curve for all of these Table 1 ETCNL/TCCs) and which intersects</w:t>
      </w:r>
      <w:r>
        <w:rPr>
          <w:rStyle w:val="DefaultParagraphFont"/>
          <w:rFonts w:ascii="Times New Roman" w:eastAsia="Times New Roman" w:hAnsi="Times New Roman" w:cs="Times New Roman"/>
          <w:lang w:val="en-US" w:eastAsia="en-US" w:bidi="ar-SA"/>
        </w:rPr>
        <w:t xml:space="preserve"> the x-axis at 1 MW.  An example of the bid curve B</w:t>
      </w:r>
      <w:r>
        <w:rPr>
          <w:rStyle w:val="DefaultParagraphFont"/>
          <w:rFonts w:ascii="Times New Roman" w:eastAsia="Times New Roman" w:hAnsi="Times New Roman" w:cs="Times New Roman"/>
          <w:vertAlign w:val="subscript"/>
          <w:lang w:val="en-US" w:eastAsia="en-US" w:bidi="ar-SA"/>
        </w:rPr>
        <w:t>j</w:t>
      </w:r>
      <w:r>
        <w:rPr>
          <w:rStyle w:val="DefaultParagraphFont"/>
          <w:rFonts w:ascii="Times New Roman" w:eastAsia="Times New Roman" w:hAnsi="Times New Roman" w:cs="Times New Roman"/>
          <w:lang w:val="en-US" w:eastAsia="en-US" w:bidi="ar-SA"/>
        </w:rPr>
        <w:t xml:space="preserve"> for a representative Table 1 ETCNL/TCC is illustrated in the diagram below.</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5"/>
          <w:lang w:val="en-US" w:eastAsia="en-US" w:bidi="ar-SA"/>
        </w:rPr>
        <w:t>The TCC auction software will determine the amount of each Table 1 ETCNL/TCC that will remain after reduction, which is designa</w:t>
      </w:r>
      <w:r>
        <w:rPr>
          <w:rStyle w:val="DefaultParagraphFont"/>
          <w:rFonts w:ascii="Times New Roman" w:eastAsia="Times New Roman" w:hAnsi="Times New Roman" w:cs="Times New Roman"/>
          <w:color w:val="000000"/>
          <w:spacing w:val="-5"/>
          <w:lang w:val="en-US" w:eastAsia="en-US" w:bidi="ar-SA"/>
        </w:rPr>
        <w:t>ted as A</w:t>
      </w:r>
      <w:r>
        <w:rPr>
          <w:rStyle w:val="DefaultParagraphFont"/>
          <w:rFonts w:ascii="Times New Roman" w:eastAsia="Times New Roman" w:hAnsi="Times New Roman" w:cs="Times New Roman"/>
          <w:color w:val="000000"/>
          <w:spacing w:val="-5"/>
          <w:vertAlign w:val="subscript"/>
          <w:lang w:val="en-US" w:eastAsia="en-US" w:bidi="ar-SA"/>
        </w:rPr>
        <w:t>j</w:t>
      </w:r>
      <w:r>
        <w:rPr>
          <w:rStyle w:val="DefaultParagraphFont"/>
          <w:rFonts w:ascii="Times New Roman" w:eastAsia="Times New Roman" w:hAnsi="Times New Roman" w:cs="Times New Roman"/>
          <w:color w:val="000000"/>
          <w:spacing w:val="-5"/>
          <w:lang w:val="en-US" w:eastAsia="en-US" w:bidi="ar-SA"/>
        </w:rPr>
        <w:t xml:space="preserve"> in the diagram.  The objective function that the TCC auction </w:t>
      </w:r>
      <w:r>
        <w:rPr>
          <w:rStyle w:val="DefaultParagraphFont"/>
          <w:rFonts w:ascii="Times New Roman" w:eastAsia="Times New Roman" w:hAnsi="Times New Roman" w:cs="Times New Roman"/>
          <w:lang w:val="en-US" w:eastAsia="en-US" w:bidi="ar-SA"/>
        </w:rPr>
        <w:t>software</w:t>
      </w:r>
      <w:r>
        <w:rPr>
          <w:rStyle w:val="DefaultParagraphFont"/>
          <w:rFonts w:ascii="Times New Roman" w:eastAsia="Times New Roman" w:hAnsi="Times New Roman" w:cs="Times New Roman"/>
          <w:color w:val="000000"/>
          <w:lang w:val="en-US" w:eastAsia="en-US" w:bidi="ar-SA"/>
        </w:rPr>
        <w:t xml:space="preserve"> will use to determine these coefficients A</w:t>
      </w:r>
      <w:r>
        <w:rPr>
          <w:rStyle w:val="DefaultParagraphFont"/>
          <w:rFonts w:ascii="Times New Roman" w:eastAsia="Times New Roman" w:hAnsi="Times New Roman" w:cs="Times New Roman"/>
          <w:color w:val="000000"/>
          <w:vertAlign w:val="subscript"/>
          <w:lang w:val="en-US" w:eastAsia="en-US" w:bidi="ar-SA"/>
        </w:rPr>
        <w:t>j</w:t>
      </w:r>
      <w:r>
        <w:rPr>
          <w:rStyle w:val="DefaultParagraphFont"/>
          <w:rFonts w:ascii="Times New Roman" w:eastAsia="Times New Roman" w:hAnsi="Times New Roman" w:cs="Times New Roman"/>
          <w:color w:val="000000"/>
          <w:lang w:val="en-US" w:eastAsia="en-US" w:bidi="ar-SA"/>
        </w:rPr>
        <w:t xml:space="preserve"> will be to maximize:</w:t>
      </w:r>
    </w:p>
    <w:p w:rsidR="00117F15" w:rsidRPr="00771FC3" w:rsidP="00771FC3">
      <w:pPr>
        <w:pStyle w:val="Bodypara6"/>
        <w:rPr>
          <w:rStyle w:val="DefaultParagraphFont"/>
          <w:rFonts w:ascii="Times New Roman" w:eastAsia="Times New Roman" w:hAnsi="Times New Roman" w:cs="Times New Roman"/>
          <w:color w:val="000000"/>
          <w:lang w:val="en-US" w:eastAsia="en-US" w:bidi="ar-SA"/>
        </w:rPr>
      </w:pPr>
      <m:oMathPara>
        <m:oMath>
          <m:nary>
            <m:naryPr>
              <m:chr m:val="∑"/>
              <m:limLoc m:val="undOvr"/>
              <m:supHide/>
              <m:ctrlPr>
                <w:rPr>
                  <w:rStyle w:val="DefaultParagraphFont"/>
                  <w:rFonts w:ascii="Cambria Math" w:eastAsia="Times New Roman" w:hAnsi="Cambria Math" w:cs="Times New Roman"/>
                  <w:i/>
                  <w:color w:val="000000"/>
                  <w:lang w:val="en-US" w:eastAsia="en-US" w:bidi="ar-SA"/>
                </w:rPr>
              </m:ctrlPr>
            </m:naryPr>
            <m:sub>
              <m:ctrlPr>
                <w:rPr>
                  <w:rStyle w:val="DefaultParagraphFont"/>
                  <w:rFonts w:ascii="Times New Roman" w:eastAsia="Times New Roman" w:hAnsi="Times New Roman" w:cs="Times New Roman"/>
                  <w:lang w:val="en-US" w:eastAsia="en-US" w:bidi="ar-SA"/>
                </w:rPr>
              </m:ctrlPr>
              <m:r>
                <w:rPr>
                  <w:rStyle w:val="DefaultParagraphFont"/>
                  <w:rFonts w:ascii="Cambria Math" w:eastAsia="Times New Roman" w:hAnsi="Cambria Math" w:cs="Times New Roman"/>
                  <w:color w:val="000000"/>
                  <w:lang w:val="en-US" w:eastAsia="en-US" w:bidi="ar-SA"/>
                </w:rPr>
                <m:t>j</m:t>
              </m:r>
              <m:r>
                <w:rPr>
                  <w:rStyle w:val="DefaultParagraphFont"/>
                  <w:rFonts w:ascii="Cambria Math" w:eastAsia="Times New Roman" w:hAnsi="Cambria Math" w:cs="Times New Roman"/>
                  <w:color w:val="000000"/>
                  <w:lang w:val="en-US" w:eastAsia="en-US" w:bidi="ar-SA"/>
                </w:rPr>
                <m:t>∈</m:t>
              </m:r>
              <m:r>
                <w:rPr>
                  <w:rStyle w:val="DefaultParagraphFont"/>
                  <w:rFonts w:ascii="Cambria Math" w:eastAsia="Times New Roman" w:hAnsi="Cambria Math" w:cs="Times New Roman"/>
                  <w:color w:val="000000"/>
                  <w:lang w:val="en-US" w:eastAsia="en-US" w:bidi="ar-SA"/>
                </w:rPr>
                <m:t>N</m:t>
              </m:r>
            </m:sub>
            <m:sup>
              <m:ctrlPr>
                <w:rPr>
                  <w:rStyle w:val="DefaultParagraphFont"/>
                  <w:rFonts w:ascii="Times New Roman" w:eastAsia="Times New Roman" w:hAnsi="Times New Roman" w:cs="Times New Roman"/>
                  <w:lang w:val="en-US" w:eastAsia="en-US" w:bidi="ar-SA"/>
                </w:rPr>
              </m:ctrlPr>
            </m:sup>
            <m:e>
              <m:ctrlPr>
                <w:rPr>
                  <w:rStyle w:val="DefaultParagraphFont"/>
                  <w:rFonts w:ascii="Times New Roman" w:eastAsia="Times New Roman" w:hAnsi="Times New Roman" w:cs="Times New Roman"/>
                  <w:lang w:val="en-US" w:eastAsia="en-US" w:bidi="ar-SA"/>
                </w:rPr>
              </m:ctrlPr>
              <m:nary>
                <m:naryPr>
                  <m:limLoc m:val="undOvr"/>
                  <m:ctrlPr>
                    <w:rPr>
                      <w:rStyle w:val="DefaultParagraphFont"/>
                      <w:rFonts w:ascii="Cambria Math" w:eastAsia="Times New Roman" w:hAnsi="Cambria Math" w:cs="Times New Roman"/>
                      <w:i/>
                      <w:color w:val="000000"/>
                      <w:lang w:val="en-US" w:eastAsia="en-US" w:bidi="ar-SA"/>
                    </w:rPr>
                  </m:ctrlPr>
                </m:naryPr>
                <m:sub>
                  <m:ctrlPr>
                    <w:rPr>
                      <w:rStyle w:val="DefaultParagraphFont"/>
                      <w:rFonts w:ascii="Times New Roman" w:eastAsia="Times New Roman" w:hAnsi="Times New Roman" w:cs="Times New Roman"/>
                      <w:lang w:val="en-US" w:eastAsia="en-US" w:bidi="ar-SA"/>
                    </w:rPr>
                  </m:ctrlPr>
                  <m:r>
                    <w:rPr>
                      <w:rStyle w:val="DefaultParagraphFont"/>
                      <w:rFonts w:ascii="Cambria Math" w:eastAsia="Times New Roman" w:hAnsi="Cambria Math" w:cs="Times New Roman"/>
                      <w:color w:val="000000"/>
                      <w:lang w:val="en-US" w:eastAsia="en-US" w:bidi="ar-SA"/>
                    </w:rPr>
                    <m:t>0</m:t>
                  </m:r>
                </m:sub>
                <m:sup>
                  <m:ctrlPr>
                    <w:rPr>
                      <w:rStyle w:val="DefaultParagraphFont"/>
                      <w:rFonts w:ascii="Times New Roman" w:eastAsia="Times New Roman" w:hAnsi="Times New Roman" w:cs="Times New Roman"/>
                      <w:lang w:val="en-US" w:eastAsia="en-US" w:bidi="ar-SA"/>
                    </w:rPr>
                  </m:ctrlPr>
                  <m:sSub>
                    <m:sSubPr>
                      <m:ctrlPr>
                        <w:rPr>
                          <w:rStyle w:val="DefaultParagraphFont"/>
                          <w:rFonts w:ascii="Cambria Math" w:eastAsia="Times New Roman" w:hAnsi="Cambria Math" w:cs="Times New Roman"/>
                          <w:i/>
                          <w:color w:val="000000"/>
                          <w:lang w:val="en-US" w:eastAsia="en-US" w:bidi="ar-SA"/>
                        </w:rPr>
                      </m:ctrlPr>
                    </m:sSubPr>
                    <m:e>
                      <m:ctrlPr>
                        <w:rPr>
                          <w:rStyle w:val="DefaultParagraphFont"/>
                          <w:rFonts w:ascii="Times New Roman" w:eastAsia="Times New Roman" w:hAnsi="Times New Roman" w:cs="Times New Roman"/>
                          <w:lang w:val="en-US" w:eastAsia="en-US" w:bidi="ar-SA"/>
                        </w:rPr>
                      </m:ctrlPr>
                      <m:r>
                        <w:rPr>
                          <w:rStyle w:val="DefaultParagraphFont"/>
                          <w:rFonts w:ascii="Cambria Math" w:eastAsia="Times New Roman" w:hAnsi="Cambria Math" w:cs="Times New Roman"/>
                          <w:color w:val="000000"/>
                          <w:lang w:val="en-US" w:eastAsia="en-US" w:bidi="ar-SA"/>
                        </w:rPr>
                        <m:t>A</m:t>
                      </m:r>
                    </m:e>
                    <m:sub>
                      <m:ctrlPr>
                        <w:rPr>
                          <w:rStyle w:val="DefaultParagraphFont"/>
                          <w:rFonts w:ascii="Times New Roman" w:eastAsia="Times New Roman" w:hAnsi="Times New Roman" w:cs="Times New Roman"/>
                          <w:lang w:val="en-US" w:eastAsia="en-US" w:bidi="ar-SA"/>
                        </w:rPr>
                      </m:ctrlPr>
                      <m:r>
                        <w:rPr>
                          <w:rStyle w:val="DefaultParagraphFont"/>
                          <w:rFonts w:ascii="Cambria Math" w:eastAsia="Times New Roman" w:hAnsi="Cambria Math" w:cs="Times New Roman"/>
                          <w:color w:val="000000"/>
                          <w:lang w:val="en-US" w:eastAsia="en-US" w:bidi="ar-SA"/>
                        </w:rPr>
                        <m:t>j</m:t>
                      </m:r>
                    </m:sub>
                  </m:sSub>
                </m:sup>
                <m:e>
                  <m:ctrlPr>
                    <w:rPr>
                      <w:rStyle w:val="DefaultParagraphFont"/>
                      <w:rFonts w:ascii="Times New Roman" w:eastAsia="Times New Roman" w:hAnsi="Times New Roman" w:cs="Times New Roman"/>
                      <w:lang w:val="en-US" w:eastAsia="en-US" w:bidi="ar-SA"/>
                    </w:rPr>
                  </m:ctrlPr>
                  <m:sSub>
                    <m:sSubPr>
                      <m:ctrlPr>
                        <w:rPr>
                          <w:rStyle w:val="DefaultParagraphFont"/>
                          <w:rFonts w:ascii="Cambria Math" w:eastAsia="Times New Roman" w:hAnsi="Cambria Math" w:cs="Times New Roman"/>
                          <w:i/>
                          <w:color w:val="000000"/>
                          <w:lang w:val="en-US" w:eastAsia="en-US" w:bidi="ar-SA"/>
                        </w:rPr>
                      </m:ctrlPr>
                    </m:sSubPr>
                    <m:e>
                      <m:ctrlPr>
                        <w:rPr>
                          <w:rStyle w:val="DefaultParagraphFont"/>
                          <w:rFonts w:ascii="Times New Roman" w:eastAsia="Times New Roman" w:hAnsi="Times New Roman" w:cs="Times New Roman"/>
                          <w:lang w:val="en-US" w:eastAsia="en-US" w:bidi="ar-SA"/>
                        </w:rPr>
                      </m:ctrlPr>
                      <m:r>
                        <m:rPr>
                          <m:sty m:val="p"/>
                        </m:rPr>
                        <w:rPr>
                          <w:rStyle w:val="DefaultParagraphFont"/>
                          <w:rFonts w:ascii="Cambria Math" w:eastAsia="Times New Roman" w:hAnsi="Cambria Math" w:cs="Times New Roman"/>
                          <w:color w:val="000000"/>
                          <w:lang w:val="en-US" w:eastAsia="en-US" w:bidi="ar-SA"/>
                        </w:rPr>
                        <m:t>B</m:t>
                      </m:r>
                    </m:e>
                    <m:sub>
                      <m:ctrlPr>
                        <w:rPr>
                          <w:rStyle w:val="DefaultParagraphFont"/>
                          <w:rFonts w:ascii="Times New Roman" w:eastAsia="Times New Roman" w:hAnsi="Times New Roman" w:cs="Times New Roman"/>
                          <w:lang w:val="en-US" w:eastAsia="en-US" w:bidi="ar-SA"/>
                        </w:rPr>
                      </m:ctrlPr>
                      <m:r>
                        <w:rPr>
                          <w:rStyle w:val="DefaultParagraphFont"/>
                          <w:rFonts w:ascii="Cambria Math" w:eastAsia="Times New Roman" w:hAnsi="Cambria Math" w:cs="Times New Roman"/>
                          <w:color w:val="000000"/>
                          <w:lang w:val="en-US" w:eastAsia="en-US" w:bidi="ar-SA"/>
                        </w:rPr>
                        <m:t>j</m:t>
                      </m:r>
                    </m:sub>
                  </m:sSub>
                </m:e>
              </m:nary>
            </m:e>
          </m:nary>
        </m:oMath>
      </m:oMathPara>
    </w:p>
    <w:p w:rsidR="00117F15">
      <w:pPr>
        <w:pStyle w:val="Normal8"/>
        <w:jc w:val="center"/>
        <w:rPr>
          <w:rStyle w:val="DefaultParagraphFont"/>
          <w:rFonts w:ascii="Times New Roman" w:eastAsia="Times New Roman" w:hAnsi="Times New Roman" w:cs="Times New Roman"/>
          <w:color w:val="000000"/>
          <w:lang w:val="en-US" w:eastAsia="en-US" w:bidi="ar-SA"/>
        </w:rPr>
      </w:pPr>
    </w:p>
    <w:p w:rsidR="00117F15">
      <w:pPr>
        <w:pStyle w:val="Normal8"/>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Where:</w:t>
      </w:r>
    </w:p>
    <w:p w:rsidR="00117F15">
      <w:pPr>
        <w:pStyle w:val="Normal8"/>
        <w:rPr>
          <w:rStyle w:val="DefaultParagraphFont"/>
          <w:rFonts w:ascii="Times New Roman" w:eastAsia="Times New Roman" w:hAnsi="Times New Roman" w:cs="Times New Roman"/>
          <w:color w:val="000000"/>
          <w:lang w:val="en-US" w:eastAsia="en-US" w:bidi="ar-SA"/>
        </w:rPr>
      </w:pPr>
    </w:p>
    <w:p w:rsidR="00117F15">
      <w:pPr>
        <w:pStyle w:val="Normal8"/>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N = The set of Table 1 ETCNL/TCCs</w:t>
      </w:r>
    </w:p>
    <w:p w:rsidR="00117F15">
      <w:pPr>
        <w:pStyle w:val="Normal8"/>
        <w:rPr>
          <w:rStyle w:val="DefaultParagraphFont"/>
          <w:rFonts w:ascii="Times New Roman" w:eastAsia="Times New Roman" w:hAnsi="Times New Roman" w:cs="Times New Roman"/>
          <w:color w:val="000000"/>
          <w:lang w:val="en-US" w:eastAsia="en-US" w:bidi="ar-SA"/>
        </w:rPr>
      </w:pPr>
    </w:p>
    <w:p w:rsidR="00117F15">
      <w:pPr>
        <w:pStyle w:val="Normal8"/>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j = Any individual Table 1 ETCNL/TCC</w:t>
      </w:r>
    </w:p>
    <w:p w:rsidR="00117F15">
      <w:pPr>
        <w:pStyle w:val="Normal8"/>
        <w:rPr>
          <w:rStyle w:val="DefaultParagraphFont"/>
          <w:rFonts w:ascii="Times New Roman" w:eastAsia="Times New Roman" w:hAnsi="Times New Roman" w:cs="Times New Roman"/>
          <w:color w:val="000000"/>
          <w:lang w:val="en-US" w:eastAsia="en-US" w:bidi="ar-SA"/>
        </w:rPr>
      </w:pPr>
    </w:p>
    <w:p w:rsidR="00117F15">
      <w:pPr>
        <w:pStyle w:val="Normal8"/>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A</w:t>
      </w:r>
      <w:r>
        <w:rPr>
          <w:rStyle w:val="DefaultParagraphFont"/>
          <w:rFonts w:ascii="Times New Roman" w:eastAsia="Times New Roman" w:hAnsi="Times New Roman" w:cs="Times New Roman"/>
          <w:color w:val="000000"/>
          <w:vertAlign w:val="subscript"/>
          <w:lang w:val="en-US" w:eastAsia="en-US" w:bidi="ar-SA"/>
        </w:rPr>
        <w:t>j</w:t>
      </w:r>
      <w:r>
        <w:rPr>
          <w:rStyle w:val="DefaultParagraphFont"/>
          <w:rFonts w:ascii="Times New Roman" w:eastAsia="Times New Roman" w:hAnsi="Times New Roman" w:cs="Times New Roman"/>
          <w:color w:val="000000"/>
          <w:lang w:val="en-US" w:eastAsia="en-US" w:bidi="ar-SA"/>
        </w:rPr>
        <w:t xml:space="preserve"> = Any amount</w:t>
      </w:r>
      <w:r>
        <w:rPr>
          <w:rStyle w:val="DefaultParagraphFont"/>
          <w:rFonts w:ascii="Times New Roman" w:eastAsia="Times New Roman" w:hAnsi="Times New Roman" w:cs="Times New Roman"/>
          <w:color w:val="000000"/>
          <w:lang w:val="en-US" w:eastAsia="en-US" w:bidi="ar-SA"/>
        </w:rPr>
        <w:t xml:space="preserve"> of each Table 1 ETCNL/TCC(j) remaining</w:t>
      </w:r>
    </w:p>
    <w:p w:rsidR="00117F15">
      <w:pPr>
        <w:pStyle w:val="Normal8"/>
        <w:rPr>
          <w:rStyle w:val="DefaultParagraphFont"/>
          <w:rFonts w:ascii="Times New Roman" w:eastAsia="Times New Roman" w:hAnsi="Times New Roman" w:cs="Times New Roman"/>
          <w:color w:val="000000"/>
          <w:lang w:val="en-US" w:eastAsia="en-US" w:bidi="ar-SA"/>
        </w:rPr>
      </w:pPr>
    </w:p>
    <w:p w:rsidR="00117F15">
      <w:pPr>
        <w:pStyle w:val="Normal8"/>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B</w:t>
      </w:r>
      <w:r>
        <w:rPr>
          <w:rStyle w:val="DefaultParagraphFont"/>
          <w:rFonts w:ascii="Times New Roman" w:eastAsia="Times New Roman" w:hAnsi="Times New Roman" w:cs="Times New Roman"/>
          <w:color w:val="000000"/>
          <w:vertAlign w:val="subscript"/>
          <w:lang w:val="en-US" w:eastAsia="en-US" w:bidi="ar-SA"/>
        </w:rPr>
        <w:t>j</w:t>
      </w:r>
      <w:r>
        <w:rPr>
          <w:rStyle w:val="DefaultParagraphFont"/>
          <w:rFonts w:ascii="Times New Roman" w:eastAsia="Times New Roman" w:hAnsi="Times New Roman" w:cs="Times New Roman"/>
          <w:color w:val="000000"/>
          <w:lang w:val="en-US" w:eastAsia="en-US" w:bidi="ar-SA"/>
        </w:rPr>
        <w:t xml:space="preserve"> = As defined by the diagram</w:t>
      </w:r>
    </w:p>
    <w:p w:rsidR="00117F15">
      <w:pPr>
        <w:pStyle w:val="Normal8"/>
        <w:rPr>
          <w:rStyle w:val="DefaultParagraphFont"/>
          <w:rFonts w:ascii="Times New Roman" w:eastAsia="Times New Roman" w:hAnsi="Times New Roman" w:cs="Times New Roman"/>
          <w:color w:val="000000"/>
          <w:lang w:val="en-US" w:eastAsia="en-US" w:bidi="ar-SA"/>
        </w:rPr>
      </w:pPr>
    </w:p>
    <w:p w:rsidR="00117F15">
      <w:pPr>
        <w:pStyle w:val="Bodypara6"/>
        <w:ind w:firstLine="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subject to the </w:t>
      </w:r>
      <w:r>
        <w:rPr>
          <w:rStyle w:val="DefaultParagraphFont"/>
          <w:rFonts w:ascii="Times New Roman" w:eastAsia="Times New Roman" w:hAnsi="Times New Roman" w:cs="Times New Roman"/>
          <w:color w:val="000000"/>
          <w:spacing w:val="-5"/>
          <w:lang w:val="en-US" w:eastAsia="en-US" w:bidi="ar-SA"/>
        </w:rPr>
        <w:t>constraint</w:t>
      </w:r>
      <w:r>
        <w:rPr>
          <w:rStyle w:val="DefaultParagraphFont"/>
          <w:rFonts w:ascii="Times New Roman" w:eastAsia="Times New Roman" w:hAnsi="Times New Roman" w:cs="Times New Roman"/>
          <w:color w:val="000000"/>
          <w:lang w:val="en-US" w:eastAsia="en-US" w:bidi="ar-SA"/>
        </w:rPr>
        <w:t xml:space="preserve"> that injections and withdrawals corresponding to </w:t>
      </w:r>
      <w:r>
        <w:rPr>
          <w:rStyle w:val="DefaultParagraphFont"/>
          <w:rFonts w:ascii="Times New Roman" w:eastAsia="Times New Roman" w:hAnsi="Times New Roman" w:cs="Times New Roman"/>
          <w:color w:val="000000"/>
          <w:spacing w:val="-8"/>
          <w:lang w:val="en-US" w:eastAsia="en-US" w:bidi="ar-SA"/>
        </w:rPr>
        <w:t>the TCCs and Grandfathered Rights listed in Section 19.8.2</w:t>
      </w:r>
      <w:r>
        <w:rPr>
          <w:rStyle w:val="DefaultParagraphFont"/>
          <w:rFonts w:ascii="Times New Roman" w:eastAsia="Times New Roman" w:hAnsi="Times New Roman" w:cs="Times New Roman"/>
          <w:color w:val="000000"/>
          <w:spacing w:val="-8"/>
          <w:lang w:val="en-US" w:eastAsia="en-US" w:bidi="ar-SA"/>
        </w:rPr>
        <w:t>(i)</w:t>
      </w:r>
      <w:r>
        <w:rPr>
          <w:rStyle w:val="DefaultParagraphFont"/>
          <w:rFonts w:ascii="Times New Roman" w:eastAsia="Times New Roman" w:hAnsi="Times New Roman" w:cs="Times New Roman"/>
          <w:color w:val="000000"/>
          <w:spacing w:val="-8"/>
          <w:lang w:val="en-US" w:eastAsia="en-US" w:bidi="ar-SA"/>
        </w:rPr>
        <w:t xml:space="preserve"> and Table 1 ETCNL/TCCs remaining after reduction must be simultaneously feasible in a Power Flow.  </w:t>
      </w:r>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spacing w:val="-8"/>
          <w:lang w:val="en-US" w:eastAsia="en-US" w:bidi="ar-SA"/>
        </w:rPr>
        <w:t xml:space="preserve">As a result, the </w:t>
      </w:r>
      <w:r>
        <w:rPr>
          <w:rStyle w:val="DefaultParagraphFont"/>
          <w:rFonts w:ascii="Times New Roman" w:eastAsia="Times New Roman" w:hAnsi="Times New Roman" w:cs="Times New Roman"/>
          <w:color w:val="000000"/>
          <w:spacing w:val="-5"/>
          <w:lang w:val="en-US" w:eastAsia="en-US" w:bidi="ar-SA"/>
        </w:rPr>
        <w:t>objective</w:t>
      </w:r>
      <w:r>
        <w:rPr>
          <w:rStyle w:val="DefaultParagraphFont"/>
          <w:rFonts w:ascii="Times New Roman" w:eastAsia="Times New Roman" w:hAnsi="Times New Roman" w:cs="Times New Roman"/>
          <w:spacing w:val="-4"/>
          <w:lang w:val="en-US" w:eastAsia="en-US" w:bidi="ar-SA"/>
        </w:rPr>
        <w:t xml:space="preserve"> function will maximize the area under the bid curve for each Table 1 ETCNL/TCC that remains after reduction, summed over all Tab</w:t>
      </w:r>
      <w:r>
        <w:rPr>
          <w:rStyle w:val="DefaultParagraphFont"/>
          <w:rFonts w:ascii="Times New Roman" w:eastAsia="Times New Roman" w:hAnsi="Times New Roman" w:cs="Times New Roman"/>
          <w:spacing w:val="-4"/>
          <w:lang w:val="en-US" w:eastAsia="en-US" w:bidi="ar-SA"/>
        </w:rPr>
        <w:t xml:space="preserve">le 1 ETCNL/TCCs, subject to the simultaneous feasibility constraint.  This area </w:t>
      </w:r>
      <w:r>
        <w:rPr>
          <w:rStyle w:val="DefaultParagraphFont"/>
          <w:rFonts w:ascii="Times New Roman" w:eastAsia="Times New Roman" w:hAnsi="Times New Roman" w:cs="Times New Roman"/>
          <w:lang w:val="en-US" w:eastAsia="en-US" w:bidi="ar-SA"/>
        </w:rPr>
        <w:t>for one Table 1 ETCNL/TCC is illustrated in the following diagram:</w:t>
      </w:r>
    </w:p>
    <w:p w:rsidR="00117F15" w:rsidP="00124C93">
      <w:pPr>
        <w:pStyle w:val="Normal8"/>
        <w:spacing w:after="120"/>
        <w:jc w:val="center"/>
        <w:rPr>
          <w:rStyle w:val="DefaultParagraphFont"/>
          <w:rFonts w:ascii="Times New Roman" w:eastAsia="Times New Roman" w:hAnsi="Times New Roman" w:cs="Times New Roman"/>
          <w:sz w:val="32"/>
          <w:lang w:val="en-US" w:eastAsia="en-US" w:bidi="ar-SA"/>
        </w:rPr>
      </w:pPr>
      <w:r>
        <w:rPr>
          <w:rStyle w:val="DefaultParagraphFont"/>
          <w:rFonts w:ascii="Times New Roman" w:eastAsia="Times New Roman" w:hAnsi="Times New Roman" w:cs="Times New Roman"/>
          <w:sz w:val="32"/>
          <w:lang w:val="en-US" w:eastAsia="en-US" w:bidi="ar-SA"/>
        </w:rPr>
        <w:t>Bid Curve B</w:t>
      </w:r>
      <w:r>
        <w:rPr>
          <w:rStyle w:val="DefaultParagraphFont"/>
          <w:rFonts w:ascii="Times New Roman" w:eastAsia="Times New Roman" w:hAnsi="Times New Roman" w:cs="Times New Roman"/>
          <w:sz w:val="32"/>
          <w:vertAlign w:val="subscript"/>
          <w:lang w:val="en-US" w:eastAsia="en-US" w:bidi="ar-SA"/>
        </w:rPr>
        <w:t>j</w:t>
      </w:r>
      <w:r>
        <w:rPr>
          <w:rStyle w:val="DefaultParagraphFont"/>
          <w:rFonts w:ascii="Times New Roman" w:eastAsia="Times New Roman" w:hAnsi="Times New Roman" w:cs="Times New Roman"/>
          <w:sz w:val="32"/>
          <w:lang w:val="en-US" w:eastAsia="en-US" w:bidi="ar-SA"/>
        </w:rPr>
        <w:t xml:space="preserve"> for TCCj</w:t>
      </w:r>
    </w:p>
    <w:p w:rsidR="00124C93" w:rsidRPr="00124C93" w:rsidP="00E31071">
      <w:pPr>
        <w:pStyle w:val="Header0"/>
        <w:tabs>
          <w:tab w:val="left" w:pos="6480"/>
        </w:tabs>
        <w:jc w:val="center"/>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noProof/>
          <w:lang w:val="en-US" w:eastAsia="en-US" w:bidi="ar-SA"/>
        </w:rPr>
        <w:pict>
          <v:group id="Group 3" o:spid="_x0000_i1042" style="height:152.55pt;mso-position-horizontal-relative:char;mso-position-vertical-relative:line;width:215.55pt" coordorigin="4808,6000" coordsize="4311,3051">
            <v:group id="Group 4" o:spid="_x0000_s1043" style="height:2682;left:5340;position:absolute;top:6000;width:3578" coordorigin="5340,6000" coordsize="3578,2682">
              <v:shape id="AutoShape 5" o:spid="_x0000_s1044" type="#_x0000_t32" style="flip:x;height:322;left:6923;mso-wrap-style:square;position:absolute;top:7403;visibility:visible;width:457" o:connectortype="straight">
                <v:stroke endarrow="classic"/>
              </v:shape>
              <v:group id="Group 6" o:spid="_x0000_s1045" style="height:2682;left:5340;position:absolute;top:6000;width:3578" coordorigin="5340,6000" coordsize="3578,2682">
                <v:shape id="Freeform 7" o:spid="_x0000_s1046" style="height:2419;left:5340;mso-wrap-style:square;position:absolute;top:6263;v-text-anchor:top;visibility:visible;width:1170" coordsize="1170,2419" path="m,l,2419l1170,2419l1170,1180,,xe" fillcolor="#d8d8d8" stroked="f">
                  <v:path arrowok="t" o:connecttype="custom" o:connectlocs="0,0;0,2419;1170,2419;1170,1180;0,0" o:connectangles="0,0,0,0,0"/>
                </v:shape>
                <v:shape id="AutoShape 8" o:spid="_x0000_s1047" type="#_x0000_t32" style="height:2678;left:5340;mso-wrap-style:square;position:absolute;top:6000;visibility:visible;width:0" o:connectortype="straight"/>
                <v:shape id="AutoShape 9" o:spid="_x0000_s1048" type="#_x0000_t32" style="flip:x;height:4;left:5340;mso-wrap-style:square;position:absolute;top:8678;visibility:visible;width:3578" o:connectortype="straight"/>
                <v:shape id="AutoShape 10" o:spid="_x0000_s1049" type="#_x0000_t32" style="height:2415;left:5340;mso-wrap-style:square;position:absolute;top:6263;visibility:visible;width:2422" o:connectortype="straight"/>
                <v:shape id="AutoShape 11" o:spid="_x0000_s1050" type="#_x0000_t32" style="flip:y;height:1235;left:6510;mso-wrap-style:square;position:absolute;top:7443;visibility:visible;width:0" o:connectortype="straight"/>
              </v:group>
            </v:group>
            <v:group id="Group 12" o:spid="_x0000_s1051" style="height:2943;left:4808;position:absolute;top:6108;width:4311" coordorigin="4808,6108" coordsize="4311,2943">
              <v:shape id="Text Box 13" o:spid="_x0000_s1052" type="#_x0000_t202" style="height:332;left:8280;mso-wrap-style:square;position:absolute;top:8662;v-text-anchor:top;visibility:visible;width:839" filled="f" stroked="f">
                <v:textbox>
                  <w:txbxContent>
                    <w:p w:rsidR="00124C93" w:rsidRPr="0018623D" w:rsidP="00124C93">
                      <w:pPr>
                        <w:pStyle w:val="Normal8"/>
                        <w:rPr>
                          <w:rStyle w:val="DefaultParagraphFont"/>
                          <w:rFonts w:ascii="Times New Roman" w:eastAsia="Times New Roman" w:hAnsi="Times New Roman" w:cs="Times New Roman"/>
                          <w:sz w:val="18"/>
                          <w:szCs w:val="18"/>
                          <w:lang w:val="en-US" w:eastAsia="en-US" w:bidi="ar-SA"/>
                        </w:rPr>
                      </w:pPr>
                      <w:r>
                        <w:rPr>
                          <w:rStyle w:val="DefaultParagraphFont"/>
                          <w:rFonts w:ascii="Times New Roman" w:eastAsia="Times New Roman" w:hAnsi="Times New Roman" w:cs="Times New Roman"/>
                          <w:sz w:val="18"/>
                          <w:szCs w:val="18"/>
                          <w:lang w:val="en-US" w:eastAsia="en-US" w:bidi="ar-SA"/>
                        </w:rPr>
                        <w:t>TCC</w:t>
                      </w:r>
                      <w:r w:rsidRPr="0018623D">
                        <w:rPr>
                          <w:rStyle w:val="DefaultParagraphFont"/>
                          <w:rFonts w:ascii="Times New Roman" w:eastAsia="Times New Roman" w:hAnsi="Times New Roman" w:cs="Times New Roman"/>
                          <w:sz w:val="18"/>
                          <w:szCs w:val="18"/>
                          <w:lang w:val="en-US" w:eastAsia="en-US" w:bidi="ar-SA"/>
                        </w:rPr>
                        <w:t>s</w:t>
                      </w:r>
                    </w:p>
                  </w:txbxContent>
                </v:textbox>
              </v:shape>
              <v:shape id="Text Box 14" o:spid="_x0000_s1053" type="#_x0000_t202" style="height:332;left:7565;mso-wrap-style:square;position:absolute;top:8666;v-text-anchor:top;visibility:visible;width:388" filled="f" stroked="f">
                <v:textbox>
                  <w:txbxContent>
                    <w:p w:rsidR="00124C93" w:rsidRPr="0018623D" w:rsidP="00124C93">
                      <w:pPr>
                        <w:pStyle w:val="Normal8"/>
                        <w:rPr>
                          <w:rStyle w:val="DefaultParagraphFont"/>
                          <w:rFonts w:ascii="Times New Roman" w:eastAsia="Times New Roman" w:hAnsi="Times New Roman" w:cs="Times New Roman"/>
                          <w:sz w:val="18"/>
                          <w:szCs w:val="18"/>
                          <w:lang w:val="en-US" w:eastAsia="en-US" w:bidi="ar-SA"/>
                        </w:rPr>
                      </w:pPr>
                      <w:r w:rsidRPr="0018623D">
                        <w:rPr>
                          <w:rStyle w:val="DefaultParagraphFont"/>
                          <w:rFonts w:ascii="Times New Roman" w:eastAsia="Times New Roman" w:hAnsi="Times New Roman" w:cs="Times New Roman"/>
                          <w:sz w:val="24"/>
                          <w:szCs w:val="18"/>
                          <w:lang w:val="en-US" w:eastAsia="en-US" w:bidi="ar-SA"/>
                        </w:rPr>
                        <w:t>1</w:t>
                      </w:r>
                    </w:p>
                  </w:txbxContent>
                </v:textbox>
              </v:shape>
              <v:shape id="Text Box 15" o:spid="_x0000_s1054" type="#_x0000_t202" style="height:332;left:4940;mso-wrap-style:square;position:absolute;top:8508;v-text-anchor:top;visibility:visible;width:388" filled="f" stroked="f">
                <v:textbox>
                  <w:txbxContent>
                    <w:p w:rsidR="00124C93" w:rsidRPr="0018623D" w:rsidP="00124C93">
                      <w:pPr>
                        <w:pStyle w:val="Normal8"/>
                        <w:jc w:val="right"/>
                        <w:rPr>
                          <w:rStyle w:val="DefaultParagraphFont"/>
                          <w:rFonts w:ascii="Times New Roman" w:eastAsia="Times New Roman" w:hAnsi="Times New Roman" w:cs="Times New Roman"/>
                          <w:sz w:val="18"/>
                          <w:szCs w:val="18"/>
                          <w:lang w:val="en-US" w:eastAsia="en-US" w:bidi="ar-SA"/>
                        </w:rPr>
                      </w:pPr>
                      <w:r w:rsidRPr="0018623D">
                        <w:rPr>
                          <w:rStyle w:val="DefaultParagraphFont"/>
                          <w:rFonts w:ascii="Times New Roman" w:eastAsia="Times New Roman" w:hAnsi="Times New Roman" w:cs="Times New Roman"/>
                          <w:sz w:val="24"/>
                          <w:szCs w:val="18"/>
                          <w:lang w:val="en-US" w:eastAsia="en-US" w:bidi="ar-SA"/>
                        </w:rPr>
                        <w:t>0</w:t>
                      </w:r>
                    </w:p>
                    <w:p w:rsidR="00124C93" w:rsidP="00124C93">
                      <w:pPr>
                        <w:pStyle w:val="Normal8"/>
                        <w:jc w:val="right"/>
                        <w:rPr>
                          <w:rStyle w:val="DefaultParagraphFont"/>
                          <w:rFonts w:ascii="Times New Roman" w:eastAsia="Times New Roman" w:hAnsi="Times New Roman" w:cs="Times New Roman"/>
                          <w:lang w:val="en-US" w:eastAsia="en-US" w:bidi="ar-SA"/>
                        </w:rPr>
                      </w:pPr>
                    </w:p>
                  </w:txbxContent>
                </v:textbox>
              </v:shape>
              <v:shape id="Text Box 16" o:spid="_x0000_s1055" type="#_x0000_t202" style="height:332;left:4808;mso-wrap-style:square;position:absolute;top:6108;v-text-anchor:top;visibility:visible;width:512" filled="f" stroked="f">
                <v:textbox>
                  <w:txbxContent>
                    <w:p w:rsidR="00124C93" w:rsidRPr="0018623D" w:rsidP="00124C93">
                      <w:pPr>
                        <w:pStyle w:val="Normal8"/>
                        <w:jc w:val="right"/>
                        <w:rPr>
                          <w:rStyle w:val="DefaultParagraphFont"/>
                          <w:rFonts w:ascii="Times New Roman" w:eastAsia="Times New Roman" w:hAnsi="Times New Roman" w:cs="Times New Roman"/>
                          <w:sz w:val="18"/>
                          <w:szCs w:val="18"/>
                          <w:lang w:val="en-US" w:eastAsia="en-US" w:bidi="ar-SA"/>
                        </w:rPr>
                      </w:pPr>
                      <w:r w:rsidRPr="0018623D">
                        <w:rPr>
                          <w:rStyle w:val="DefaultParagraphFont"/>
                          <w:rFonts w:ascii="Times New Roman" w:eastAsia="Times New Roman" w:hAnsi="Times New Roman" w:cs="Times New Roman"/>
                          <w:sz w:val="24"/>
                          <w:szCs w:val="18"/>
                          <w:lang w:val="en-US" w:eastAsia="en-US" w:bidi="ar-SA"/>
                        </w:rPr>
                        <w:t>$1</w:t>
                      </w:r>
                    </w:p>
                  </w:txbxContent>
                </v:textbox>
              </v:shape>
              <v:shape id="Text Box 17" o:spid="_x0000_s1056" type="#_x0000_t202" style="height:332;left:7112;mso-wrap-style:square;position:absolute;top:7111;v-text-anchor:top;visibility:visible;width:1050" filled="f" stroked="f">
                <v:textbox>
                  <w:txbxContent>
                    <w:p w:rsidR="00124C93" w:rsidRPr="0018623D" w:rsidP="00124C93">
                      <w:pPr>
                        <w:pStyle w:val="Normal8"/>
                        <w:rPr>
                          <w:rStyle w:val="DefaultParagraphFont"/>
                          <w:rFonts w:ascii="Times New Roman" w:eastAsia="Times New Roman" w:hAnsi="Times New Roman" w:cs="Times New Roman"/>
                          <w:sz w:val="18"/>
                          <w:szCs w:val="18"/>
                          <w:lang w:val="en-US" w:eastAsia="en-US" w:bidi="ar-SA"/>
                        </w:rPr>
                      </w:pPr>
                      <w:r w:rsidRPr="0018623D">
                        <w:rPr>
                          <w:rStyle w:val="DefaultParagraphFont"/>
                          <w:rFonts w:ascii="Times New Roman" w:eastAsia="Times New Roman" w:hAnsi="Times New Roman" w:cs="Times New Roman"/>
                          <w:sz w:val="24"/>
                          <w:szCs w:val="18"/>
                          <w:lang w:val="en-US" w:eastAsia="en-US" w:bidi="ar-SA"/>
                        </w:rPr>
                        <w:t>Slope = -1</w:t>
                      </w:r>
                    </w:p>
                  </w:txbxContent>
                </v:textbox>
              </v:shape>
              <v:shape id="Text Box 18" o:spid="_x0000_s1057" type="#_x0000_t202" style="height:389;left:6270;mso-wrap-style:square;position:absolute;top:8662;v-text-anchor:top;visibility:visible;width:479" filled="f" stroked="f">
                <v:textbox>
                  <w:txbxContent>
                    <w:p w:rsidR="00124C93" w:rsidRPr="0018623D" w:rsidP="00124C93">
                      <w:pPr>
                        <w:pStyle w:val="Normal8"/>
                        <w:jc w:val="center"/>
                        <w:rPr>
                          <w:rStyle w:val="DefaultParagraphFont"/>
                          <w:rFonts w:ascii="Times New Roman" w:eastAsia="Times New Roman" w:hAnsi="Times New Roman" w:cs="Times New Roman"/>
                          <w:sz w:val="18"/>
                          <w:szCs w:val="18"/>
                          <w:lang w:val="en-US" w:eastAsia="en-US" w:bidi="ar-SA"/>
                        </w:rPr>
                      </w:pPr>
                      <w:r>
                        <w:rPr>
                          <w:rStyle w:val="DefaultParagraphFont"/>
                          <w:rFonts w:ascii="Times New Roman" w:eastAsia="Times New Roman" w:hAnsi="Times New Roman" w:cs="Times New Roman"/>
                          <w:sz w:val="24"/>
                          <w:szCs w:val="18"/>
                          <w:lang w:val="en-US" w:eastAsia="en-US" w:bidi="ar-SA"/>
                        </w:rPr>
                        <w:t>A</w:t>
                      </w:r>
                      <w:r w:rsidRPr="00EC7C0E">
                        <w:rPr>
                          <w:rStyle w:val="DefaultParagraphFont"/>
                          <w:rFonts w:ascii="Times New Roman" w:eastAsia="Times New Roman" w:hAnsi="Times New Roman" w:cs="Times New Roman"/>
                          <w:sz w:val="24"/>
                          <w:szCs w:val="18"/>
                          <w:vertAlign w:val="subscript"/>
                          <w:lang w:val="en-US" w:eastAsia="en-US" w:bidi="ar-SA"/>
                        </w:rPr>
                        <w:t>j</w:t>
                      </w:r>
                    </w:p>
                  </w:txbxContent>
                </v:textbox>
              </v:shape>
            </v:group>
            <w10:wrap type="none"/>
            <w10:anchorlock/>
          </v:group>
        </w:pict>
      </w:r>
    </w:p>
    <w:p w:rsidR="00117F15">
      <w:pPr>
        <w:pStyle w:val="Header0"/>
        <w:tabs>
          <w:tab w:val="left" w:pos="1440"/>
          <w:tab w:val="left" w:pos="6480"/>
        </w:tabs>
        <w:rPr>
          <w:rStyle w:val="DefaultParagraphFont"/>
          <w:rFonts w:ascii="Times New Roman" w:eastAsia="Times New Roman" w:hAnsi="Times New Roman" w:cs="Times New Roman"/>
          <w:lang w:val="en-US" w:eastAsia="en-US" w:bidi="ar-SA"/>
        </w:rPr>
      </w:pP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The ISO shall </w:t>
      </w:r>
      <w:r>
        <w:rPr>
          <w:rStyle w:val="DefaultParagraphFont"/>
          <w:rFonts w:ascii="Times New Roman" w:eastAsia="Times New Roman" w:hAnsi="Times New Roman" w:cs="Times New Roman"/>
          <w:color w:val="000000"/>
          <w:spacing w:val="-5"/>
          <w:lang w:val="en-US" w:eastAsia="en-US" w:bidi="ar-SA"/>
        </w:rPr>
        <w:t>apply</w:t>
      </w:r>
      <w:r>
        <w:rPr>
          <w:rStyle w:val="DefaultParagraphFont"/>
          <w:rFonts w:ascii="Times New Roman" w:eastAsia="Times New Roman" w:hAnsi="Times New Roman" w:cs="Times New Roman"/>
          <w:color w:val="000000"/>
          <w:lang w:val="en-US" w:eastAsia="en-US" w:bidi="ar-SA"/>
        </w:rPr>
        <w:t xml:space="preserve"> this methodology as follows:</w:t>
      </w:r>
    </w:p>
    <w:p w:rsidR="00117F15">
      <w:pPr>
        <w:pStyle w:val="romannumeralpara0"/>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19.8.2.1</w:t>
      </w:r>
      <w:r>
        <w:rPr>
          <w:rStyle w:val="DefaultParagraphFont"/>
          <w:rFonts w:ascii="Times New Roman" w:eastAsia="Times New Roman" w:hAnsi="Times New Roman" w:cs="Times New Roman"/>
          <w:lang w:val="en-US" w:eastAsia="en-US" w:bidi="ar-SA"/>
        </w:rPr>
        <w:tab/>
        <w:t>first, on the Table 1 ETCNL/TCCs (prior to the conversion of any ETCNL to ETCNL TCCs), and</w:t>
      </w:r>
    </w:p>
    <w:p w:rsidR="00117F15">
      <w:pPr>
        <w:pStyle w:val="romannumeralpara0"/>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19.8.2.2</w:t>
      </w:r>
      <w:r>
        <w:rPr>
          <w:rStyle w:val="DefaultParagraphFont"/>
          <w:rFonts w:ascii="Times New Roman" w:eastAsia="Times New Roman" w:hAnsi="Times New Roman" w:cs="Times New Roman"/>
          <w:lang w:val="en-US" w:eastAsia="en-US" w:bidi="ar-SA"/>
        </w:rPr>
        <w:tab/>
        <w:t xml:space="preserve">second, on the Table 1 ETCNL/TCCs remaining after conversion </w:t>
      </w:r>
      <w:r>
        <w:rPr>
          <w:rStyle w:val="DefaultParagraphFont"/>
          <w:rFonts w:ascii="Times New Roman" w:eastAsia="Times New Roman" w:hAnsi="Times New Roman" w:cs="Times New Roman"/>
          <w:lang w:val="en-US" w:eastAsia="en-US" w:bidi="ar-SA"/>
        </w:rPr>
        <w:t>into ETCNL TCCs of ETCNL included in such Table 1 ETCNL/TCCs.</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For purpose </w:t>
      </w:r>
      <w:r>
        <w:rPr>
          <w:rStyle w:val="DefaultParagraphFont"/>
          <w:rFonts w:ascii="Times New Roman" w:eastAsia="Times New Roman" w:hAnsi="Times New Roman" w:cs="Times New Roman"/>
          <w:color w:val="000000"/>
          <w:spacing w:val="-5"/>
          <w:lang w:val="en-US" w:eastAsia="en-US" w:bidi="ar-SA"/>
        </w:rPr>
        <w:t>of</w:t>
      </w:r>
      <w:r>
        <w:rPr>
          <w:rStyle w:val="DefaultParagraphFont"/>
          <w:rFonts w:ascii="Times New Roman" w:eastAsia="Times New Roman" w:hAnsi="Times New Roman" w:cs="Times New Roman"/>
          <w:color w:val="000000"/>
          <w:lang w:val="en-US" w:eastAsia="en-US" w:bidi="ar-SA"/>
        </w:rPr>
        <w:t xml:space="preserve"> the second reduction, a holder of ETCNL may elect to disaggregate the ETCNL in accordance with ISO Procedures prior to conducting the reduction process.  If a T</w:t>
      </w:r>
      <w:r>
        <w:rPr>
          <w:rStyle w:val="DefaultParagraphFont"/>
          <w:rFonts w:ascii="Times New Roman" w:eastAsia="Times New Roman" w:hAnsi="Times New Roman" w:cs="Times New Roman"/>
          <w:color w:val="000000"/>
          <w:lang w:val="en-US" w:eastAsia="en-US" w:bidi="ar-SA"/>
        </w:rPr>
        <w:t>ran</w:t>
      </w:r>
      <w:r>
        <w:rPr>
          <w:rStyle w:val="DefaultParagraphFont"/>
          <w:rFonts w:ascii="Times New Roman" w:eastAsia="Times New Roman" w:hAnsi="Times New Roman" w:cs="Times New Roman"/>
          <w:color w:val="000000"/>
          <w:lang w:val="en-US" w:eastAsia="en-US" w:bidi="ar-SA"/>
        </w:rPr>
        <w:t>s</w:t>
      </w:r>
      <w:r>
        <w:rPr>
          <w:rStyle w:val="DefaultParagraphFont"/>
          <w:rFonts w:ascii="Times New Roman" w:eastAsia="Times New Roman" w:hAnsi="Times New Roman" w:cs="Times New Roman"/>
          <w:color w:val="000000"/>
          <w:lang w:val="en-US" w:eastAsia="en-US" w:bidi="ar-SA"/>
        </w:rPr>
        <w:t xml:space="preserve">mission </w:t>
      </w:r>
      <w:r>
        <w:rPr>
          <w:rStyle w:val="DefaultParagraphFont"/>
          <w:rFonts w:ascii="Times New Roman" w:eastAsia="Times New Roman" w:hAnsi="Times New Roman" w:cs="Times New Roman"/>
          <w:color w:val="000000"/>
          <w:lang w:val="en-US" w:eastAsia="en-US" w:bidi="ar-SA"/>
        </w:rPr>
        <w:t>O</w:t>
      </w:r>
      <w:r>
        <w:rPr>
          <w:rStyle w:val="DefaultParagraphFont"/>
          <w:rFonts w:ascii="Times New Roman" w:eastAsia="Times New Roman" w:hAnsi="Times New Roman" w:cs="Times New Roman"/>
          <w:color w:val="000000"/>
          <w:lang w:val="en-US" w:eastAsia="en-US" w:bidi="ar-SA"/>
        </w:rPr>
        <w:t>wner</w:t>
      </w:r>
      <w:r>
        <w:rPr>
          <w:rStyle w:val="DefaultParagraphFont"/>
          <w:rFonts w:ascii="Times New Roman" w:eastAsia="Times New Roman" w:hAnsi="Times New Roman" w:cs="Times New Roman"/>
          <w:color w:val="000000"/>
          <w:lang w:val="en-US" w:eastAsia="en-US" w:bidi="ar-SA"/>
        </w:rPr>
        <w:t xml:space="preserve"> e</w:t>
      </w:r>
      <w:r>
        <w:rPr>
          <w:rStyle w:val="DefaultParagraphFont"/>
          <w:rFonts w:ascii="Times New Roman" w:eastAsia="Times New Roman" w:hAnsi="Times New Roman" w:cs="Times New Roman"/>
          <w:color w:val="000000"/>
          <w:lang w:val="en-US" w:eastAsia="en-US" w:bidi="ar-SA"/>
        </w:rPr>
        <w:t>lects to have its ETCNL disaggregated, the number of MW of ETCNL allocated to that T</w:t>
      </w:r>
      <w:r>
        <w:rPr>
          <w:rStyle w:val="DefaultParagraphFont"/>
          <w:rFonts w:ascii="Times New Roman" w:eastAsia="Times New Roman" w:hAnsi="Times New Roman" w:cs="Times New Roman"/>
          <w:color w:val="000000"/>
          <w:lang w:val="en-US" w:eastAsia="en-US" w:bidi="ar-SA"/>
        </w:rPr>
        <w:t xml:space="preserve">ransmission </w:t>
      </w:r>
      <w:r>
        <w:rPr>
          <w:rStyle w:val="DefaultParagraphFont"/>
          <w:rFonts w:ascii="Times New Roman" w:eastAsia="Times New Roman" w:hAnsi="Times New Roman" w:cs="Times New Roman"/>
          <w:color w:val="000000"/>
          <w:lang w:val="en-US" w:eastAsia="en-US" w:bidi="ar-SA"/>
        </w:rPr>
        <w:t>O</w:t>
      </w:r>
      <w:r>
        <w:rPr>
          <w:rStyle w:val="DefaultParagraphFont"/>
          <w:rFonts w:ascii="Times New Roman" w:eastAsia="Times New Roman" w:hAnsi="Times New Roman" w:cs="Times New Roman"/>
          <w:color w:val="000000"/>
          <w:lang w:val="en-US" w:eastAsia="en-US" w:bidi="ar-SA"/>
        </w:rPr>
        <w:t>wner</w:t>
      </w:r>
      <w:r>
        <w:rPr>
          <w:rStyle w:val="DefaultParagraphFont"/>
          <w:rFonts w:ascii="Times New Roman" w:eastAsia="Times New Roman" w:hAnsi="Times New Roman" w:cs="Times New Roman"/>
          <w:color w:val="000000"/>
          <w:lang w:val="en-US" w:eastAsia="en-US" w:bidi="ar-SA"/>
        </w:rPr>
        <w:t xml:space="preserve"> specifying each Load Zone as its POW shall be replaced by the same number of MW of ETCNL, specifying the same POI as the original ETCNL, but specifying va</w:t>
      </w:r>
      <w:r>
        <w:rPr>
          <w:rStyle w:val="DefaultParagraphFont"/>
          <w:rFonts w:ascii="Times New Roman" w:eastAsia="Times New Roman" w:hAnsi="Times New Roman" w:cs="Times New Roman"/>
          <w:color w:val="000000"/>
          <w:lang w:val="en-US" w:eastAsia="en-US" w:bidi="ar-SA"/>
        </w:rPr>
        <w:t>rious buses within that Load Zone as the POWs, as determined in accordance with ISO Procedures.</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To </w:t>
      </w:r>
      <w:r>
        <w:rPr>
          <w:rStyle w:val="DefaultParagraphFont"/>
          <w:rFonts w:ascii="Times New Roman" w:eastAsia="Times New Roman" w:hAnsi="Times New Roman" w:cs="Times New Roman"/>
          <w:color w:val="000000"/>
          <w:spacing w:val="-5"/>
          <w:lang w:val="en-US" w:eastAsia="en-US" w:bidi="ar-SA"/>
        </w:rPr>
        <w:t>the</w:t>
      </w:r>
      <w:r>
        <w:rPr>
          <w:rStyle w:val="DefaultParagraphFont"/>
          <w:rFonts w:ascii="Times New Roman" w:eastAsia="Times New Roman" w:hAnsi="Times New Roman" w:cs="Times New Roman"/>
          <w:color w:val="000000"/>
          <w:lang w:val="en-US" w:eastAsia="en-US" w:bidi="ar-SA"/>
        </w:rPr>
        <w:t xml:space="preserve"> extent more than one model is used in a given Centralized TCC Auction (</w:t>
      </w:r>
      <w:r>
        <w:rPr>
          <w:rStyle w:val="DefaultParagraphFont"/>
          <w:rFonts w:ascii="Times New Roman" w:eastAsia="Times New Roman" w:hAnsi="Times New Roman" w:cs="Times New Roman"/>
          <w:i/>
          <w:color w:val="000000"/>
          <w:lang w:val="en-US" w:eastAsia="en-US" w:bidi="ar-SA"/>
        </w:rPr>
        <w:t>e.g.</w:t>
      </w:r>
      <w:r>
        <w:rPr>
          <w:rStyle w:val="DefaultParagraphFont"/>
          <w:rFonts w:ascii="Times New Roman" w:eastAsia="Times New Roman" w:hAnsi="Times New Roman" w:cs="Times New Roman"/>
          <w:color w:val="000000"/>
          <w:lang w:val="en-US" w:eastAsia="en-US" w:bidi="ar-SA"/>
        </w:rPr>
        <w:t>,</w:t>
      </w:r>
      <w:r>
        <w:rPr>
          <w:rStyle w:val="DefaultParagraphFont"/>
          <w:rFonts w:ascii="Times New Roman" w:eastAsia="Times New Roman" w:hAnsi="Times New Roman" w:cs="Times New Roman"/>
          <w:color w:val="000000"/>
          <w:lang w:val="en-US" w:eastAsia="en-US" w:bidi="ar-SA"/>
        </w:rPr>
        <w:t xml:space="preserve"> to reflect different summer / winter ratings), the ISO shall retest the Tabl</w:t>
      </w:r>
      <w:r>
        <w:rPr>
          <w:rStyle w:val="DefaultParagraphFont"/>
          <w:rFonts w:ascii="Times New Roman" w:eastAsia="Times New Roman" w:hAnsi="Times New Roman" w:cs="Times New Roman"/>
          <w:color w:val="000000"/>
          <w:lang w:val="en-US" w:eastAsia="en-US" w:bidi="ar-SA"/>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rStyle w:val="DefaultParagraphFont"/>
          <w:rFonts w:ascii="Times New Roman" w:eastAsia="Times New Roman" w:hAnsi="Times New Roman" w:cs="Times New Roman"/>
          <w:color w:val="000000"/>
          <w:lang w:val="en-US" w:eastAsia="en-US" w:bidi="ar-SA"/>
        </w:rPr>
        <w:t>deemed reduced and not eligible for retesting in a subsequent Centralized TCC Auction.</w:t>
      </w:r>
    </w:p>
    <w:p w:rsidR="00117F15">
      <w:pPr>
        <w:pStyle w:val="Heading33"/>
        <w:rPr>
          <w:rStyle w:val="DefaultParagraphFont"/>
          <w:rFonts w:ascii="Times New Roman" w:eastAsia="Times New Roman" w:hAnsi="Times New Roman" w:cs="Times New Roman"/>
          <w:lang w:val="en-US" w:eastAsia="en-US" w:bidi="ar-SA"/>
        </w:rPr>
      </w:pPr>
      <w:bookmarkStart w:id="62" w:name="_Toc263333582"/>
      <w:r>
        <w:rPr>
          <w:rStyle w:val="DefaultParagraphFont"/>
          <w:rFonts w:ascii="Times New Roman" w:eastAsia="Times New Roman" w:hAnsi="Times New Roman" w:cs="Times New Roman"/>
          <w:lang w:val="en-US" w:eastAsia="en-US" w:bidi="ar-SA"/>
        </w:rPr>
        <w:t xml:space="preserve">19.8.3  </w:t>
      </w:r>
      <w:r>
        <w:rPr>
          <w:rStyle w:val="DefaultParagraphFont"/>
          <w:rFonts w:ascii="Times New Roman" w:eastAsia="Times New Roman" w:hAnsi="Times New Roman" w:cs="Times New Roman"/>
          <w:lang w:val="en-US" w:eastAsia="en-US" w:bidi="ar-SA"/>
        </w:rPr>
        <w:tab/>
        <w:t>Transmission Capacity Sold in Centralized Auctions for TCCs</w:t>
      </w:r>
      <w:bookmarkEnd w:id="62"/>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color w:val="000000"/>
          <w:spacing w:val="-5"/>
          <w:lang w:val="en-US" w:eastAsia="en-US" w:bidi="ar-SA"/>
        </w:rPr>
        <w:t>Transmission</w:t>
      </w:r>
      <w:r>
        <w:rPr>
          <w:rStyle w:val="DefaultParagraphFont"/>
          <w:rFonts w:ascii="Times New Roman" w:eastAsia="Times New Roman" w:hAnsi="Times New Roman" w:cs="Times New Roman"/>
          <w:lang w:val="en-US" w:eastAsia="en-US" w:bidi="ar-SA"/>
        </w:rP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rPr>
          <w:rStyle w:val="DefaultParagraphFont"/>
          <w:rFonts w:ascii="Times New Roman" w:eastAsia="Times New Roman" w:hAnsi="Times New Roman" w:cs="Times New Roman"/>
          <w:lang w:val="en-US" w:eastAsia="en-US" w:bidi="ar-SA"/>
        </w:rPr>
        <w:t>s which have not sold their Original Residual TCCs through a Direct Sale on the OASIS prior to the Centralized TCC Auction, shall sell them through the Centralized TCC Auction.  Transmission Owners may retain their Grandfathered TCCs.  If it sells Grandfat</w:t>
      </w:r>
      <w:r>
        <w:rPr>
          <w:rStyle w:val="DefaultParagraphFont"/>
          <w:rFonts w:ascii="Times New Roman" w:eastAsia="Times New Roman" w:hAnsi="Times New Roman" w:cs="Times New Roman"/>
          <w:lang w:val="en-US" w:eastAsia="en-US" w:bidi="ar-SA"/>
        </w:rPr>
        <w:t>hered TCCs, a Transmission Owner shall do so either through Direct Sales or through Centralized TCC Auctions or Reconfiguration Auctions.</w:t>
      </w:r>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Capacity associated with the termination of ETAs in effect on November 19, 1999, listed in Table 1A of Attachment L to</w:t>
      </w:r>
      <w:r>
        <w:rPr>
          <w:rStyle w:val="DefaultParagraphFont"/>
          <w:rFonts w:ascii="Times New Roman" w:eastAsia="Times New Roman" w:hAnsi="Times New Roman" w:cs="Times New Roman"/>
          <w:lang w:val="en-US" w:eastAsia="en-US" w:bidi="ar-SA"/>
        </w:rPr>
        <w:t xml:space="preserve"> this OATT (as it may be amended), that conferred transmission rights on an LSE and is not used to create </w:t>
      </w:r>
      <w:r>
        <w:rPr>
          <w:rStyle w:val="DefaultParagraphFont"/>
          <w:rFonts w:ascii="Times New Roman" w:eastAsia="Times New Roman" w:hAnsi="Times New Roman" w:cs="Times New Roman"/>
          <w:lang w:val="en-US" w:eastAsia="en-US" w:bidi="ar-SA"/>
        </w:rPr>
        <w:t xml:space="preserve">Historic </w:t>
      </w:r>
      <w:r>
        <w:rPr>
          <w:rStyle w:val="DefaultParagraphFont"/>
          <w:rFonts w:ascii="Times New Roman" w:eastAsia="Times New Roman" w:hAnsi="Times New Roman" w:cs="Times New Roman"/>
          <w:lang w:val="en-US" w:eastAsia="en-US" w:bidi="ar-SA"/>
        </w:rPr>
        <w:t xml:space="preserve">Fixed Price TCCs, pursuant to Section 19.2.1 of this Attachment </w:t>
      </w:r>
      <w:r w:rsidRPr="007B2D5A">
        <w:rPr>
          <w:rStyle w:val="DefaultParagraphFont"/>
          <w:rFonts w:ascii="Times New Roman" w:eastAsia="Times New Roman" w:hAnsi="Times New Roman" w:cs="Times New Roman"/>
          <w:lang w:val="en-US" w:eastAsia="en-US" w:bidi="ar-SA"/>
        </w:rPr>
        <w:t xml:space="preserve">M </w:t>
      </w:r>
      <w:r w:rsidRPr="007B2D5A">
        <w:rPr>
          <w:rStyle w:val="DefaultParagraphFont"/>
          <w:rFonts w:ascii="Times New Roman" w:eastAsia="Times New Roman" w:hAnsi="Times New Roman" w:cs="Times New Roman"/>
          <w:lang w:val="en-US" w:eastAsia="en-US" w:bidi="ar-SA"/>
        </w:rPr>
        <w:t xml:space="preserve">(including extensions of Historic Fixed Price TCCs </w:t>
      </w:r>
      <w:r w:rsidRPr="007B2D5A">
        <w:rPr>
          <w:rStyle w:val="DefaultParagraphFont"/>
          <w:rFonts w:ascii="Times New Roman" w:eastAsia="Times New Roman" w:hAnsi="Times New Roman" w:cs="Times New Roman"/>
          <w:lang w:val="en-US" w:eastAsia="en-US" w:bidi="ar-SA"/>
        </w:rPr>
        <w:t xml:space="preserve">awarded </w:t>
      </w:r>
      <w:r w:rsidRPr="007B2D5A">
        <w:rPr>
          <w:rStyle w:val="DefaultParagraphFont"/>
          <w:rFonts w:ascii="Times New Roman" w:eastAsia="Times New Roman" w:hAnsi="Times New Roman" w:cs="Times New Roman"/>
          <w:lang w:val="en-US" w:eastAsia="en-US" w:bidi="ar-SA"/>
        </w:rPr>
        <w:t>pursuant to Sect</w:t>
      </w:r>
      <w:r w:rsidRPr="007B2D5A">
        <w:rPr>
          <w:rStyle w:val="DefaultParagraphFont"/>
          <w:rFonts w:ascii="Times New Roman" w:eastAsia="Times New Roman" w:hAnsi="Times New Roman" w:cs="Times New Roman"/>
          <w:lang w:val="en-US" w:eastAsia="en-US" w:bidi="ar-SA"/>
        </w:rPr>
        <w:t>ion 19.2.1.4 of this Attachment M)</w:t>
      </w:r>
      <w:r>
        <w:rPr>
          <w:rStyle w:val="DefaultParagraphFont"/>
          <w:rFonts w:ascii="Times New Roman" w:eastAsia="Times New Roman" w:hAnsi="Times New Roman" w:cs="Times New Roman"/>
          <w:lang w:val="en-US" w:eastAsia="en-US" w:bidi="ar-SA"/>
        </w:rPr>
        <w:t xml:space="preserve"> </w:t>
      </w:r>
      <w:r>
        <w:rPr>
          <w:rStyle w:val="DefaultParagraphFont"/>
          <w:rFonts w:ascii="Times New Roman" w:eastAsia="Times New Roman" w:hAnsi="Times New Roman" w:cs="Times New Roman"/>
          <w:lang w:val="en-US" w:eastAsia="en-US" w:bidi="ar-SA"/>
        </w:rPr>
        <w:t>shall be converted into Residual Transmission Capacity.</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spacing w:val="-2"/>
          <w:lang w:val="en-US" w:eastAsia="en-US" w:bidi="ar-SA"/>
        </w:rPr>
        <w:t xml:space="preserve">In each </w:t>
      </w:r>
      <w:r>
        <w:rPr>
          <w:rStyle w:val="DefaultParagraphFont"/>
          <w:rFonts w:ascii="Times New Roman" w:eastAsia="Times New Roman" w:hAnsi="Times New Roman" w:cs="Times New Roman"/>
          <w:lang w:val="en-US" w:eastAsia="en-US" w:bidi="ar-SA"/>
        </w:rPr>
        <w:t>Centralized</w:t>
      </w:r>
      <w:r>
        <w:rPr>
          <w:rStyle w:val="DefaultParagraphFont"/>
          <w:rFonts w:ascii="Times New Roman" w:eastAsia="Times New Roman" w:hAnsi="Times New Roman" w:cs="Times New Roman"/>
          <w:color w:val="000000"/>
          <w:spacing w:val="-2"/>
          <w:lang w:val="en-US" w:eastAsia="en-US" w:bidi="ar-SA"/>
        </w:rPr>
        <w:t xml:space="preserve"> TCC Auction, the following transmission Capacity not required to support already-outstanding TCCs or Grandfathered Rights and not withheld</w:t>
      </w:r>
      <w:r w:rsidRPr="0061235F">
        <w:rPr>
          <w:rStyle w:val="DefaultParagraphFont"/>
          <w:rFonts w:ascii="Times New Roman" w:eastAsia="Times New Roman" w:hAnsi="Times New Roman" w:cs="Times New Roman"/>
          <w:color w:val="000000"/>
          <w:lang w:val="en-US" w:eastAsia="en-US" w:bidi="ar-SA"/>
        </w:rPr>
        <w:t xml:space="preserve"> </w:t>
      </w:r>
      <w:r>
        <w:rPr>
          <w:rStyle w:val="DefaultParagraphFont"/>
          <w:rFonts w:ascii="Times New Roman" w:eastAsia="Times New Roman" w:hAnsi="Times New Roman" w:cs="Times New Roman"/>
          <w:color w:val="000000"/>
          <w:lang w:val="en-US" w:eastAsia="en-US" w:bidi="ar-SA"/>
        </w:rPr>
        <w:t>pursua</w:t>
      </w:r>
      <w:r>
        <w:rPr>
          <w:rStyle w:val="DefaultParagraphFont"/>
          <w:rFonts w:ascii="Times New Roman" w:eastAsia="Times New Roman" w:hAnsi="Times New Roman" w:cs="Times New Roman"/>
          <w:color w:val="000000"/>
          <w:lang w:val="en-US" w:eastAsia="en-US" w:bidi="ar-SA"/>
        </w:rPr>
        <w:t xml:space="preserve">nt to Section 19.1.1 of this Attachment M </w:t>
      </w:r>
      <w:r>
        <w:rPr>
          <w:rStyle w:val="DefaultParagraphFont"/>
          <w:rFonts w:ascii="Times New Roman" w:eastAsia="Times New Roman" w:hAnsi="Times New Roman" w:cs="Times New Roman"/>
          <w:color w:val="000000"/>
          <w:spacing w:val="-2"/>
          <w:lang w:val="en-US" w:eastAsia="en-US" w:bidi="ar-SA"/>
        </w:rPr>
        <w:t>shall be available to support TCCs that can be purchased in that Centralized TCC Auction</w:t>
      </w:r>
      <w:r>
        <w:rPr>
          <w:rStyle w:val="DefaultParagraphFont"/>
          <w:rFonts w:ascii="Times New Roman" w:eastAsia="Times New Roman" w:hAnsi="Times New Roman" w:cs="Times New Roman"/>
          <w:color w:val="000000"/>
          <w:lang w:val="en-US" w:eastAsia="en-US" w:bidi="ar-SA"/>
        </w:rPr>
        <w:t xml:space="preserve">:  </w:t>
      </w:r>
    </w:p>
    <w:p w:rsidR="00117F15">
      <w:pPr>
        <w:pStyle w:val="romannumeralpara0"/>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 xml:space="preserve">19.8.3.1 </w:t>
      </w:r>
      <w:r>
        <w:rPr>
          <w:rStyle w:val="DefaultParagraphFont"/>
          <w:rFonts w:ascii="Times New Roman" w:eastAsia="Times New Roman" w:hAnsi="Times New Roman" w:cs="Times New Roman"/>
          <w:lang w:val="en-US" w:eastAsia="en-US" w:bidi="ar-SA"/>
        </w:rPr>
        <w:tab/>
        <w:t>following any reduction pursuant to Section 19.8.2 of this Attachment M, all of the transmission Capacity associ</w:t>
      </w:r>
      <w:r>
        <w:rPr>
          <w:rStyle w:val="DefaultParagraphFont"/>
          <w:rFonts w:ascii="Times New Roman" w:eastAsia="Times New Roman" w:hAnsi="Times New Roman" w:cs="Times New Roman"/>
          <w:lang w:val="en-US" w:eastAsia="en-US" w:bidi="ar-SA"/>
        </w:rPr>
        <w:t xml:space="preserve">ated with ETCNL (a) that the Transmission Owners do not sell through a Direct Sale in advance of the </w:t>
      </w:r>
      <w:r>
        <w:rPr>
          <w:rStyle w:val="DefaultParagraphFont"/>
          <w:rFonts w:ascii="Times New Roman" w:eastAsia="Times New Roman" w:hAnsi="Times New Roman" w:cs="Times New Roman"/>
          <w:lang w:val="en-US" w:eastAsia="en-US" w:bidi="ar-SA"/>
        </w:rPr>
        <w:t xml:space="preserve">Centralized TCC </w:t>
      </w:r>
      <w:r>
        <w:rPr>
          <w:rStyle w:val="DefaultParagraphFont"/>
          <w:rFonts w:ascii="Times New Roman" w:eastAsia="Times New Roman" w:hAnsi="Times New Roman" w:cs="Times New Roman"/>
          <w:lang w:val="en-US" w:eastAsia="en-US" w:bidi="ar-SA"/>
        </w:rPr>
        <w:t>Auction, (b) that the Transmission Owners do not convert to ETCNL TCCs, and (c) that has not been used to support the sale of existing TCCs</w:t>
      </w:r>
      <w:r>
        <w:rPr>
          <w:rStyle w:val="DefaultParagraphFont"/>
          <w:rFonts w:ascii="Times New Roman" w:eastAsia="Times New Roman" w:hAnsi="Times New Roman" w:cs="Times New Roman"/>
          <w:lang w:val="en-US" w:eastAsia="en-US" w:bidi="ar-SA"/>
        </w:rPr>
        <w:t xml:space="preserve"> that are valid for any part of the duration of any TCCs sold in the Centralized TCC Auction;</w:t>
      </w:r>
    </w:p>
    <w:p w:rsidR="00117F15">
      <w:pPr>
        <w:pStyle w:val="romannumeralpara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lang w:val="en-US" w:eastAsia="en-US" w:bidi="ar-SA"/>
        </w:rPr>
        <w:t>19.8.3.</w:t>
      </w:r>
      <w:r>
        <w:rPr>
          <w:rStyle w:val="DefaultParagraphFont"/>
          <w:rFonts w:ascii="Times New Roman" w:eastAsia="Times New Roman" w:hAnsi="Times New Roman" w:cs="Times New Roman"/>
          <w:color w:val="000000"/>
          <w:lang w:val="en-US" w:eastAsia="en-US" w:bidi="ar-SA"/>
        </w:rPr>
        <w:t xml:space="preserve">2 </w:t>
      </w:r>
      <w:r>
        <w:rPr>
          <w:rStyle w:val="DefaultParagraphFont"/>
          <w:rFonts w:ascii="Times New Roman" w:eastAsia="Times New Roman" w:hAnsi="Times New Roman" w:cs="Times New Roman"/>
          <w:color w:val="000000"/>
          <w:lang w:val="en-US" w:eastAsia="en-US" w:bidi="ar-SA"/>
        </w:rPr>
        <w:tab/>
      </w:r>
      <w:r>
        <w:rPr>
          <w:rStyle w:val="DefaultParagraphFont"/>
          <w:rFonts w:ascii="Times New Roman" w:eastAsia="Times New Roman" w:hAnsi="Times New Roman" w:cs="Times New Roman"/>
          <w:lang w:val="en-US" w:eastAsia="en-US" w:bidi="ar-SA"/>
        </w:rPr>
        <w:t>all</w:t>
      </w:r>
      <w:r>
        <w:rPr>
          <w:rStyle w:val="DefaultParagraphFont"/>
          <w:rFonts w:ascii="Times New Roman" w:eastAsia="Times New Roman" w:hAnsi="Times New Roman" w:cs="Times New Roman"/>
          <w:color w:val="000000"/>
          <w:lang w:val="en-US" w:eastAsia="en-US" w:bidi="ar-SA"/>
        </w:rPr>
        <w:t xml:space="preserve"> of the transmission Capacity associated with Original Residual TCCs, that the Transmission Owners do not sell through a Direct Sale in advance of th</w:t>
      </w:r>
      <w:r>
        <w:rPr>
          <w:rStyle w:val="DefaultParagraphFont"/>
          <w:rFonts w:ascii="Times New Roman" w:eastAsia="Times New Roman" w:hAnsi="Times New Roman" w:cs="Times New Roman"/>
          <w:color w:val="000000"/>
          <w:lang w:val="en-US" w:eastAsia="en-US" w:bidi="ar-SA"/>
        </w:rPr>
        <w:t xml:space="preserve">e </w:t>
      </w:r>
      <w:r>
        <w:rPr>
          <w:rStyle w:val="DefaultParagraphFont"/>
          <w:rFonts w:ascii="Times New Roman" w:eastAsia="Times New Roman" w:hAnsi="Times New Roman" w:cs="Times New Roman"/>
          <w:color w:val="000000"/>
          <w:lang w:val="en-US" w:eastAsia="en-US" w:bidi="ar-SA"/>
        </w:rPr>
        <w:t xml:space="preserve">Centralized TCC </w:t>
      </w:r>
      <w:r>
        <w:rPr>
          <w:rStyle w:val="DefaultParagraphFont"/>
          <w:rFonts w:ascii="Times New Roman" w:eastAsia="Times New Roman" w:hAnsi="Times New Roman" w:cs="Times New Roman"/>
          <w:color w:val="000000"/>
          <w:lang w:val="en-US" w:eastAsia="en-US" w:bidi="ar-SA"/>
        </w:rPr>
        <w:t>Auction and</w:t>
      </w:r>
      <w:r>
        <w:rPr>
          <w:rStyle w:val="DefaultParagraphFont"/>
          <w:rFonts w:ascii="Times New Roman" w:eastAsia="Times New Roman" w:hAnsi="Times New Roman" w:cs="Times New Roman"/>
          <w:lang w:val="en-US" w:eastAsia="en-US" w:bidi="ar-SA"/>
        </w:rPr>
        <w:t xml:space="preserve"> </w:t>
      </w:r>
      <w:r>
        <w:rPr>
          <w:rStyle w:val="DefaultParagraphFont"/>
          <w:rFonts w:ascii="Times New Roman" w:eastAsia="Times New Roman" w:hAnsi="Times New Roman" w:cs="Times New Roman"/>
          <w:color w:val="000000"/>
          <w:lang w:val="en-US" w:eastAsia="en-US" w:bidi="ar-SA"/>
        </w:rPr>
        <w:t>that has not been used to support the sale of existing TCCs that are valid for any part of the duration of any TCCs sold in the Centralized TCC Auction;</w:t>
      </w:r>
    </w:p>
    <w:p w:rsidR="00117F15">
      <w:pPr>
        <w:pStyle w:val="romannumeralpara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lang w:val="en-US" w:eastAsia="en-US" w:bidi="ar-SA"/>
        </w:rPr>
        <w:t>19.8.3.</w:t>
      </w:r>
      <w:r>
        <w:rPr>
          <w:rStyle w:val="DefaultParagraphFont"/>
          <w:rFonts w:ascii="Times New Roman" w:eastAsia="Times New Roman" w:hAnsi="Times New Roman" w:cs="Times New Roman"/>
          <w:color w:val="000000"/>
          <w:lang w:val="en-US" w:eastAsia="en-US" w:bidi="ar-SA"/>
        </w:rPr>
        <w:t xml:space="preserve">3 </w:t>
      </w:r>
      <w:r>
        <w:rPr>
          <w:rStyle w:val="DefaultParagraphFont"/>
          <w:rFonts w:ascii="Times New Roman" w:eastAsia="Times New Roman" w:hAnsi="Times New Roman" w:cs="Times New Roman"/>
          <w:color w:val="000000"/>
          <w:lang w:val="en-US" w:eastAsia="en-US" w:bidi="ar-SA"/>
        </w:rPr>
        <w:tab/>
        <w:t xml:space="preserve">all </w:t>
      </w:r>
      <w:r>
        <w:rPr>
          <w:rStyle w:val="DefaultParagraphFont"/>
          <w:rFonts w:ascii="Times New Roman" w:eastAsia="Times New Roman" w:hAnsi="Times New Roman" w:cs="Times New Roman"/>
          <w:lang w:val="en-US" w:eastAsia="en-US" w:bidi="ar-SA"/>
        </w:rPr>
        <w:t>of</w:t>
      </w:r>
      <w:r>
        <w:rPr>
          <w:rStyle w:val="DefaultParagraphFont"/>
          <w:rFonts w:ascii="Times New Roman" w:eastAsia="Times New Roman" w:hAnsi="Times New Roman" w:cs="Times New Roman"/>
          <w:color w:val="000000"/>
          <w:lang w:val="en-US" w:eastAsia="en-US" w:bidi="ar-SA"/>
        </w:rPr>
        <w:t xml:space="preserve"> </w:t>
      </w:r>
      <w:r>
        <w:rPr>
          <w:rStyle w:val="DefaultParagraphFont"/>
          <w:rFonts w:ascii="Times New Roman" w:eastAsia="Times New Roman" w:hAnsi="Times New Roman" w:cs="Times New Roman"/>
          <w:lang w:val="en-US" w:eastAsia="en-US" w:bidi="ar-SA"/>
        </w:rPr>
        <w:t>the</w:t>
      </w:r>
      <w:r>
        <w:rPr>
          <w:rStyle w:val="DefaultParagraphFont"/>
          <w:rFonts w:ascii="Times New Roman" w:eastAsia="Times New Roman" w:hAnsi="Times New Roman" w:cs="Times New Roman"/>
          <w:color w:val="000000"/>
          <w:lang w:val="en-US" w:eastAsia="en-US" w:bidi="ar-SA"/>
        </w:rPr>
        <w:t xml:space="preserve"> transmission Capacity associated with TCCs offered for sale by TCC Primary Holders; and </w:t>
      </w:r>
    </w:p>
    <w:p w:rsidR="00117F15">
      <w:pPr>
        <w:pStyle w:val="romannumeralpara0"/>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lang w:val="en-US" w:eastAsia="en-US" w:bidi="ar-SA"/>
        </w:rPr>
        <w:t>19.8.3.</w:t>
      </w:r>
      <w:r>
        <w:rPr>
          <w:rStyle w:val="DefaultParagraphFont"/>
          <w:rFonts w:ascii="Times New Roman" w:eastAsia="Times New Roman" w:hAnsi="Times New Roman" w:cs="Times New Roman"/>
          <w:color w:val="000000"/>
          <w:lang w:val="en-US" w:eastAsia="en-US" w:bidi="ar-SA"/>
        </w:rPr>
        <w:t>4</w:t>
      </w:r>
      <w:r>
        <w:rPr>
          <w:rStyle w:val="DefaultParagraphFont"/>
          <w:rFonts w:ascii="Times New Roman" w:eastAsia="Times New Roman" w:hAnsi="Times New Roman" w:cs="Times New Roman"/>
          <w:color w:val="000000"/>
          <w:lang w:val="en-US" w:eastAsia="en-US" w:bidi="ar-SA"/>
        </w:rPr>
        <w:tab/>
        <w:t xml:space="preserve">any </w:t>
      </w:r>
      <w:r>
        <w:rPr>
          <w:rStyle w:val="DefaultParagraphFont"/>
          <w:rFonts w:ascii="Times New Roman" w:eastAsia="Times New Roman" w:hAnsi="Times New Roman" w:cs="Times New Roman"/>
          <w:lang w:val="en-US" w:eastAsia="en-US" w:bidi="ar-SA"/>
        </w:rPr>
        <w:t>Residual</w:t>
      </w:r>
      <w:r>
        <w:rPr>
          <w:rStyle w:val="DefaultParagraphFont"/>
          <w:rFonts w:ascii="Times New Roman" w:eastAsia="Times New Roman" w:hAnsi="Times New Roman" w:cs="Times New Roman"/>
          <w:color w:val="000000"/>
          <w:lang w:val="en-US" w:eastAsia="en-US" w:bidi="ar-SA"/>
        </w:rPr>
        <w:t xml:space="preserve"> Transmission Capacity.</w:t>
      </w:r>
    </w:p>
    <w:p w:rsidR="00117F15">
      <w:pPr>
        <w:pStyle w:val="Heading33"/>
        <w:rPr>
          <w:rStyle w:val="DefaultParagraphFont"/>
          <w:rFonts w:ascii="Times New Roman" w:eastAsia="Times New Roman" w:hAnsi="Times New Roman" w:cs="Times New Roman"/>
          <w:lang w:val="en-US" w:eastAsia="en-US" w:bidi="ar-SA"/>
        </w:rPr>
      </w:pPr>
      <w:bookmarkStart w:id="63" w:name="_Toc263333583"/>
      <w:r>
        <w:rPr>
          <w:rStyle w:val="DefaultParagraphFont"/>
          <w:rFonts w:ascii="Times New Roman" w:eastAsia="Times New Roman" w:hAnsi="Times New Roman" w:cs="Times New Roman"/>
          <w:lang w:val="en-US" w:eastAsia="en-US" w:bidi="ar-SA"/>
        </w:rPr>
        <w:t>19.8.4</w:t>
      </w:r>
      <w:r>
        <w:rPr>
          <w:rStyle w:val="DefaultParagraphFont"/>
          <w:rFonts w:ascii="Times New Roman" w:eastAsia="Times New Roman" w:hAnsi="Times New Roman" w:cs="Times New Roman"/>
          <w:lang w:val="en-US" w:eastAsia="en-US" w:bidi="ar-SA"/>
        </w:rPr>
        <w:tab/>
        <w:t>Centralized TCC Auctions</w:t>
      </w:r>
      <w:bookmarkEnd w:id="63"/>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TCCs with durations of 6 months and 1 year shall be available in each Centralized TCC Auc</w:t>
      </w:r>
      <w:r>
        <w:rPr>
          <w:rStyle w:val="DefaultParagraphFont"/>
          <w:rFonts w:ascii="Times New Roman" w:eastAsia="Times New Roman" w:hAnsi="Times New Roman" w:cs="Times New Roman"/>
          <w:lang w:val="en-US" w:eastAsia="en-US" w:bidi="ar-SA"/>
        </w:rPr>
        <w:t xml:space="preserve">tion.  TCCs with durations of 2 years, 3 years, 4 years, or 5 years may also be available in </w:t>
      </w:r>
      <w:r>
        <w:rPr>
          <w:rStyle w:val="DefaultParagraphFont"/>
          <w:rFonts w:ascii="Times New Roman" w:eastAsia="Times New Roman" w:hAnsi="Times New Roman" w:cs="Times New Roman"/>
          <w:lang w:val="en-US" w:eastAsia="en-US" w:bidi="ar-SA"/>
        </w:rPr>
        <w:t>the Centralized TCC</w:t>
      </w:r>
      <w:r>
        <w:rPr>
          <w:rStyle w:val="DefaultParagraphFont"/>
          <w:rFonts w:ascii="Times New Roman" w:eastAsia="Times New Roman" w:hAnsi="Times New Roman" w:cs="Times New Roman"/>
          <w:lang w:val="en-US" w:eastAsia="en-US" w:bidi="ar-SA"/>
        </w:rPr>
        <w:t xml:space="preserve"> Auction, at the ISO’s discretion.</w:t>
      </w:r>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The final decision concerning the percentage of the transmission Capacity that will be available in the Centr</w:t>
      </w:r>
      <w:r>
        <w:rPr>
          <w:rStyle w:val="DefaultParagraphFont"/>
          <w:rFonts w:ascii="Times New Roman" w:eastAsia="Times New Roman" w:hAnsi="Times New Roman" w:cs="Times New Roman"/>
          <w:lang w:val="en-US" w:eastAsia="en-US" w:bidi="ar-SA"/>
        </w:rPr>
        <w:t xml:space="preserve">alized TCC Auction to support TCCs of different durations will be made by the ISO.  The ISO will conduct a polling process to assess the market demand for TCCs with different durations, which it will take into consideration when making this determination. </w:t>
      </w:r>
      <w:r>
        <w:rPr>
          <w:rStyle w:val="DefaultParagraphFont"/>
          <w:rFonts w:ascii="Times New Roman" w:eastAsia="Times New Roman" w:hAnsi="Times New Roman" w:cs="Times New Roman"/>
          <w:lang w:val="en-US" w:eastAsia="en-US" w:bidi="ar-SA"/>
        </w:rPr>
        <w:t xml:space="preserve"> The ISO may elect not to sell any TCCs with one or more of the above durations.  However, all transmission Capacity not associated with ETAs or outstanding TCCs or not reserved through conversion of ETCNL to ETCNL TCCs or RCRRs to RCRR TCCs must be availa</w:t>
      </w:r>
      <w:r>
        <w:rPr>
          <w:rStyle w:val="DefaultParagraphFont"/>
          <w:rFonts w:ascii="Times New Roman" w:eastAsia="Times New Roman" w:hAnsi="Times New Roman" w:cs="Times New Roman"/>
          <w:lang w:val="en-US" w:eastAsia="en-US" w:bidi="ar-SA"/>
        </w:rPr>
        <w:t>ble to support TCCs of some duration sold in the Centralized TCC Auction</w:t>
      </w:r>
      <w:r>
        <w:rPr>
          <w:rStyle w:val="DefaultParagraphFont"/>
          <w:rFonts w:ascii="Times New Roman" w:eastAsia="Times New Roman" w:hAnsi="Times New Roman" w:cs="Times New Roman"/>
          <w:lang w:val="en-US" w:eastAsia="en-US" w:bidi="ar-SA"/>
        </w:rPr>
        <w:t xml:space="preserve"> </w:t>
      </w:r>
      <w:r w:rsidRPr="00E163EF">
        <w:rPr>
          <w:rStyle w:val="DefaultParagraphFont"/>
          <w:rFonts w:ascii="Times New Roman" w:eastAsia="Times New Roman" w:hAnsi="Times New Roman" w:cs="Times New Roman"/>
          <w:lang w:val="en-US" w:eastAsia="en-US" w:bidi="ar-SA"/>
        </w:rPr>
        <w:t>that have a start date of the first day of the Capability Period that commences immediately following the completion of such Centralized TCC Auction</w:t>
      </w:r>
      <w:r>
        <w:rPr>
          <w:rStyle w:val="DefaultParagraphFont"/>
          <w:rFonts w:ascii="Times New Roman" w:eastAsia="Times New Roman" w:hAnsi="Times New Roman" w:cs="Times New Roman"/>
          <w:lang w:val="en-US" w:eastAsia="en-US" w:bidi="ar-SA"/>
        </w:rPr>
        <w:t>.</w:t>
      </w:r>
    </w:p>
    <w:p w:rsidR="00117F15">
      <w:pPr>
        <w:pStyle w:val="Bodypara6"/>
        <w:rPr>
          <w:rStyle w:val="DefaultParagraphFont"/>
          <w:rFonts w:ascii="Times New Roman" w:eastAsia="Times New Roman" w:hAnsi="Times New Roman" w:cs="Times New Roman"/>
          <w:color w:val="000000"/>
          <w:lang w:val="en-US" w:eastAsia="en-US" w:bidi="ar-SA"/>
        </w:rPr>
      </w:pPr>
      <w:r>
        <w:rPr>
          <w:rStyle w:val="DefaultParagraphFont"/>
          <w:rFonts w:ascii="Times New Roman" w:eastAsia="Times New Roman" w:hAnsi="Times New Roman" w:cs="Times New Roman"/>
          <w:color w:val="000000"/>
          <w:lang w:val="en-US" w:eastAsia="en-US" w:bidi="ar-SA"/>
        </w:rPr>
        <w:t xml:space="preserve">The Centralized TCC Auction will </w:t>
      </w:r>
      <w:r>
        <w:rPr>
          <w:rStyle w:val="DefaultParagraphFont"/>
          <w:rFonts w:ascii="Times New Roman" w:eastAsia="Times New Roman" w:hAnsi="Times New Roman" w:cs="Times New Roman"/>
          <w:color w:val="000000"/>
          <w:lang w:val="en-US" w:eastAsia="en-US" w:bidi="ar-SA"/>
        </w:rPr>
        <w:t>consist of a series of Sub-Auctions</w:t>
      </w:r>
      <w:r>
        <w:rPr>
          <w:rStyle w:val="DefaultParagraphFont"/>
          <w:rFonts w:ascii="Times New Roman" w:eastAsia="Times New Roman" w:hAnsi="Times New Roman" w:cs="Times New Roman"/>
          <w:color w:val="000000"/>
          <w:lang w:val="en-US" w:eastAsia="en-US" w:bidi="ar-SA"/>
        </w:rPr>
        <w:t xml:space="preserve">.  </w:t>
      </w:r>
      <w:r w:rsidRPr="00E163EF">
        <w:rPr>
          <w:rStyle w:val="DefaultParagraphFont"/>
          <w:rFonts w:ascii="Times New Roman" w:eastAsia="Times New Roman" w:hAnsi="Times New Roman" w:cs="Times New Roman"/>
          <w:color w:val="000000"/>
          <w:lang w:val="en-US" w:eastAsia="en-US" w:bidi="ar-SA"/>
        </w:rPr>
        <w:t xml:space="preserve">For TCCs with the same start date, such Sub-Auctions </w:t>
      </w:r>
      <w:r>
        <w:rPr>
          <w:rStyle w:val="DefaultParagraphFont"/>
          <w:rFonts w:ascii="Times New Roman" w:eastAsia="Times New Roman" w:hAnsi="Times New Roman" w:cs="Times New Roman"/>
          <w:color w:val="000000"/>
          <w:lang w:val="en-US" w:eastAsia="en-US" w:bidi="ar-SA"/>
        </w:rPr>
        <w:t>will be conducted consecutively.  In each Sub-Auction, TCCs of a single duration will be available (</w:t>
      </w:r>
      <w:r>
        <w:rPr>
          <w:rStyle w:val="DefaultParagraphFont"/>
          <w:rFonts w:ascii="Times New Roman" w:eastAsia="Times New Roman" w:hAnsi="Times New Roman" w:cs="Times New Roman"/>
          <w:i/>
          <w:color w:val="000000"/>
          <w:lang w:val="en-US" w:eastAsia="en-US" w:bidi="ar-SA"/>
        </w:rPr>
        <w:t>e.g.</w:t>
      </w:r>
      <w:r>
        <w:rPr>
          <w:rStyle w:val="DefaultParagraphFont"/>
          <w:rFonts w:ascii="Times New Roman" w:eastAsia="Times New Roman" w:hAnsi="Times New Roman" w:cs="Times New Roman"/>
          <w:color w:val="000000"/>
          <w:lang w:val="en-US" w:eastAsia="en-US" w:bidi="ar-SA"/>
        </w:rPr>
        <w:t>, only TCCs with a five-year duration might be available in o</w:t>
      </w:r>
      <w:r>
        <w:rPr>
          <w:rStyle w:val="DefaultParagraphFont"/>
          <w:rFonts w:ascii="Times New Roman" w:eastAsia="Times New Roman" w:hAnsi="Times New Roman" w:cs="Times New Roman"/>
          <w:color w:val="000000"/>
          <w:lang w:val="en-US" w:eastAsia="en-US" w:bidi="ar-SA"/>
        </w:rPr>
        <w:t>ne Sub-Auction).  Sub-Au</w:t>
      </w:r>
      <w:r w:rsidRPr="006F1033">
        <w:rPr>
          <w:rStyle w:val="DefaultParagraphFont"/>
          <w:rFonts w:ascii="Times New Roman" w:eastAsia="Times New Roman" w:hAnsi="Times New Roman" w:cs="Times New Roman"/>
          <w:lang w:val="en-US" w:eastAsia="en-US" w:bidi="ar-SA"/>
        </w:rPr>
        <w:t xml:space="preserve">ctions </w:t>
      </w:r>
      <w:r w:rsidRPr="006F1033">
        <w:rPr>
          <w:rStyle w:val="DefaultParagraphFont"/>
          <w:rFonts w:ascii="Times New Roman" w:eastAsia="Times New Roman" w:hAnsi="Times New Roman" w:cs="Times New Roman"/>
          <w:sz w:val="23"/>
          <w:szCs w:val="23"/>
          <w:lang w:val="en-US" w:eastAsia="en-US" w:bidi="ar-SA"/>
        </w:rPr>
        <w:t xml:space="preserve">for TCCs with the same start date </w:t>
      </w:r>
      <w:r w:rsidRPr="006F1033">
        <w:rPr>
          <w:rStyle w:val="DefaultParagraphFont"/>
          <w:rFonts w:ascii="Times New Roman" w:eastAsia="Times New Roman" w:hAnsi="Times New Roman" w:cs="Times New Roman"/>
          <w:lang w:val="en-US" w:eastAsia="en-US" w:bidi="ar-SA"/>
        </w:rPr>
        <w:t>will</w:t>
      </w:r>
      <w:r>
        <w:rPr>
          <w:rStyle w:val="DefaultParagraphFont"/>
          <w:rFonts w:ascii="Times New Roman" w:eastAsia="Times New Roman" w:hAnsi="Times New Roman" w:cs="Times New Roman"/>
          <w:color w:val="000000"/>
          <w:lang w:val="en-US" w:eastAsia="en-US" w:bidi="ar-SA"/>
        </w:rPr>
        <w:t xml:space="preserve"> be conducted in decreasing order of the length of the period for which TCCs sold in the Sub-Auction are valid.  Therefore, if the ISO were to determine that five years would be the maxim</w:t>
      </w:r>
      <w:r>
        <w:rPr>
          <w:rStyle w:val="DefaultParagraphFont"/>
          <w:rFonts w:ascii="Times New Roman" w:eastAsia="Times New Roman" w:hAnsi="Times New Roman" w:cs="Times New Roman"/>
          <w:color w:val="000000"/>
          <w:lang w:val="en-US" w:eastAsia="en-US" w:bidi="ar-SA"/>
        </w:rPr>
        <w:t>um length of TCCs available in the Centralized TCC Auction</w:t>
      </w:r>
      <w:r>
        <w:rPr>
          <w:rStyle w:val="DefaultParagraphFont"/>
          <w:rFonts w:ascii="Times New Roman" w:eastAsia="Times New Roman" w:hAnsi="Times New Roman" w:cs="Times New Roman"/>
          <w:color w:val="000000"/>
          <w:lang w:val="en-US" w:eastAsia="en-US" w:bidi="ar-SA"/>
        </w:rPr>
        <w:t xml:space="preserve"> </w:t>
      </w:r>
      <w:r w:rsidRPr="00E163EF">
        <w:rPr>
          <w:rStyle w:val="DefaultParagraphFont"/>
          <w:rFonts w:ascii="Times New Roman" w:eastAsia="Times New Roman" w:hAnsi="Times New Roman" w:cs="Times New Roman"/>
          <w:color w:val="000000"/>
          <w:lang w:val="en-US" w:eastAsia="en-US" w:bidi="ar-SA"/>
        </w:rPr>
        <w:t>for TCCs with a particular start date</w:t>
      </w:r>
      <w:r>
        <w:rPr>
          <w:rStyle w:val="DefaultParagraphFont"/>
          <w:rFonts w:ascii="Times New Roman" w:eastAsia="Times New Roman" w:hAnsi="Times New Roman" w:cs="Times New Roman"/>
          <w:color w:val="000000"/>
          <w:lang w:val="en-US" w:eastAsia="en-US" w:bidi="ar-SA"/>
        </w:rPr>
        <w:t>, then the Sub-Auction for TCCs with a duration of five years would be held first.  All TCCs sold in the 5-year TCC Sub-Auction (</w:t>
      </w:r>
      <w:r>
        <w:rPr>
          <w:rStyle w:val="DefaultParagraphFont"/>
          <w:rFonts w:ascii="Times New Roman" w:eastAsia="Times New Roman" w:hAnsi="Times New Roman" w:cs="Times New Roman"/>
          <w:lang w:val="en-US" w:eastAsia="en-US" w:bidi="ar-SA"/>
        </w:rPr>
        <w:t>other</w:t>
      </w:r>
      <w:r>
        <w:rPr>
          <w:rStyle w:val="DefaultParagraphFont"/>
          <w:rFonts w:ascii="Times New Roman" w:eastAsia="Times New Roman" w:hAnsi="Times New Roman" w:cs="Times New Roman"/>
          <w:color w:val="000000"/>
          <w:lang w:val="en-US" w:eastAsia="en-US" w:bidi="ar-SA"/>
        </w:rPr>
        <w:t xml:space="preserve"> than those offered for sa</w:t>
      </w:r>
      <w:r>
        <w:rPr>
          <w:rStyle w:val="DefaultParagraphFont"/>
          <w:rFonts w:ascii="Times New Roman" w:eastAsia="Times New Roman" w:hAnsi="Times New Roman" w:cs="Times New Roman"/>
          <w:color w:val="000000"/>
          <w:lang w:val="en-US" w:eastAsia="en-US" w:bidi="ar-SA"/>
        </w:rPr>
        <w:t>le in the next Sub-Auction, as described in Section </w:t>
      </w:r>
      <w:r>
        <w:rPr>
          <w:rStyle w:val="DefaultParagraphFont"/>
          <w:rFonts w:ascii="Times New Roman" w:eastAsia="Times New Roman" w:hAnsi="Times New Roman" w:cs="Times New Roman"/>
          <w:bCs/>
          <w:lang w:val="en-US" w:eastAsia="en-US" w:bidi="ar-SA"/>
        </w:rPr>
        <w:t>19.</w:t>
      </w:r>
      <w:r>
        <w:rPr>
          <w:rStyle w:val="DefaultParagraphFont"/>
          <w:rFonts w:ascii="Times New Roman" w:eastAsia="Times New Roman" w:hAnsi="Times New Roman" w:cs="Times New Roman"/>
          <w:color w:val="000000"/>
          <w:lang w:val="en-US" w:eastAsia="en-US" w:bidi="ar-SA"/>
        </w:rPr>
        <w:t>9.1) would then be modeled as fixed injections and withdrawals in the next Sub-Auction, in which TCCs</w:t>
      </w:r>
      <w:r>
        <w:rPr>
          <w:rStyle w:val="DefaultParagraphFont"/>
          <w:rFonts w:ascii="Times New Roman" w:eastAsia="Times New Roman" w:hAnsi="Times New Roman" w:cs="Times New Roman"/>
          <w:color w:val="000000"/>
          <w:lang w:val="en-US" w:eastAsia="en-US" w:bidi="ar-SA"/>
        </w:rPr>
        <w:t xml:space="preserve"> with the same start date</w:t>
      </w:r>
      <w:r>
        <w:rPr>
          <w:rStyle w:val="DefaultParagraphFont"/>
          <w:rFonts w:ascii="Times New Roman" w:eastAsia="Times New Roman" w:hAnsi="Times New Roman" w:cs="Times New Roman"/>
          <w:color w:val="000000"/>
          <w:lang w:val="en-US" w:eastAsia="en-US" w:bidi="ar-SA"/>
        </w:rPr>
        <w:t xml:space="preserve"> of the next longest duration, as determined by the ISO (</w:t>
      </w:r>
      <w:r>
        <w:rPr>
          <w:rStyle w:val="DefaultParagraphFont"/>
          <w:rFonts w:ascii="Times New Roman" w:eastAsia="Times New Roman" w:hAnsi="Times New Roman" w:cs="Times New Roman"/>
          <w:i/>
          <w:color w:val="000000"/>
          <w:lang w:val="en-US" w:eastAsia="en-US" w:bidi="ar-SA"/>
        </w:rPr>
        <w:t>e.g.</w:t>
      </w:r>
      <w:r>
        <w:rPr>
          <w:rStyle w:val="DefaultParagraphFont"/>
          <w:rFonts w:ascii="Times New Roman" w:eastAsia="Times New Roman" w:hAnsi="Times New Roman" w:cs="Times New Roman"/>
          <w:color w:val="000000"/>
          <w:lang w:val="en-US" w:eastAsia="en-US" w:bidi="ar-SA"/>
        </w:rPr>
        <w:t>, four years),</w:t>
      </w:r>
      <w:r>
        <w:rPr>
          <w:rStyle w:val="DefaultParagraphFont"/>
          <w:rFonts w:ascii="Times New Roman" w:eastAsia="Times New Roman" w:hAnsi="Times New Roman" w:cs="Times New Roman"/>
          <w:color w:val="000000"/>
          <w:lang w:val="en-US" w:eastAsia="en-US" w:bidi="ar-SA"/>
        </w:rPr>
        <w:t xml:space="preserve"> would be available for purchase.  Following that Sub-Auction, TCCs</w:t>
      </w:r>
      <w:r>
        <w:rPr>
          <w:rStyle w:val="DefaultParagraphFont"/>
          <w:rFonts w:ascii="Times New Roman" w:eastAsia="Times New Roman" w:hAnsi="Times New Roman" w:cs="Times New Roman"/>
          <w:color w:val="000000"/>
          <w:lang w:val="en-US" w:eastAsia="en-US" w:bidi="ar-SA"/>
        </w:rPr>
        <w:t xml:space="preserve"> with the same start date</w:t>
      </w:r>
      <w:r>
        <w:rPr>
          <w:rStyle w:val="DefaultParagraphFont"/>
          <w:rFonts w:ascii="Times New Roman" w:eastAsia="Times New Roman" w:hAnsi="Times New Roman" w:cs="Times New Roman"/>
          <w:color w:val="000000"/>
          <w:lang w:val="en-US" w:eastAsia="en-US" w:bidi="ar-SA"/>
        </w:rPr>
        <w:t xml:space="preserve"> sold in either of the first two Sub-Auction (other than those offered for sale in the next Sub-Auction) would then be modeled as fixed injections and withdrawals i</w:t>
      </w:r>
      <w:r>
        <w:rPr>
          <w:rStyle w:val="DefaultParagraphFont"/>
          <w:rFonts w:ascii="Times New Roman" w:eastAsia="Times New Roman" w:hAnsi="Times New Roman" w:cs="Times New Roman"/>
          <w:color w:val="000000"/>
          <w:lang w:val="en-US" w:eastAsia="en-US" w:bidi="ar-SA"/>
        </w:rPr>
        <w:t>n the third Sub-Auction</w:t>
      </w:r>
      <w:r>
        <w:rPr>
          <w:rStyle w:val="DefaultParagraphFont"/>
          <w:rFonts w:ascii="Times New Roman" w:eastAsia="Times New Roman" w:hAnsi="Times New Roman" w:cs="Times New Roman"/>
          <w:color w:val="000000"/>
          <w:lang w:val="en-US" w:eastAsia="en-US" w:bidi="ar-SA"/>
        </w:rPr>
        <w:t xml:space="preserve"> for TCCs with the same start date</w:t>
      </w:r>
      <w:r>
        <w:rPr>
          <w:rStyle w:val="DefaultParagraphFont"/>
          <w:rFonts w:ascii="Times New Roman" w:eastAsia="Times New Roman" w:hAnsi="Times New Roman" w:cs="Times New Roman"/>
          <w:color w:val="000000"/>
          <w:lang w:val="en-US" w:eastAsia="en-US" w:bidi="ar-SA"/>
        </w:rPr>
        <w:t xml:space="preserve"> (</w:t>
      </w:r>
      <w:r>
        <w:rPr>
          <w:rStyle w:val="DefaultParagraphFont"/>
          <w:rFonts w:ascii="Times New Roman" w:eastAsia="Times New Roman" w:hAnsi="Times New Roman" w:cs="Times New Roman"/>
          <w:i/>
          <w:color w:val="000000"/>
          <w:lang w:val="en-US" w:eastAsia="en-US" w:bidi="ar-SA"/>
        </w:rPr>
        <w:t>e.g.</w:t>
      </w:r>
      <w:r>
        <w:rPr>
          <w:rStyle w:val="DefaultParagraphFont"/>
          <w:rFonts w:ascii="Times New Roman" w:eastAsia="Times New Roman" w:hAnsi="Times New Roman" w:cs="Times New Roman"/>
          <w:color w:val="000000"/>
          <w:lang w:val="en-US" w:eastAsia="en-US" w:bidi="ar-SA"/>
        </w:rPr>
        <w:t xml:space="preserve">, a Sub-Auction for </w:t>
      </w:r>
      <w:r>
        <w:rPr>
          <w:rStyle w:val="DefaultParagraphFont"/>
          <w:rFonts w:ascii="Times New Roman" w:eastAsia="Times New Roman" w:hAnsi="Times New Roman" w:cs="Times New Roman"/>
          <w:color w:val="000000"/>
          <w:lang w:val="en-US" w:eastAsia="en-US" w:bidi="ar-SA"/>
        </w:rPr>
        <w:t xml:space="preserve">three-year </w:t>
      </w:r>
      <w:r>
        <w:rPr>
          <w:rStyle w:val="DefaultParagraphFont"/>
          <w:rFonts w:ascii="Times New Roman" w:eastAsia="Times New Roman" w:hAnsi="Times New Roman" w:cs="Times New Roman"/>
          <w:color w:val="000000"/>
          <w:lang w:val="en-US" w:eastAsia="en-US" w:bidi="ar-SA"/>
        </w:rPr>
        <w:t xml:space="preserve">TCCs with </w:t>
      </w:r>
      <w:r>
        <w:rPr>
          <w:rStyle w:val="DefaultParagraphFont"/>
          <w:rFonts w:ascii="Times New Roman" w:eastAsia="Times New Roman" w:hAnsi="Times New Roman" w:cs="Times New Roman"/>
          <w:color w:val="000000"/>
          <w:lang w:val="en-US" w:eastAsia="en-US" w:bidi="ar-SA"/>
        </w:rPr>
        <w:t>the same start date</w:t>
      </w:r>
      <w:r>
        <w:rPr>
          <w:rStyle w:val="DefaultParagraphFont"/>
          <w:rFonts w:ascii="Times New Roman" w:eastAsia="Times New Roman" w:hAnsi="Times New Roman" w:cs="Times New Roman"/>
          <w:color w:val="000000"/>
          <w:lang w:val="en-US" w:eastAsia="en-US" w:bidi="ar-SA"/>
        </w:rPr>
        <w:t xml:space="preserve">), etc. </w:t>
      </w:r>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 xml:space="preserve">Each Sub-Auction shall normally consist of at least four rounds unless the Transmission Owners </w:t>
      </w:r>
      <w:r w:rsidRPr="00687B8B">
        <w:rPr>
          <w:rStyle w:val="DefaultParagraphFont"/>
          <w:rFonts w:ascii="Times New Roman" w:eastAsia="Times New Roman" w:hAnsi="Times New Roman" w:cs="Times New Roman"/>
          <w:lang w:val="en-US" w:eastAsia="en-US" w:bidi="ar-SA"/>
        </w:rPr>
        <w:t>that are subject to Attachmen</w:t>
      </w:r>
      <w:r w:rsidRPr="00687B8B">
        <w:rPr>
          <w:rStyle w:val="DefaultParagraphFont"/>
          <w:rFonts w:ascii="Times New Roman" w:eastAsia="Times New Roman" w:hAnsi="Times New Roman" w:cs="Times New Roman"/>
          <w:lang w:val="en-US" w:eastAsia="en-US" w:bidi="ar-SA"/>
        </w:rPr>
        <w:t xml:space="preserve">t N of this Tariff </w:t>
      </w:r>
      <w:r>
        <w:rPr>
          <w:rStyle w:val="DefaultParagraphFont"/>
          <w:rFonts w:ascii="Times New Roman" w:eastAsia="Times New Roman" w:hAnsi="Times New Roman" w:cs="Times New Roman"/>
          <w:lang w:val="en-US" w:eastAsia="en-US" w:bidi="ar-SA"/>
        </w:rPr>
        <w:t xml:space="preserve">unanimously consent to fewer rounds.  The ISO shall have the authority to determine the percentage of the available transmission Capacity that will be available to support TCCs sold in each round of each Sub-Auction such that all of the </w:t>
      </w:r>
      <w:r>
        <w:rPr>
          <w:rStyle w:val="DefaultParagraphFont"/>
          <w:rFonts w:ascii="Times New Roman" w:eastAsia="Times New Roman" w:hAnsi="Times New Roman" w:cs="Times New Roman"/>
          <w:lang w:val="en-US" w:eastAsia="en-US" w:bidi="ar-SA"/>
        </w:rPr>
        <w:t>transmission Capacity offered for sale in that Sub-Auction shall be offered by the last round of that Sub-Auction.  The ISO shall announce these percentages before the Sub-Auctions. The “scaling factor” for each round shall equal the percentage of availabl</w:t>
      </w:r>
      <w:r>
        <w:rPr>
          <w:rStyle w:val="DefaultParagraphFont"/>
          <w:rFonts w:ascii="Times New Roman" w:eastAsia="Times New Roman" w:hAnsi="Times New Roman" w:cs="Times New Roman"/>
          <w:lang w:val="en-US" w:eastAsia="en-US" w:bidi="ar-SA"/>
        </w:rPr>
        <w:t xml:space="preserve">e transmission Capacity that has not yet been made available to support the sale of TCCs in previous rounds, divided by the percentage of available transmission Capacity that will be made available to support the sale of TCCs in that round. </w:t>
      </w:r>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 xml:space="preserve">The ISO shall </w:t>
      </w:r>
      <w:r>
        <w:rPr>
          <w:rStyle w:val="DefaultParagraphFont"/>
          <w:rFonts w:ascii="Times New Roman" w:eastAsia="Times New Roman" w:hAnsi="Times New Roman" w:cs="Times New Roman"/>
          <w:lang w:val="en-US" w:eastAsia="en-US" w:bidi="ar-SA"/>
        </w:rPr>
        <w:t>also determine the maximum duration of TCCs sold in the Centralized TCC Auction, and whether the TCCs sold in the Centralized TCC Auction shall be separately available for purchase as on-peak and off-peak TCCs.  (For purposes of this Attachment, the on-pea</w:t>
      </w:r>
      <w:r>
        <w:rPr>
          <w:rStyle w:val="DefaultParagraphFont"/>
          <w:rFonts w:ascii="Times New Roman" w:eastAsia="Times New Roman" w:hAnsi="Times New Roman" w:cs="Times New Roman"/>
          <w:lang w:val="en-US" w:eastAsia="en-US" w:bidi="ar-SA"/>
        </w:rPr>
        <w:t>k period will include the hours from 7 a.m. to 11 p.m. Prevailing Eastern Time Monday through Friday.  The remaining hours in each week will be included in the off-peak period.)</w:t>
      </w:r>
    </w:p>
    <w:p w:rsidR="00E163EF" w:rsidRPr="00F7216C" w:rsidP="00E163EF">
      <w:pPr>
        <w:pStyle w:val="Bodypara6"/>
        <w:rPr>
          <w:rStyle w:val="DefaultParagraphFont"/>
          <w:rFonts w:ascii="Times New Roman" w:eastAsia="Times New Roman" w:hAnsi="Times New Roman" w:cs="Times New Roman"/>
          <w:lang w:val="en-US" w:eastAsia="en-US" w:bidi="ar-SA"/>
        </w:rPr>
      </w:pPr>
      <w:r w:rsidRPr="00F7216C">
        <w:rPr>
          <w:rStyle w:val="DefaultParagraphFont"/>
          <w:rFonts w:ascii="Times New Roman" w:eastAsia="Times New Roman" w:hAnsi="Times New Roman" w:cs="Times New Roman"/>
          <w:lang w:val="en-US" w:eastAsia="en-US" w:bidi="ar-SA"/>
        </w:rPr>
        <w:t>Notwithstanding anything to the contrary herein, for the Centralized TCC Aucti</w:t>
      </w:r>
      <w:r w:rsidRPr="00F7216C">
        <w:rPr>
          <w:rStyle w:val="DefaultParagraphFont"/>
          <w:rFonts w:ascii="Times New Roman" w:eastAsia="Times New Roman" w:hAnsi="Times New Roman" w:cs="Times New Roman"/>
          <w:lang w:val="en-US" w:eastAsia="en-US" w:bidi="ar-SA"/>
        </w:rPr>
        <w:t>on that immediately follows a Centralized TCC Auction in which the ISO has sold two-year TCCs, the</w:t>
      </w:r>
      <w:r>
        <w:rPr>
          <w:rStyle w:val="DefaultParagraphFont"/>
          <w:rFonts w:ascii="Times New Roman" w:eastAsia="Times New Roman" w:hAnsi="Times New Roman" w:cs="Times New Roman"/>
          <w:lang w:val="en-US" w:eastAsia="en-US" w:bidi="ar-SA"/>
        </w:rPr>
        <w:t xml:space="preserve"> </w:t>
      </w:r>
      <w:r w:rsidRPr="00F7216C">
        <w:rPr>
          <w:rStyle w:val="DefaultParagraphFont"/>
          <w:rFonts w:ascii="Times New Roman" w:eastAsia="Times New Roman" w:hAnsi="Times New Roman" w:cs="Times New Roman"/>
          <w:lang w:val="en-US" w:eastAsia="en-US" w:bidi="ar-SA"/>
        </w:rPr>
        <w:t xml:space="preserve">ISO may conduct a single round one-year Sub-Auction for TCCs with a start date that is the same as the second year of the previously sold two-year TCCs; </w:t>
      </w:r>
      <w:r w:rsidRPr="00F7216C">
        <w:rPr>
          <w:rStyle w:val="DefaultParagraphFont"/>
          <w:rFonts w:ascii="Times New Roman" w:eastAsia="Times New Roman" w:hAnsi="Times New Roman" w:cs="Times New Roman"/>
          <w:lang w:val="en-US" w:eastAsia="en-US" w:bidi="ar-SA"/>
        </w:rPr>
        <w:t>provided, however, that the amount of transmission Capacity made available to support the sale of one-year TCCs in such single round one-year Sub-Auction shall not exceed the lesser of: (a) five percent of the transmission Capacity not otherwise required t</w:t>
      </w:r>
      <w:r w:rsidRPr="00F7216C">
        <w:rPr>
          <w:rStyle w:val="DefaultParagraphFont"/>
          <w:rFonts w:ascii="Times New Roman" w:eastAsia="Times New Roman" w:hAnsi="Times New Roman" w:cs="Times New Roman"/>
          <w:lang w:val="en-US" w:eastAsia="en-US" w:bidi="ar-SA"/>
        </w:rPr>
        <w:t>o support already-outstanding Grandfathered Rights, Grandfathered TCCs, Fixed Price TCCs, Incremental TCCs, ETCNL TCCs, and RCRR TCCs; and (b) the amount of transmission Capacity that the ISO made available to support the sale of two-year TCCs in the prior</w:t>
      </w:r>
      <w:r w:rsidRPr="00F7216C">
        <w:rPr>
          <w:rStyle w:val="DefaultParagraphFont"/>
          <w:rFonts w:ascii="Times New Roman" w:eastAsia="Times New Roman" w:hAnsi="Times New Roman" w:cs="Times New Roman"/>
          <w:lang w:val="en-US" w:eastAsia="en-US" w:bidi="ar-SA"/>
        </w:rPr>
        <w:t xml:space="preserve"> Centralized TCC Auction. The remaining transmission Capacity to be made available by the ISO to support the sale of one-year TCCs with a start date that is the same as the one-year TCCs offered for sale during such single round one-year Sub-Auction shall </w:t>
      </w:r>
      <w:r w:rsidRPr="00F7216C">
        <w:rPr>
          <w:rStyle w:val="DefaultParagraphFont"/>
          <w:rFonts w:ascii="Times New Roman" w:eastAsia="Times New Roman" w:hAnsi="Times New Roman" w:cs="Times New Roman"/>
          <w:lang w:val="en-US" w:eastAsia="en-US" w:bidi="ar-SA"/>
        </w:rPr>
        <w:t>be made available to support the sale of one-year TCCs in the next Centralized TCC Auction conducted after the Centralized TCC Auction including such single round one-year Sub-Auction.</w:t>
      </w:r>
    </w:p>
    <w:p w:rsidR="00117F15">
      <w:pPr>
        <w:pStyle w:val="Heading33"/>
        <w:rPr>
          <w:rStyle w:val="DefaultParagraphFont"/>
          <w:rFonts w:ascii="Times New Roman" w:eastAsia="Times New Roman" w:hAnsi="Times New Roman" w:cs="Times New Roman"/>
          <w:lang w:val="en-US" w:eastAsia="en-US" w:bidi="ar-SA"/>
        </w:rPr>
      </w:pPr>
      <w:bookmarkStart w:id="64" w:name="_Toc263333584"/>
      <w:r>
        <w:rPr>
          <w:rStyle w:val="DefaultParagraphFont"/>
          <w:rFonts w:ascii="Times New Roman" w:eastAsia="Times New Roman" w:hAnsi="Times New Roman" w:cs="Times New Roman"/>
          <w:lang w:val="en-US" w:eastAsia="en-US" w:bidi="ar-SA"/>
        </w:rPr>
        <w:t>19.8.5</w:t>
      </w:r>
      <w:r>
        <w:rPr>
          <w:rStyle w:val="DefaultParagraphFont"/>
          <w:rFonts w:ascii="Times New Roman" w:eastAsia="Times New Roman" w:hAnsi="Times New Roman" w:cs="Times New Roman"/>
          <w:lang w:val="en-US" w:eastAsia="en-US" w:bidi="ar-SA"/>
        </w:rPr>
        <w:tab/>
        <w:t>Reconfiguration Auctions</w:t>
      </w:r>
      <w:bookmarkEnd w:id="64"/>
    </w:p>
    <w:p w:rsidR="00117F15">
      <w:pPr>
        <w:pStyle w:val="Bodypara6"/>
        <w:rPr>
          <w:rStyle w:val="DefaultParagraphFont"/>
          <w:rFonts w:ascii="Times New Roman" w:eastAsia="Times New Roman" w:hAnsi="Times New Roman" w:cs="Times New Roman"/>
          <w:lang w:val="en-US" w:eastAsia="en-US" w:bidi="ar-SA"/>
        </w:rPr>
      </w:pPr>
      <w:r>
        <w:rPr>
          <w:rStyle w:val="DefaultParagraphFont"/>
          <w:rFonts w:ascii="Times New Roman" w:eastAsia="Times New Roman" w:hAnsi="Times New Roman" w:cs="Times New Roman"/>
          <w:lang w:val="en-US" w:eastAsia="en-US" w:bidi="ar-SA"/>
        </w:rPr>
        <w:t>A Reconfiguration Auction is an auction</w:t>
      </w:r>
      <w:r>
        <w:rPr>
          <w:rStyle w:val="DefaultParagraphFont"/>
          <w:rFonts w:ascii="Times New Roman" w:eastAsia="Times New Roman" w:hAnsi="Times New Roman" w:cs="Times New Roman"/>
          <w:lang w:val="en-US" w:eastAsia="en-US" w:bidi="ar-SA"/>
        </w:rPr>
        <w:t xml:space="preserve"> in which TCCs </w:t>
      </w:r>
      <w:r>
        <w:rPr>
          <w:rStyle w:val="DefaultParagraphFont"/>
          <w:rFonts w:ascii="Times New Roman" w:eastAsia="Times New Roman" w:hAnsi="Times New Roman" w:cs="Times New Roman"/>
          <w:lang w:val="en-US" w:eastAsia="en-US" w:bidi="ar-SA"/>
        </w:rPr>
        <w:t xml:space="preserve">with a duration of one or more months within the same Capability Period </w:t>
      </w:r>
      <w:r>
        <w:rPr>
          <w:rStyle w:val="DefaultParagraphFont"/>
          <w:rFonts w:ascii="Times New Roman" w:eastAsia="Times New Roman" w:hAnsi="Times New Roman" w:cs="Times New Roman"/>
          <w:lang w:val="en-US" w:eastAsia="en-US" w:bidi="ar-SA"/>
        </w:rPr>
        <w:t>may be offered and purchased.  This will allow Market Participants to purchase and sell short-term TCCs.  Reconfiguration Auctions will also capture short-term changes i</w:t>
      </w:r>
      <w:r>
        <w:rPr>
          <w:rStyle w:val="DefaultParagraphFont"/>
          <w:rFonts w:ascii="Times New Roman" w:eastAsia="Times New Roman" w:hAnsi="Times New Roman" w:cs="Times New Roman"/>
          <w:lang w:val="en-US" w:eastAsia="en-US" w:bidi="ar-SA"/>
        </w:rPr>
        <w:t xml:space="preserve">n transmission Capacity.  The ISO will conduct Reconfiguration Auctions monthly and TCCs purchased in Reconfiguration Auctions will be valid for the </w:t>
      </w:r>
      <w:r>
        <w:rPr>
          <w:rStyle w:val="DefaultParagraphFont"/>
          <w:rFonts w:ascii="Times New Roman" w:eastAsia="Times New Roman" w:hAnsi="Times New Roman" w:cs="Times New Roman"/>
          <w:lang w:val="en-US" w:eastAsia="en-US" w:bidi="ar-SA"/>
        </w:rPr>
        <w:t xml:space="preserve">applicable </w:t>
      </w:r>
      <w:r>
        <w:rPr>
          <w:rStyle w:val="DefaultParagraphFont"/>
          <w:rFonts w:ascii="Times New Roman" w:eastAsia="Times New Roman" w:hAnsi="Times New Roman" w:cs="Times New Roman"/>
          <w:lang w:val="en-US" w:eastAsia="en-US" w:bidi="ar-SA"/>
        </w:rPr>
        <w:t xml:space="preserve">month </w:t>
      </w:r>
      <w:r>
        <w:rPr>
          <w:rStyle w:val="DefaultParagraphFont"/>
          <w:rFonts w:ascii="Times New Roman" w:eastAsia="Times New Roman" w:hAnsi="Times New Roman" w:cs="Times New Roman"/>
          <w:lang w:val="en-US" w:eastAsia="en-US" w:bidi="ar-SA"/>
        </w:rPr>
        <w:t xml:space="preserve">or months </w:t>
      </w:r>
      <w:r>
        <w:rPr>
          <w:rStyle w:val="DefaultParagraphFont"/>
          <w:rFonts w:ascii="Times New Roman" w:eastAsia="Times New Roman" w:hAnsi="Times New Roman" w:cs="Times New Roman"/>
          <w:lang w:val="en-US" w:eastAsia="en-US" w:bidi="ar-SA"/>
        </w:rPr>
        <w:t>following the Reconfiguration Auction.  A Reconfiguration Auction will consist o</w:t>
      </w:r>
      <w:r>
        <w:rPr>
          <w:rStyle w:val="DefaultParagraphFont"/>
          <w:rFonts w:ascii="Times New Roman" w:eastAsia="Times New Roman" w:hAnsi="Times New Roman" w:cs="Times New Roman"/>
          <w:lang w:val="en-US" w:eastAsia="en-US" w:bidi="ar-SA"/>
        </w:rPr>
        <w:t xml:space="preserve">f a single round.  Any Primary Holder of a TCC that is valid for </w:t>
      </w:r>
      <w:r>
        <w:rPr>
          <w:rStyle w:val="DefaultParagraphFont"/>
          <w:rFonts w:ascii="Times New Roman" w:eastAsia="Times New Roman" w:hAnsi="Times New Roman" w:cs="Times New Roman"/>
          <w:lang w:val="en-US" w:eastAsia="en-US" w:bidi="ar-SA"/>
        </w:rPr>
        <w:t>a</w:t>
      </w:r>
      <w:r>
        <w:rPr>
          <w:rStyle w:val="DefaultParagraphFont"/>
          <w:rFonts w:ascii="Times New Roman" w:eastAsia="Times New Roman" w:hAnsi="Times New Roman" w:cs="Times New Roman"/>
          <w:lang w:val="en-US" w:eastAsia="en-US" w:bidi="ar-SA"/>
        </w:rPr>
        <w:t xml:space="preserve"> month in which TCCs are being sold in the Reconfiguration Auction, including a purchaser of a TCC in a Centralized TCC Auction that has not sold that TCC and a Transmission Owner that is th</w:t>
      </w:r>
      <w:r>
        <w:rPr>
          <w:rStyle w:val="DefaultParagraphFont"/>
          <w:rFonts w:ascii="Times New Roman" w:eastAsia="Times New Roman" w:hAnsi="Times New Roman" w:cs="Times New Roman"/>
          <w:lang w:val="en-US" w:eastAsia="en-US" w:bidi="ar-SA"/>
        </w:rPr>
        <w:t xml:space="preserve">e Primary </w:t>
      </w:r>
      <w:r>
        <w:rPr>
          <w:rStyle w:val="DefaultParagraphFont"/>
          <w:rFonts w:ascii="Times New Roman" w:eastAsia="Times New Roman" w:hAnsi="Times New Roman" w:cs="Times New Roman"/>
          <w:lang w:val="en-US" w:eastAsia="en-US" w:bidi="ar-SA"/>
        </w:rPr>
        <w:t>Holder</w:t>
      </w:r>
      <w:r>
        <w:rPr>
          <w:rStyle w:val="DefaultParagraphFont"/>
          <w:rFonts w:ascii="Times New Roman" w:eastAsia="Times New Roman" w:hAnsi="Times New Roman" w:cs="Times New Roman"/>
          <w:lang w:val="en-US" w:eastAsia="en-US" w:bidi="ar-SA"/>
        </w:rPr>
        <w:t xml:space="preserve"> of an ETCNL TCC or </w:t>
      </w:r>
      <w:r w:rsidRPr="00687B8B">
        <w:rPr>
          <w:rStyle w:val="DefaultParagraphFont"/>
          <w:rFonts w:ascii="Times New Roman" w:eastAsia="Times New Roman" w:hAnsi="Times New Roman" w:cs="Times New Roman"/>
          <w:lang w:val="en-US" w:eastAsia="en-US" w:bidi="ar-SA"/>
        </w:rPr>
        <w:t xml:space="preserve">a Member System that is the Primary Holder of a </w:t>
      </w:r>
      <w:r>
        <w:rPr>
          <w:rStyle w:val="DefaultParagraphFont"/>
          <w:rFonts w:ascii="Times New Roman" w:eastAsia="Times New Roman" w:hAnsi="Times New Roman" w:cs="Times New Roman"/>
          <w:lang w:val="en-US" w:eastAsia="en-US" w:bidi="ar-SA"/>
        </w:rPr>
        <w:t xml:space="preserve">RCRR TCC, may offer that TCC for sale in a Reconfiguration Auction; provided however that the sale of TCCs in a Reconfiguration Auction shall be subject to the limitations </w:t>
      </w:r>
      <w:r>
        <w:rPr>
          <w:rStyle w:val="DefaultParagraphFont"/>
          <w:rFonts w:ascii="Times New Roman" w:eastAsia="Times New Roman" w:hAnsi="Times New Roman" w:cs="Times New Roman"/>
          <w:lang w:val="en-US" w:eastAsia="en-US" w:bidi="ar-SA"/>
        </w:rPr>
        <w:t>and prohibitions set forth in this ISO OATT including the limitation on the sale or transfer of Fixed Price TCCs and the limitation on the sale or other transfer of Incremental TCCs.  The transmission Capacity used to support these TCCs, as well as any oth</w:t>
      </w:r>
      <w:r>
        <w:rPr>
          <w:rStyle w:val="DefaultParagraphFont"/>
          <w:rFonts w:ascii="Times New Roman" w:eastAsia="Times New Roman" w:hAnsi="Times New Roman" w:cs="Times New Roman"/>
          <w:lang w:val="en-US" w:eastAsia="en-US" w:bidi="ar-SA"/>
        </w:rPr>
        <w:t xml:space="preserve">er transmission Capacity not required to support already-outstanding TCCs or Grandfathered Rights, will be available to support TCCs purchased in the Reconfiguration Auction. </w:t>
      </w:r>
    </w:p>
    <w:p w:rsidR="00117F15">
      <w:pPr>
        <w:pStyle w:val="Bodypara6"/>
        <w:rPr>
          <w:rStyle w:val="DefaultParagraphFont"/>
          <w:rFonts w:ascii="Times New Roman" w:eastAsia="Times New Roman" w:hAnsi="Times New Roman" w:cs="Times New Roman"/>
          <w:lang w:val="en-US" w:eastAsia="en-US" w:bidi="ar-SA"/>
        </w:rPr>
        <w:sectPr w:rsidSect="001B06ED">
          <w:headerReference w:type="even" r:id="rId59"/>
          <w:headerReference w:type="default" r:id="rId60"/>
          <w:footerReference w:type="even" r:id="rId61"/>
          <w:footerReference w:type="default" r:id="rId62"/>
          <w:headerReference w:type="first" r:id="rId63"/>
          <w:footerReference w:type="first" r:id="rId64"/>
          <w:type w:val="nextPage"/>
          <w:pgSz w:w="12240" w:h="15840" w:code="1"/>
          <w:pgMar w:top="1440" w:right="1440" w:bottom="1440" w:left="1440" w:header="720" w:footer="720" w:gutter="0"/>
          <w:cols w:space="720"/>
        </w:sectPr>
      </w:pPr>
      <w:r>
        <w:rPr>
          <w:rStyle w:val="DefaultParagraphFont"/>
          <w:rFonts w:ascii="Times New Roman" w:eastAsia="Times New Roman" w:hAnsi="Times New Roman" w:cs="Times New Roman"/>
          <w:lang w:val="en-US" w:eastAsia="en-US" w:bidi="ar-SA"/>
        </w:rPr>
        <w:t xml:space="preserve">Transmission Capacity made available for transmission rights in durations of no </w:t>
      </w:r>
      <w:r>
        <w:rPr>
          <w:rStyle w:val="DefaultParagraphFont"/>
          <w:rFonts w:ascii="Times New Roman" w:eastAsia="Times New Roman" w:hAnsi="Times New Roman" w:cs="Times New Roman"/>
          <w:lang w:val="en-US" w:eastAsia="en-US" w:bidi="ar-SA"/>
        </w:rPr>
        <w:t xml:space="preserve">more than one month pursuant to Section 19.1.1 shall be released in Reconfiguration Auctions. </w:t>
      </w:r>
    </w:p>
    <w:p w:rsidR="00B2138A">
      <w:pPr>
        <w:pStyle w:val="Heading28"/>
        <w:rPr>
          <w:rStyle w:val="DefaultParagraphFont"/>
        </w:rPr>
      </w:pPr>
      <w:bookmarkStart w:id="65" w:name="_Toc263333585"/>
      <w:bookmarkStart w:id="66" w:name="_GoBack_9"/>
      <w:bookmarkEnd w:id="66"/>
      <w:r>
        <w:rPr>
          <w:rStyle w:val="DefaultParagraphFont"/>
        </w:rPr>
        <w:t>19.9</w:t>
      </w:r>
      <w:r>
        <w:rPr>
          <w:rStyle w:val="DefaultParagraphFont"/>
        </w:rPr>
        <w:tab/>
        <w:t>Procedures for Sales of TCCs in Each Auction</w:t>
      </w:r>
      <w:bookmarkEnd w:id="65"/>
    </w:p>
    <w:p w:rsidR="00B2138A">
      <w:pPr>
        <w:pStyle w:val="Heading34"/>
        <w:rPr>
          <w:rStyle w:val="DefaultParagraphFont"/>
        </w:rPr>
      </w:pPr>
      <w:bookmarkStart w:id="67" w:name="_Toc263333586"/>
      <w:r>
        <w:rPr>
          <w:rStyle w:val="DefaultParagraphFont"/>
        </w:rPr>
        <w:t xml:space="preserve">19.9.1 </w:t>
      </w:r>
      <w:r>
        <w:rPr>
          <w:rStyle w:val="DefaultParagraphFont"/>
        </w:rPr>
        <w:tab/>
        <w:t>Auction Structure</w:t>
      </w:r>
      <w:bookmarkEnd w:id="67"/>
    </w:p>
    <w:p w:rsidR="00B2138A">
      <w:pPr>
        <w:pStyle w:val="Bodypara7"/>
        <w:rPr>
          <w:rStyle w:val="DefaultParagraphFont"/>
          <w:strike/>
          <w:color w:val="000000"/>
        </w:rPr>
      </w:pPr>
      <w:r>
        <w:rPr>
          <w:rStyle w:val="DefaultParagraphFont"/>
        </w:rPr>
        <w:t xml:space="preserve">TCCs may be offered for sale in each Sub-Auction round of the Centralized TCC Auction.  </w:t>
      </w:r>
      <w:r>
        <w:rPr>
          <w:rStyle w:val="DefaultParagraphFont"/>
          <w:strike/>
          <w:color w:val="000000"/>
        </w:rPr>
        <w:t xml:space="preserve"> </w:t>
      </w:r>
    </w:p>
    <w:p w:rsidR="00B2138A">
      <w:pPr>
        <w:pStyle w:val="Bodypara7"/>
        <w:rPr>
          <w:rStyle w:val="DefaultParagraphFont"/>
          <w:color w:val="000000"/>
        </w:rPr>
      </w:pPr>
      <w:r>
        <w:rPr>
          <w:rStyle w:val="DefaultParagraphFont"/>
          <w:color w:val="000000"/>
        </w:rPr>
        <w:t xml:space="preserve">TCCs purchased in any round of any Sub-Auction may be resold in a subsequent round of that </w:t>
      </w:r>
      <w:r>
        <w:rPr>
          <w:rStyle w:val="DefaultParagraphFont"/>
          <w:color w:val="000000"/>
        </w:rPr>
        <w:t>Centralized TCC Auction</w:t>
      </w:r>
      <w:r w:rsidRPr="005F5BC3">
        <w:rPr>
          <w:rStyle w:val="DefaultParagraphFont"/>
          <w:color w:val="000000"/>
        </w:rPr>
        <w:t xml:space="preserve"> </w:t>
      </w:r>
      <w:r>
        <w:rPr>
          <w:rStyle w:val="DefaultParagraphFont"/>
          <w:color w:val="000000"/>
        </w:rPr>
        <w:t>for TCCs with the same start date</w:t>
      </w:r>
      <w:r>
        <w:rPr>
          <w:rStyle w:val="DefaultParagraphFont"/>
          <w:color w:val="000000"/>
        </w:rPr>
        <w:t>.  For example, the purchaser of a 5-year TCC purchased in the 5 year Sub-Auction may release a 4-year TCC w</w:t>
      </w:r>
      <w:r>
        <w:rPr>
          <w:rStyle w:val="DefaultParagraphFont"/>
          <w:color w:val="000000"/>
        </w:rPr>
        <w:t xml:space="preserve">ith the same Point of Injection and Point of Withdrawal </w:t>
      </w:r>
      <w:r>
        <w:rPr>
          <w:rStyle w:val="DefaultParagraphFont"/>
        </w:rPr>
        <w:t>for</w:t>
      </w:r>
      <w:r>
        <w:rPr>
          <w:rStyle w:val="DefaultParagraphFont"/>
          <w:color w:val="000000"/>
        </w:rPr>
        <w:t xml:space="preserve"> sale in the 4-year Sub-Auction</w:t>
      </w:r>
      <w:r>
        <w:rPr>
          <w:rStyle w:val="DefaultParagraphFont"/>
          <w:color w:val="000000"/>
        </w:rPr>
        <w:t xml:space="preserve"> for TCCs with the same start date</w:t>
      </w:r>
      <w:r>
        <w:rPr>
          <w:rStyle w:val="DefaultParagraphFont"/>
          <w:color w:val="000000"/>
        </w:rPr>
        <w:t>.  Similarly, that purchaser could instead release a corresponding 3-year TCC for sale in the 3-year Sub-Auction</w:t>
      </w:r>
      <w:r>
        <w:rPr>
          <w:rStyle w:val="DefaultParagraphFont"/>
          <w:color w:val="000000"/>
        </w:rPr>
        <w:t xml:space="preserve"> for TCCs with the s</w:t>
      </w:r>
      <w:r>
        <w:rPr>
          <w:rStyle w:val="DefaultParagraphFont"/>
          <w:color w:val="000000"/>
        </w:rPr>
        <w:t>ame start date</w:t>
      </w:r>
      <w:r>
        <w:rPr>
          <w:rStyle w:val="DefaultParagraphFont"/>
          <w:color w:val="000000"/>
        </w:rPr>
        <w:t xml:space="preserve">. </w:t>
      </w:r>
    </w:p>
    <w:p w:rsidR="00B2138A">
      <w:pPr>
        <w:pStyle w:val="Bodypara7"/>
        <w:rPr>
          <w:rStyle w:val="DefaultParagraphFont"/>
          <w:color w:val="000000"/>
        </w:rPr>
      </w:pPr>
      <w:r>
        <w:rPr>
          <w:rStyle w:val="DefaultParagraphFont"/>
        </w:rPr>
        <w:t>The following holders of TCCs may offer to sell TCCs in any round of a Sub-A</w:t>
      </w:r>
      <w:r w:rsidRPr="00E858C2">
        <w:rPr>
          <w:rStyle w:val="DefaultParagraphFont"/>
        </w:rPr>
        <w:t>u</w:t>
      </w:r>
      <w:r>
        <w:rPr>
          <w:rStyle w:val="DefaultParagraphFont"/>
        </w:rPr>
        <w:t>ction appropriate to their duration</w:t>
      </w:r>
      <w:r w:rsidRPr="00C52F7B">
        <w:rPr>
          <w:rStyle w:val="DefaultParagraphFont"/>
        </w:rPr>
        <w:t>:</w:t>
      </w:r>
      <w:r>
        <w:rPr>
          <w:rStyle w:val="DefaultParagraphFont"/>
        </w:rPr>
        <w:t xml:space="preserve"> (i) Primary Holders who did not sell those TCCs in a Direct Sale or in a previous round of the Centralized TCC Auction; (ii) </w:t>
      </w:r>
      <w:r>
        <w:rPr>
          <w:rStyle w:val="DefaultParagraphFont"/>
        </w:rPr>
        <w:t xml:space="preserve">purchasers of TCCs in previous rounds of that Centralized TCC Auction or in previous </w:t>
      </w:r>
      <w:r>
        <w:rPr>
          <w:rStyle w:val="DefaultParagraphFont"/>
        </w:rPr>
        <w:t>a</w:t>
      </w:r>
      <w:r>
        <w:rPr>
          <w:rStyle w:val="DefaultParagraphFont"/>
        </w:rPr>
        <w:t xml:space="preserve">uctions who have not subsequently sold those TCCs through an </w:t>
      </w:r>
      <w:r>
        <w:rPr>
          <w:rStyle w:val="DefaultParagraphFont"/>
        </w:rPr>
        <w:t>a</w:t>
      </w:r>
      <w:r>
        <w:rPr>
          <w:rStyle w:val="DefaultParagraphFont"/>
        </w:rPr>
        <w:t>uction; and (iii) purchasers of TCCs through a Direct Sale who qualify to become Primary Holders and have no</w:t>
      </w:r>
      <w:r>
        <w:rPr>
          <w:rStyle w:val="DefaultParagraphFont"/>
        </w:rPr>
        <w:t xml:space="preserve">t already sold those TCCs through an </w:t>
      </w:r>
      <w:r>
        <w:rPr>
          <w:rStyle w:val="DefaultParagraphFont"/>
        </w:rPr>
        <w:t>a</w:t>
      </w:r>
      <w:r>
        <w:rPr>
          <w:rStyle w:val="DefaultParagraphFont"/>
        </w:rPr>
        <w:t>uction or through a Direct Sale, provided however that the sale of TCCs shall be subject to the limitations and prohibitions set forth in this ISO OATT including the limitation on the sale or transfer of Fixed Price TC</w:t>
      </w:r>
      <w:r>
        <w:rPr>
          <w:rStyle w:val="DefaultParagraphFont"/>
        </w:rPr>
        <w:t xml:space="preserve">Cs and the limitation on the sale or other transfer of Incremental TCCs. </w:t>
      </w:r>
    </w:p>
    <w:p w:rsidR="00B2138A">
      <w:pPr>
        <w:pStyle w:val="Heading41"/>
        <w:rPr>
          <w:rStyle w:val="DefaultParagraphFont"/>
        </w:rPr>
      </w:pPr>
      <w:bookmarkStart w:id="68" w:name="_Toc263333587"/>
      <w:r>
        <w:rPr>
          <w:rStyle w:val="DefaultParagraphFont"/>
        </w:rPr>
        <w:t>19.9.1.1</w:t>
      </w:r>
      <w:r>
        <w:rPr>
          <w:rStyle w:val="DefaultParagraphFont"/>
        </w:rPr>
        <w:tab/>
        <w:t xml:space="preserve">Bid Requirements </w:t>
      </w:r>
      <w:bookmarkEnd w:id="68"/>
    </w:p>
    <w:p w:rsidR="00B2138A">
      <w:pPr>
        <w:pStyle w:val="Bodypara7"/>
        <w:rPr>
          <w:rStyle w:val="DefaultParagraphFont"/>
        </w:rPr>
      </w:pPr>
      <w:r>
        <w:rPr>
          <w:rStyle w:val="DefaultParagraphFont"/>
        </w:rPr>
        <w:t xml:space="preserve">Bidders shall submit Bids into the </w:t>
      </w:r>
      <w:r>
        <w:rPr>
          <w:rStyle w:val="DefaultParagraphFont"/>
        </w:rPr>
        <w:t xml:space="preserve">Centralized TCC </w:t>
      </w:r>
      <w:r>
        <w:rPr>
          <w:rStyle w:val="DefaultParagraphFont"/>
        </w:rPr>
        <w:t xml:space="preserve">Auction in accordance with this Attachment </w:t>
      </w:r>
      <w:r>
        <w:rPr>
          <w:rStyle w:val="DefaultParagraphFont"/>
        </w:rPr>
        <w:t xml:space="preserve">M </w:t>
      </w:r>
      <w:r>
        <w:rPr>
          <w:rStyle w:val="DefaultParagraphFont"/>
        </w:rPr>
        <w:t>and ISO Procedures.  Bidders shall submit Bids such that th</w:t>
      </w:r>
      <w:r>
        <w:rPr>
          <w:rStyle w:val="DefaultParagraphFont"/>
        </w:rPr>
        <w:t>e sum of the value of its Bids shall not exceed that bidder’s ability to pay for TCCs, as determined by ISO Procedures.</w:t>
      </w:r>
    </w:p>
    <w:p w:rsidR="00B2138A">
      <w:pPr>
        <w:pStyle w:val="Heading41"/>
        <w:rPr>
          <w:rStyle w:val="DefaultParagraphFont"/>
        </w:rPr>
      </w:pPr>
      <w:bookmarkStart w:id="69" w:name="_Toc263333588"/>
      <w:r>
        <w:rPr>
          <w:rStyle w:val="DefaultParagraphFont"/>
        </w:rPr>
        <w:t>19.9.1.2</w:t>
      </w:r>
      <w:r>
        <w:rPr>
          <w:rStyle w:val="DefaultParagraphFont"/>
        </w:rPr>
        <w:tab/>
        <w:t xml:space="preserve">Bidding Rounds </w:t>
      </w:r>
      <w:bookmarkEnd w:id="69"/>
    </w:p>
    <w:p w:rsidR="00B2138A">
      <w:pPr>
        <w:pStyle w:val="Bodypara7"/>
        <w:rPr>
          <w:rStyle w:val="DefaultParagraphFont"/>
        </w:rPr>
      </w:pPr>
      <w:r>
        <w:rPr>
          <w:rStyle w:val="DefaultParagraphFont"/>
        </w:rPr>
        <w:t xml:space="preserve">Bidders shall be awarded TCCs in each round of the </w:t>
      </w:r>
      <w:r>
        <w:rPr>
          <w:rStyle w:val="DefaultParagraphFont"/>
        </w:rPr>
        <w:t xml:space="preserve">Centralized TCC </w:t>
      </w:r>
      <w:r>
        <w:rPr>
          <w:rStyle w:val="DefaultParagraphFont"/>
        </w:rPr>
        <w:t>Auction and shall be charged the market</w:t>
      </w:r>
      <w:r>
        <w:rPr>
          <w:rStyle w:val="DefaultParagraphFont"/>
        </w:rPr>
        <w:t>-</w:t>
      </w:r>
      <w:r>
        <w:rPr>
          <w:rStyle w:val="DefaultParagraphFont"/>
        </w:rPr>
        <w:t>clea</w:t>
      </w:r>
      <w:r>
        <w:rPr>
          <w:rStyle w:val="DefaultParagraphFont"/>
        </w:rPr>
        <w:t xml:space="preserve">ring price for that round, as </w:t>
      </w:r>
      <w:r>
        <w:rPr>
          <w:rStyle w:val="DefaultParagraphFont"/>
        </w:rPr>
        <w:t xml:space="preserve">determined by the ISO in accordance with Section 19.9.5of this </w:t>
      </w:r>
      <w:r>
        <w:rPr>
          <w:rStyle w:val="DefaultParagraphFont"/>
        </w:rPr>
        <w:t>Attachment</w:t>
      </w:r>
      <w:r>
        <w:rPr>
          <w:rStyle w:val="DefaultParagraphFont"/>
        </w:rPr>
        <w:t xml:space="preserve"> M</w:t>
      </w:r>
      <w:r>
        <w:rPr>
          <w:rStyle w:val="DefaultParagraphFont"/>
        </w:rPr>
        <w:t xml:space="preserve">, for all TCCs they purchase.  </w:t>
      </w:r>
    </w:p>
    <w:p w:rsidR="00B2138A">
      <w:pPr>
        <w:pStyle w:val="Heading41"/>
        <w:rPr>
          <w:rStyle w:val="DefaultParagraphFont"/>
        </w:rPr>
      </w:pPr>
      <w:bookmarkStart w:id="70" w:name="_Toc263333589"/>
      <w:r>
        <w:rPr>
          <w:rStyle w:val="DefaultParagraphFont"/>
        </w:rPr>
        <w:t>19.9.1.3</w:t>
      </w:r>
      <w:r>
        <w:rPr>
          <w:rStyle w:val="DefaultParagraphFont"/>
        </w:rPr>
        <w:tab/>
        <w:t xml:space="preserve">Reconfiguration Auctions </w:t>
      </w:r>
      <w:bookmarkEnd w:id="70"/>
    </w:p>
    <w:p w:rsidR="00B2138A">
      <w:pPr>
        <w:pStyle w:val="Bodypara7"/>
        <w:rPr>
          <w:rStyle w:val="DefaultParagraphFont"/>
        </w:rPr>
      </w:pPr>
      <w:r>
        <w:rPr>
          <w:rStyle w:val="DefaultParagraphFont"/>
        </w:rPr>
        <w:t>All rules stated in this Section 19.9 for the auction rounds of a Centralized TCC Au</w:t>
      </w:r>
      <w:r>
        <w:rPr>
          <w:rStyle w:val="DefaultParagraphFont"/>
        </w:rPr>
        <w:t>ction shall also apply to Reconfiguration Auctions unless otherwise stated or the context otherwise requires it. The scaling factor for the single round of a Reconfiguration Auction shall be one.</w:t>
      </w:r>
    </w:p>
    <w:p w:rsidR="00B2138A">
      <w:pPr>
        <w:pStyle w:val="Heading34"/>
        <w:rPr>
          <w:rStyle w:val="DefaultParagraphFont"/>
        </w:rPr>
      </w:pPr>
      <w:bookmarkStart w:id="71" w:name="_Toc263333590"/>
      <w:r>
        <w:rPr>
          <w:rStyle w:val="DefaultParagraphFont"/>
        </w:rPr>
        <w:t>19.9.2</w:t>
      </w:r>
      <w:r>
        <w:rPr>
          <w:rStyle w:val="DefaultParagraphFont"/>
        </w:rPr>
        <w:tab/>
        <w:t>Responsibilities of the ISO</w:t>
      </w:r>
      <w:bookmarkEnd w:id="71"/>
    </w:p>
    <w:p w:rsidR="00B2138A">
      <w:pPr>
        <w:pStyle w:val="Bodypara7"/>
        <w:rPr>
          <w:rStyle w:val="DefaultParagraphFont"/>
        </w:rPr>
      </w:pPr>
      <w:r>
        <w:rPr>
          <w:rStyle w:val="DefaultParagraphFont"/>
        </w:rPr>
        <w:t>The ISO shall establish t</w:t>
      </w:r>
      <w:r>
        <w:rPr>
          <w:rStyle w:val="DefaultParagraphFont"/>
        </w:rPr>
        <w:t xml:space="preserve">he </w:t>
      </w:r>
      <w:r>
        <w:rPr>
          <w:rStyle w:val="DefaultParagraphFont"/>
        </w:rPr>
        <w:t>a</w:t>
      </w:r>
      <w:r>
        <w:rPr>
          <w:rStyle w:val="DefaultParagraphFont"/>
        </w:rPr>
        <w:t>uction rules and procedures consistent with this Tariff.  The ISO shall conduct the Optimal Power Flows in each round of the Centralized TCC Auction.  The ISO will verify that the Optimal Power Flows calculated in each round of the Centralized TCC Auct</w:t>
      </w:r>
      <w:r>
        <w:rPr>
          <w:rStyle w:val="DefaultParagraphFont"/>
        </w:rPr>
        <w:t>ion corresponds to a simultaneously feasible Power Flow as described in Section 19.9.7 of this Attachment M.  The ISO shall notify the Transmission Owners if: (1) the Optimal Power Flow results calculated are inaccurate; or (2) the Optimal Power Flow is no</w:t>
      </w:r>
      <w:r>
        <w:rPr>
          <w:rStyle w:val="DefaultParagraphFont"/>
        </w:rPr>
        <w:t xml:space="preserve">t calculated in accordance with the correct procedure. </w:t>
      </w:r>
    </w:p>
    <w:p w:rsidR="00B2138A">
      <w:pPr>
        <w:pStyle w:val="Bodypara7"/>
        <w:rPr>
          <w:rStyle w:val="DefaultParagraphFont"/>
        </w:rPr>
      </w:pPr>
      <w:r>
        <w:rPr>
          <w:rStyle w:val="DefaultParagraphFont"/>
        </w:rPr>
        <w:t xml:space="preserve">Additionally, the ISO will determine the information pertaining to the </w:t>
      </w:r>
      <w:r>
        <w:rPr>
          <w:rStyle w:val="DefaultParagraphFont"/>
        </w:rPr>
        <w:t>a</w:t>
      </w:r>
      <w:r>
        <w:rPr>
          <w:rStyle w:val="DefaultParagraphFont"/>
        </w:rPr>
        <w:t>uction to be made available to Centralized TCC Auction participants over the OASIS and publish information on its OASIS accordin</w:t>
      </w:r>
      <w:r>
        <w:rPr>
          <w:rStyle w:val="DefaultParagraphFont"/>
        </w:rPr>
        <w:t xml:space="preserve">gly.  The ISO may develop a list of POIs and POWs between which TCCs may not be purchased and shall post such list on its OASIS.  The ISO will identify the details to be included in development of the </w:t>
      </w:r>
      <w:r>
        <w:rPr>
          <w:rStyle w:val="DefaultParagraphFont"/>
        </w:rPr>
        <w:t>a</w:t>
      </w:r>
      <w:r>
        <w:rPr>
          <w:rStyle w:val="DefaultParagraphFont"/>
        </w:rPr>
        <w:t>uction software and arrange for development of the sof</w:t>
      </w:r>
      <w:r>
        <w:rPr>
          <w:rStyle w:val="DefaultParagraphFont"/>
        </w:rPr>
        <w:t>tware.</w:t>
      </w:r>
    </w:p>
    <w:p w:rsidR="00B2138A">
      <w:pPr>
        <w:pStyle w:val="Bodypara7"/>
        <w:rPr>
          <w:rStyle w:val="DefaultParagraphFont"/>
        </w:rPr>
      </w:pPr>
      <w:r>
        <w:rPr>
          <w:rStyle w:val="DefaultParagraphFont"/>
        </w:rPr>
        <w:t xml:space="preserve">The ISO will apply the credit requirements established in this ISO OATT and Attachment K of the </w:t>
      </w:r>
      <w:r>
        <w:rPr>
          <w:rStyle w:val="DefaultParagraphFont"/>
        </w:rPr>
        <w:t xml:space="preserve">NYISO </w:t>
      </w:r>
      <w:r>
        <w:rPr>
          <w:rStyle w:val="DefaultParagraphFont"/>
        </w:rPr>
        <w:t xml:space="preserve">Services </w:t>
      </w:r>
      <w:r>
        <w:rPr>
          <w:rStyle w:val="DefaultParagraphFont"/>
        </w:rPr>
        <w:t>T</w:t>
      </w:r>
      <w:r>
        <w:rPr>
          <w:rStyle w:val="DefaultParagraphFont"/>
        </w:rPr>
        <w:t xml:space="preserve">ariff to Primary Holders of TCCs and to bidders in the Centralized TCC Auctions and Reconfiguration Auctions. </w:t>
      </w:r>
    </w:p>
    <w:p w:rsidR="00B2138A">
      <w:pPr>
        <w:pStyle w:val="Bodypara7"/>
        <w:rPr>
          <w:rStyle w:val="DefaultParagraphFont"/>
        </w:rPr>
      </w:pPr>
      <w:r>
        <w:rPr>
          <w:rStyle w:val="DefaultParagraphFont"/>
        </w:rPr>
        <w:t xml:space="preserve">The ISO shall not reveal the Bid Prices submitted by any bidder in the </w:t>
      </w:r>
      <w:r>
        <w:rPr>
          <w:rStyle w:val="DefaultParagraphFont"/>
        </w:rPr>
        <w:t xml:space="preserve">Centralized TCC </w:t>
      </w:r>
      <w:r>
        <w:rPr>
          <w:rStyle w:val="DefaultParagraphFont"/>
        </w:rPr>
        <w:t xml:space="preserve">Auction until </w:t>
      </w:r>
      <w:r>
        <w:rPr>
          <w:rStyle w:val="DefaultParagraphFont"/>
        </w:rPr>
        <w:t>three</w:t>
      </w:r>
      <w:r>
        <w:rPr>
          <w:rStyle w:val="DefaultParagraphFont"/>
        </w:rPr>
        <w:t xml:space="preserve"> months</w:t>
      </w:r>
      <w:r>
        <w:rPr>
          <w:rStyle w:val="DefaultParagraphFont"/>
        </w:rPr>
        <w:t xml:space="preserve"> after the Bids were submitted</w:t>
      </w:r>
      <w:r>
        <w:rPr>
          <w:rStyle w:val="DefaultParagraphFont"/>
        </w:rPr>
        <w:t xml:space="preserve">.  When these Bid Prices are posted, the names of the bidders shall not be publicly </w:t>
      </w:r>
      <w:r>
        <w:rPr>
          <w:rStyle w:val="DefaultParagraphFont"/>
          <w:spacing w:val="6"/>
        </w:rPr>
        <w:t xml:space="preserve">revealed, but the data shall </w:t>
      </w:r>
      <w:r>
        <w:rPr>
          <w:rStyle w:val="DefaultParagraphFont"/>
          <w:spacing w:val="6"/>
        </w:rPr>
        <w:t>be posted in a way that permits third parties to track each individual bidder's</w:t>
      </w:r>
      <w:r>
        <w:rPr>
          <w:rStyle w:val="DefaultParagraphFont"/>
        </w:rPr>
        <w:t xml:space="preserve"> </w:t>
      </w:r>
      <w:r>
        <w:rPr>
          <w:rStyle w:val="DefaultParagraphFont"/>
        </w:rPr>
        <w:t>B</w:t>
      </w:r>
      <w:r>
        <w:rPr>
          <w:rStyle w:val="DefaultParagraphFont"/>
        </w:rPr>
        <w:t>ids over time.</w:t>
      </w:r>
    </w:p>
    <w:p w:rsidR="00B2138A">
      <w:pPr>
        <w:pStyle w:val="Bodypara7"/>
        <w:rPr>
          <w:rStyle w:val="DefaultParagraphFont"/>
        </w:rPr>
      </w:pPr>
      <w:r>
        <w:rPr>
          <w:rStyle w:val="DefaultParagraphFont"/>
        </w:rPr>
        <w:t>The ISO will settle all Centralized TCC Auctions and Reconfiguration Auctions, and will settle all Congestion settlements related to the Day-Ahead Market, pursu</w:t>
      </w:r>
      <w:r>
        <w:rPr>
          <w:rStyle w:val="DefaultParagraphFont"/>
        </w:rPr>
        <w:t>ant to Attachment N.</w:t>
      </w:r>
    </w:p>
    <w:p w:rsidR="00B2138A">
      <w:pPr>
        <w:pStyle w:val="Heading34"/>
        <w:rPr>
          <w:rStyle w:val="DefaultParagraphFont"/>
        </w:rPr>
      </w:pPr>
      <w:bookmarkStart w:id="72" w:name="_Toc263333591"/>
      <w:r>
        <w:rPr>
          <w:rStyle w:val="DefaultParagraphFont"/>
        </w:rPr>
        <w:t>19.9.3</w:t>
      </w:r>
      <w:r>
        <w:rPr>
          <w:rStyle w:val="DefaultParagraphFont"/>
        </w:rPr>
        <w:tab/>
        <w:t>Additional Responsibilities of the ISO</w:t>
      </w:r>
      <w:bookmarkEnd w:id="72"/>
    </w:p>
    <w:p w:rsidR="00B2138A">
      <w:pPr>
        <w:pStyle w:val="Bodypara7"/>
        <w:rPr>
          <w:rStyle w:val="DefaultParagraphFont"/>
        </w:rPr>
      </w:pPr>
      <w:r>
        <w:rPr>
          <w:rStyle w:val="DefaultParagraphFont"/>
        </w:rPr>
        <w:t xml:space="preserve">The ISO shall be capable of completing the Centralized TCC Auction within the time frame specified in this Attachment M. </w:t>
      </w:r>
    </w:p>
    <w:p w:rsidR="00B2138A">
      <w:pPr>
        <w:pStyle w:val="Bodypara7"/>
        <w:rPr>
          <w:rStyle w:val="DefaultParagraphFont"/>
        </w:rPr>
      </w:pPr>
      <w:r>
        <w:rPr>
          <w:rStyle w:val="DefaultParagraphFont"/>
        </w:rPr>
        <w:t>The ISO will establish an auditable information system to facilitat</w:t>
      </w:r>
      <w:r>
        <w:rPr>
          <w:rStyle w:val="DefaultParagraphFont"/>
        </w:rPr>
        <w:t>e analysis and acceptance or rejection of Bids, and to provide a record of all Bids and the award of Fixed Price TCCs.  The ISO shall also provide all necessary assistance in the resolution of disputes that arise from questions regarding the acceptance, re</w:t>
      </w:r>
      <w:r>
        <w:rPr>
          <w:rStyle w:val="DefaultParagraphFont"/>
        </w:rPr>
        <w:t xml:space="preserve">jection, award and recording of Bids, </w:t>
      </w:r>
      <w:r>
        <w:rPr>
          <w:rStyle w:val="DefaultParagraphFont"/>
          <w:bCs/>
        </w:rPr>
        <w:t xml:space="preserve">or the award of  Fixed Price TCCs, </w:t>
      </w:r>
      <w:r w:rsidRPr="00261627">
        <w:rPr>
          <w:rStyle w:val="DefaultParagraphFont"/>
          <w:bCs/>
        </w:rPr>
        <w:t xml:space="preserve">pursuant to Section </w:t>
      </w:r>
      <w:r w:rsidRPr="00261627">
        <w:rPr>
          <w:rStyle w:val="DefaultParagraphFont"/>
        </w:rPr>
        <w:t>19.</w:t>
      </w:r>
      <w:r w:rsidRPr="00261627">
        <w:rPr>
          <w:rStyle w:val="DefaultParagraphFont"/>
          <w:bCs/>
        </w:rPr>
        <w:t>2.1</w:t>
      </w:r>
      <w:r w:rsidRPr="00261627">
        <w:rPr>
          <w:rStyle w:val="DefaultParagraphFont"/>
          <w:bCs/>
        </w:rPr>
        <w:t xml:space="preserve"> (including </w:t>
      </w:r>
      <w:r w:rsidRPr="00261627">
        <w:rPr>
          <w:rStyle w:val="DefaultParagraphFont"/>
          <w:bCs/>
        </w:rPr>
        <w:t xml:space="preserve">Section </w:t>
      </w:r>
      <w:r w:rsidRPr="00261627">
        <w:rPr>
          <w:rStyle w:val="DefaultParagraphFont"/>
          <w:bCs/>
        </w:rPr>
        <w:t>19.2.1.4)</w:t>
      </w:r>
      <w:r w:rsidRPr="00261627">
        <w:rPr>
          <w:rStyle w:val="DefaultParagraphFont"/>
          <w:bCs/>
        </w:rPr>
        <w:t xml:space="preserve"> or </w:t>
      </w:r>
      <w:r w:rsidRPr="00261627">
        <w:rPr>
          <w:rStyle w:val="DefaultParagraphFont"/>
          <w:bCs/>
        </w:rPr>
        <w:t>Section</w:t>
      </w:r>
      <w:r>
        <w:rPr>
          <w:rStyle w:val="DefaultParagraphFont"/>
          <w:bCs/>
        </w:rPr>
        <w:t xml:space="preserve"> </w:t>
      </w:r>
      <w:r>
        <w:rPr>
          <w:rStyle w:val="DefaultParagraphFont"/>
          <w:bCs/>
        </w:rPr>
        <w:t>19.2.2.above</w:t>
      </w:r>
      <w:r>
        <w:rPr>
          <w:rStyle w:val="DefaultParagraphFont"/>
        </w:rPr>
        <w:t xml:space="preserve">.  The ISO will establish a system to communicate </w:t>
      </w:r>
      <w:r>
        <w:rPr>
          <w:rStyle w:val="DefaultParagraphFont"/>
        </w:rPr>
        <w:t>a</w:t>
      </w:r>
      <w:r>
        <w:rPr>
          <w:rStyle w:val="DefaultParagraphFont"/>
        </w:rPr>
        <w:t xml:space="preserve">uction-related information to all </w:t>
      </w:r>
      <w:r>
        <w:rPr>
          <w:rStyle w:val="DefaultParagraphFont"/>
        </w:rPr>
        <w:t>a</w:t>
      </w:r>
      <w:r>
        <w:rPr>
          <w:rStyle w:val="DefaultParagraphFont"/>
        </w:rPr>
        <w:t>uction participant</w:t>
      </w:r>
      <w:r>
        <w:rPr>
          <w:rStyle w:val="DefaultParagraphFont"/>
        </w:rPr>
        <w:t xml:space="preserve">s between rounds of the </w:t>
      </w:r>
      <w:r>
        <w:rPr>
          <w:rStyle w:val="DefaultParagraphFont"/>
        </w:rPr>
        <w:t xml:space="preserve">Centralized TCC </w:t>
      </w:r>
      <w:r>
        <w:rPr>
          <w:rStyle w:val="DefaultParagraphFont"/>
        </w:rPr>
        <w:t xml:space="preserve">Auction.  (This last requirement will not apply to single-round </w:t>
      </w:r>
      <w:r>
        <w:rPr>
          <w:rStyle w:val="DefaultParagraphFont"/>
        </w:rPr>
        <w:t>a</w:t>
      </w:r>
      <w:r>
        <w:rPr>
          <w:rStyle w:val="DefaultParagraphFont"/>
        </w:rPr>
        <w:t>uctions.)</w:t>
      </w:r>
    </w:p>
    <w:p w:rsidR="00B2138A">
      <w:pPr>
        <w:pStyle w:val="Bodypara7"/>
        <w:rPr>
          <w:rStyle w:val="DefaultParagraphFont"/>
        </w:rPr>
      </w:pPr>
      <w:r>
        <w:rPr>
          <w:rStyle w:val="DefaultParagraphFont"/>
        </w:rPr>
        <w:t>The ISO will receive Bids to buy TCCs from any entity that meets the eligibility criteria established in this ISO OATT and will implement the</w:t>
      </w:r>
      <w:r>
        <w:rPr>
          <w:rStyle w:val="DefaultParagraphFont"/>
        </w:rPr>
        <w:t xml:space="preserve"> </w:t>
      </w:r>
      <w:r>
        <w:rPr>
          <w:rStyle w:val="DefaultParagraphFont"/>
        </w:rPr>
        <w:t>a</w:t>
      </w:r>
      <w:r>
        <w:rPr>
          <w:rStyle w:val="DefaultParagraphFont"/>
        </w:rPr>
        <w:t xml:space="preserve">uction bidding rules previously established by the ISO.  In accordance with ISO Procedures, the ISO shall unbundle TCCs in accordance with a request made by a Transmission Customer awarded a TCC.  Unbundling TCCs shall consist of replacing that TCC with </w:t>
      </w:r>
      <w:r>
        <w:rPr>
          <w:rStyle w:val="DefaultParagraphFont"/>
        </w:rPr>
        <w:t>an equivalent set of TCCs.  In all cases, the amount payable to (or by) the Primary Holder of such a set of TCCs will be equal to the amount payable to (or by) the Primary Holder of the original TCC.</w:t>
      </w:r>
    </w:p>
    <w:p w:rsidR="00B2138A">
      <w:pPr>
        <w:pStyle w:val="Bodypara7"/>
        <w:rPr>
          <w:rStyle w:val="DefaultParagraphFont"/>
        </w:rPr>
      </w:pPr>
      <w:r>
        <w:rPr>
          <w:rStyle w:val="DefaultParagraphFont"/>
        </w:rPr>
        <w:t>The ISO will be required to solve Optimum Power Flows fo</w:t>
      </w:r>
      <w:r>
        <w:rPr>
          <w:rStyle w:val="DefaultParagraphFont"/>
        </w:rPr>
        <w:t>r the NYS Transmission System; properly utilize an Optimum Power Flow program to determine the set of winning Bids for each round of the Centralized TCC Auction; and calculate the market</w:t>
      </w:r>
      <w:r>
        <w:rPr>
          <w:rStyle w:val="DefaultParagraphFont"/>
        </w:rPr>
        <w:t>-</w:t>
      </w:r>
      <w:r>
        <w:rPr>
          <w:rStyle w:val="DefaultParagraphFont"/>
        </w:rPr>
        <w:t>clearing price of all TCCs at the conclusion of each round of the Cen</w:t>
      </w:r>
      <w:r>
        <w:rPr>
          <w:rStyle w:val="DefaultParagraphFont"/>
        </w:rPr>
        <w:t>tralized TCC Auction, in the manner described in this Attachment M.</w:t>
      </w:r>
    </w:p>
    <w:p w:rsidR="00B2138A">
      <w:pPr>
        <w:pStyle w:val="Heading34"/>
        <w:rPr>
          <w:rStyle w:val="DefaultParagraphFont"/>
        </w:rPr>
      </w:pPr>
      <w:bookmarkStart w:id="73" w:name="_Toc263333592"/>
      <w:r>
        <w:rPr>
          <w:rStyle w:val="DefaultParagraphFont"/>
        </w:rPr>
        <w:t>19.9.4</w:t>
      </w:r>
      <w:r>
        <w:rPr>
          <w:rStyle w:val="DefaultParagraphFont"/>
        </w:rPr>
        <w:tab/>
        <w:t>Responsibilities of each Bidder</w:t>
      </w:r>
      <w:bookmarkEnd w:id="73"/>
    </w:p>
    <w:p w:rsidR="00B2138A">
      <w:pPr>
        <w:pStyle w:val="Bodypara7"/>
        <w:rPr>
          <w:rStyle w:val="DefaultParagraphFont"/>
          <w:color w:val="000000"/>
        </w:rPr>
      </w:pPr>
      <w:r>
        <w:rPr>
          <w:rStyle w:val="DefaultParagraphFont"/>
          <w:color w:val="000000"/>
        </w:rPr>
        <w:t xml:space="preserve">To qualify to submit Bids and offers in a Centralized TCC Auction, a party shall register as a Customer or Transmission Customer and shall otherwise </w:t>
      </w:r>
      <w:r>
        <w:rPr>
          <w:rStyle w:val="DefaultParagraphFont"/>
          <w:color w:val="000000"/>
        </w:rPr>
        <w:t xml:space="preserve">comply with all applicable registration </w:t>
      </w:r>
      <w:r>
        <w:rPr>
          <w:rStyle w:val="DefaultParagraphFont"/>
        </w:rPr>
        <w:t>requirements</w:t>
      </w:r>
      <w:r>
        <w:rPr>
          <w:rStyle w:val="DefaultParagraphFont"/>
          <w:color w:val="000000"/>
        </w:rPr>
        <w:t xml:space="preserve"> established in ISO Procedures.  All Customers and Transmission Customers seeking to submit Bids and </w:t>
      </w:r>
      <w:r>
        <w:rPr>
          <w:rStyle w:val="DefaultParagraphFont"/>
          <w:color w:val="000000"/>
        </w:rPr>
        <w:t>o</w:t>
      </w:r>
      <w:r>
        <w:rPr>
          <w:rStyle w:val="DefaultParagraphFont"/>
          <w:color w:val="000000"/>
        </w:rPr>
        <w:t>ffers in a Centralized TCC Auction shall comply with all applicable credit requirements as set forth i</w:t>
      </w:r>
      <w:r>
        <w:rPr>
          <w:rStyle w:val="DefaultParagraphFont"/>
          <w:color w:val="000000"/>
        </w:rPr>
        <w:t xml:space="preserve">n Attachment K of the </w:t>
      </w:r>
      <w:r>
        <w:rPr>
          <w:rStyle w:val="DefaultParagraphFont"/>
          <w:color w:val="000000"/>
        </w:rPr>
        <w:t xml:space="preserve">NYISO </w:t>
      </w:r>
      <w:r>
        <w:rPr>
          <w:rStyle w:val="DefaultParagraphFont"/>
          <w:color w:val="000000"/>
        </w:rPr>
        <w:t xml:space="preserve">Services </w:t>
      </w:r>
      <w:r>
        <w:rPr>
          <w:rStyle w:val="DefaultParagraphFont"/>
          <w:color w:val="000000"/>
        </w:rPr>
        <w:t>T</w:t>
      </w:r>
      <w:r>
        <w:rPr>
          <w:rStyle w:val="DefaultParagraphFont"/>
          <w:color w:val="000000"/>
        </w:rPr>
        <w:t>ariff.</w:t>
      </w:r>
    </w:p>
    <w:p w:rsidR="00B2138A">
      <w:pPr>
        <w:pStyle w:val="Bodypara7"/>
        <w:rPr>
          <w:rStyle w:val="DefaultParagraphFont"/>
          <w:color w:val="000000"/>
        </w:rPr>
      </w:pPr>
      <w:r>
        <w:rPr>
          <w:rStyle w:val="DefaultParagraphFont"/>
          <w:color w:val="000000"/>
        </w:rPr>
        <w:t xml:space="preserve">Each bidder shall submit Bids to purchase and sell TCCs into the Centralized TCC Auction in </w:t>
      </w:r>
      <w:r>
        <w:rPr>
          <w:rStyle w:val="DefaultParagraphFont"/>
        </w:rPr>
        <w:t>accordance</w:t>
      </w:r>
      <w:r>
        <w:rPr>
          <w:rStyle w:val="DefaultParagraphFont"/>
          <w:color w:val="000000"/>
        </w:rPr>
        <w:t xml:space="preserve"> with this Attachment M and ISO Procedures.  Each bidder shall submit the following information with its Bids</w:t>
      </w:r>
      <w:r>
        <w:rPr>
          <w:rStyle w:val="DefaultParagraphFont"/>
          <w:color w:val="000000"/>
        </w:rPr>
        <w:t xml:space="preserve"> to purchase TCCs: (i) the number of TCCs for which an offer to purchase is made, (ii) the Bid Price (in $/TCC) which represents the maximum amount the bidder is willing to pay for the TCC (Bid Prices may be negative, indicating that a bidder would have to</w:t>
      </w:r>
      <w:r>
        <w:rPr>
          <w:rStyle w:val="DefaultParagraphFont"/>
          <w:color w:val="000000"/>
        </w:rPr>
        <w:t xml:space="preserve"> be paid in order to accept a TCC); (iii) the location of the Point of Injection and the Point of Withdrawal for the TCC to which the Bid applies (these locations may be any locations for which the ISO calculates an LBMP and which is otherwise available as</w:t>
      </w:r>
      <w:r>
        <w:rPr>
          <w:rStyle w:val="DefaultParagraphFont"/>
          <w:color w:val="000000"/>
        </w:rPr>
        <w:t xml:space="preserve"> a TCC POI or POW); and (iv) if the </w:t>
      </w:r>
      <w:r>
        <w:rPr>
          <w:rStyle w:val="DefaultParagraphFont"/>
          <w:color w:val="000000"/>
        </w:rPr>
        <w:t>a</w:t>
      </w:r>
      <w:r>
        <w:rPr>
          <w:rStyle w:val="DefaultParagraphFont"/>
          <w:color w:val="000000"/>
        </w:rPr>
        <w:t xml:space="preserve">uction is a </w:t>
      </w:r>
      <w:r>
        <w:rPr>
          <w:rStyle w:val="DefaultParagraphFont"/>
          <w:color w:val="000000"/>
        </w:rPr>
        <w:t>Balance-of-Period</w:t>
      </w:r>
      <w:r>
        <w:rPr>
          <w:rStyle w:val="DefaultParagraphFont"/>
          <w:color w:val="000000"/>
        </w:rPr>
        <w:t xml:space="preserve">, the </w:t>
      </w:r>
      <w:r>
        <w:rPr>
          <w:rStyle w:val="DefaultParagraphFont"/>
          <w:color w:val="000000"/>
        </w:rPr>
        <w:t xml:space="preserve">month(s) </w:t>
      </w:r>
      <w:r>
        <w:rPr>
          <w:rStyle w:val="DefaultParagraphFont"/>
          <w:color w:val="000000"/>
        </w:rPr>
        <w:t>for which the bidder is bidding</w:t>
      </w:r>
      <w:r>
        <w:rPr>
          <w:rStyle w:val="DefaultParagraphFont"/>
        </w:rPr>
        <w:t xml:space="preserve">.  Additionally, if the ISO offers </w:t>
      </w:r>
      <w:r>
        <w:rPr>
          <w:rStyle w:val="DefaultParagraphFont"/>
          <w:color w:val="000000"/>
        </w:rPr>
        <w:t>TCCs for sale that are valid in sub-periods (e.g., on-peak or off-peak TCCs), this information must also be p</w:t>
      </w:r>
      <w:r>
        <w:rPr>
          <w:rStyle w:val="DefaultParagraphFont"/>
          <w:color w:val="000000"/>
        </w:rPr>
        <w:t>rovided by the Bidder.</w:t>
      </w:r>
    </w:p>
    <w:p w:rsidR="00B2138A">
      <w:pPr>
        <w:pStyle w:val="Bodypara7"/>
        <w:rPr>
          <w:rStyle w:val="DefaultParagraphFont"/>
        </w:rPr>
      </w:pPr>
      <w:r>
        <w:rPr>
          <w:rStyle w:val="DefaultParagraphFont"/>
          <w:color w:val="000000"/>
        </w:rPr>
        <w:t xml:space="preserve">Each bidder must submit such information to the ISO regarding the bidder’s or LSE’s </w:t>
      </w:r>
      <w:r>
        <w:rPr>
          <w:rStyle w:val="DefaultParagraphFont"/>
        </w:rPr>
        <w:t>creditworthiness</w:t>
      </w:r>
      <w:r>
        <w:rPr>
          <w:rStyle w:val="DefaultParagraphFont"/>
          <w:color w:val="000000"/>
        </w:rPr>
        <w:t xml:space="preserve"> as the ISO may require, along with a statement signed by the bidder, or LSE </w:t>
      </w:r>
      <w:r>
        <w:rPr>
          <w:rStyle w:val="DefaultParagraphFont"/>
        </w:rPr>
        <w:t xml:space="preserve">representing that the bidder or LSE is financially able and willing to pay for the TCCs for which it is bidding.  The aggregate value of the Bids submitted by any bidder into the </w:t>
      </w:r>
      <w:r>
        <w:rPr>
          <w:rStyle w:val="DefaultParagraphFont"/>
        </w:rPr>
        <w:t xml:space="preserve">Centralized TCC </w:t>
      </w:r>
      <w:r>
        <w:rPr>
          <w:rStyle w:val="DefaultParagraphFont"/>
        </w:rPr>
        <w:t xml:space="preserve">Auction shall not exceed that bidder’s ability to pay or the </w:t>
      </w:r>
      <w:r>
        <w:rPr>
          <w:rStyle w:val="DefaultParagraphFont"/>
        </w:rPr>
        <w:t>maximum value of Bids that bidder is permitted to place, as determined by the ISO (based on an analysis of that bidder’s creditworthiness).</w:t>
      </w:r>
      <w:bookmarkStart w:id="74" w:name="_DV_C293"/>
      <w:r>
        <w:rPr>
          <w:rStyle w:val="DefaultParagraphFont"/>
          <w:bCs/>
          <w:strike/>
        </w:rPr>
        <w:t xml:space="preserve"> </w:t>
      </w:r>
    </w:p>
    <w:p w:rsidR="00B2138A">
      <w:pPr>
        <w:pStyle w:val="Heading34"/>
        <w:rPr>
          <w:rStyle w:val="DefaultParagraphFont"/>
        </w:rPr>
      </w:pPr>
      <w:bookmarkStart w:id="75" w:name="_Toc263333593"/>
      <w:bookmarkEnd w:id="74"/>
      <w:r>
        <w:rPr>
          <w:rStyle w:val="DefaultParagraphFont"/>
        </w:rPr>
        <w:t>19.9.5</w:t>
      </w:r>
      <w:r>
        <w:rPr>
          <w:rStyle w:val="DefaultParagraphFont"/>
        </w:rPr>
        <w:tab/>
        <w:t xml:space="preserve">Selection of Winning Bids and Determination of the </w:t>
      </w:r>
      <w:r w:rsidRPr="00DC0483">
        <w:rPr>
          <w:rStyle w:val="DefaultParagraphFont"/>
        </w:rPr>
        <w:t>Market</w:t>
      </w:r>
      <w:r w:rsidRPr="00DC0483">
        <w:rPr>
          <w:rStyle w:val="DefaultParagraphFont"/>
        </w:rPr>
        <w:t>-</w:t>
      </w:r>
      <w:r>
        <w:rPr>
          <w:rStyle w:val="DefaultParagraphFont"/>
        </w:rPr>
        <w:t>Clearing Price</w:t>
      </w:r>
      <w:bookmarkEnd w:id="75"/>
    </w:p>
    <w:p w:rsidR="00B2138A">
      <w:pPr>
        <w:pStyle w:val="Bodypara7"/>
        <w:rPr>
          <w:rStyle w:val="DefaultParagraphFont"/>
        </w:rPr>
      </w:pPr>
      <w:r>
        <w:rPr>
          <w:rStyle w:val="DefaultParagraphFont"/>
        </w:rPr>
        <w:t>The ISO shall determine the winning</w:t>
      </w:r>
      <w:r>
        <w:rPr>
          <w:rStyle w:val="DefaultParagraphFont"/>
        </w:rPr>
        <w:t xml:space="preserve"> set of Bids in each round of the Centralized TCC Auction as follows: (i) the ISO shall use an Optimal Power Flow program with the initial assumptions identified by the ISO; (ii) the Optimal Power Flow shall use the same Reference Bus and system security c</w:t>
      </w:r>
      <w:r>
        <w:rPr>
          <w:rStyle w:val="DefaultParagraphFont"/>
        </w:rPr>
        <w:t>onstraints assumptions as used by the ISO subject to ISO Procedures; (iii) the ISO shall select the set of Bids that maximizes the value of the TCCs awarded to the winning bidders; (iv) the aggregate market value of the TCCs awarded to each bidder shall no</w:t>
      </w:r>
      <w:r>
        <w:rPr>
          <w:rStyle w:val="DefaultParagraphFont"/>
        </w:rPr>
        <w:t>t exceed that bidder’s ability to pay, since each bidder is not allowed to Bid more than its ability to pay as determined by the ISO; and (v) the selected set of Bids must be simultaneously feasible as described in this Attachment</w:t>
      </w:r>
      <w:r>
        <w:rPr>
          <w:rStyle w:val="DefaultParagraphFont"/>
        </w:rPr>
        <w:t xml:space="preserve"> M</w:t>
      </w:r>
      <w:r>
        <w:rPr>
          <w:rStyle w:val="DefaultParagraphFont"/>
        </w:rPr>
        <w:t>.</w:t>
      </w:r>
    </w:p>
    <w:p w:rsidR="00B2138A">
      <w:pPr>
        <w:pStyle w:val="Bodypara7"/>
        <w:rPr>
          <w:rStyle w:val="DefaultParagraphFont"/>
        </w:rPr>
      </w:pPr>
      <w:r>
        <w:rPr>
          <w:rStyle w:val="DefaultParagraphFont"/>
        </w:rPr>
        <w:t xml:space="preserve">In the Centralized TCC Auction, if the ISO elects to perform separate </w:t>
      </w:r>
      <w:r>
        <w:rPr>
          <w:rStyle w:val="DefaultParagraphFont"/>
        </w:rPr>
        <w:t>a</w:t>
      </w:r>
      <w:r>
        <w:rPr>
          <w:rStyle w:val="DefaultParagraphFont"/>
        </w:rPr>
        <w:t xml:space="preserve">uctions for on-peak and off-peak TCCs, the procedure used to select winning Bids in an on-peak </w:t>
      </w:r>
      <w:r>
        <w:rPr>
          <w:rStyle w:val="DefaultParagraphFont"/>
        </w:rPr>
        <w:t>a</w:t>
      </w:r>
      <w:r>
        <w:rPr>
          <w:rStyle w:val="DefaultParagraphFont"/>
        </w:rPr>
        <w:t xml:space="preserve">uction will not depend on winning Bids selected in an off-peak </w:t>
      </w:r>
      <w:r>
        <w:rPr>
          <w:rStyle w:val="DefaultParagraphFont"/>
        </w:rPr>
        <w:t>a</w:t>
      </w:r>
      <w:r>
        <w:rPr>
          <w:rStyle w:val="DefaultParagraphFont"/>
        </w:rPr>
        <w:t>uction; nor shall the pro</w:t>
      </w:r>
      <w:r>
        <w:rPr>
          <w:rStyle w:val="DefaultParagraphFont"/>
        </w:rPr>
        <w:t xml:space="preserve">cedure used to select winning Bids in an off-peak </w:t>
      </w:r>
      <w:r>
        <w:rPr>
          <w:rStyle w:val="DefaultParagraphFont"/>
        </w:rPr>
        <w:t>a</w:t>
      </w:r>
      <w:r>
        <w:rPr>
          <w:rStyle w:val="DefaultParagraphFont"/>
        </w:rPr>
        <w:t xml:space="preserve">uction depend on winning Bids selected in an on-peak </w:t>
      </w:r>
      <w:r>
        <w:rPr>
          <w:rStyle w:val="DefaultParagraphFont"/>
        </w:rPr>
        <w:t>a</w:t>
      </w:r>
      <w:r>
        <w:rPr>
          <w:rStyle w:val="DefaultParagraphFont"/>
        </w:rPr>
        <w:t>uction.</w:t>
      </w:r>
    </w:p>
    <w:p w:rsidR="00B2138A">
      <w:pPr>
        <w:pStyle w:val="Bodypara7"/>
        <w:rPr>
          <w:rStyle w:val="DefaultParagraphFont"/>
        </w:rPr>
      </w:pPr>
      <w:r>
        <w:rPr>
          <w:rStyle w:val="DefaultParagraphFont"/>
        </w:rPr>
        <w:t>The market</w:t>
      </w:r>
      <w:r w:rsidRPr="00DC0483">
        <w:rPr>
          <w:rStyle w:val="DefaultParagraphFont"/>
        </w:rPr>
        <w:t>-</w:t>
      </w:r>
      <w:r>
        <w:rPr>
          <w:rStyle w:val="DefaultParagraphFont"/>
        </w:rPr>
        <w:t>clearing price for each TCC in each round of a Centralized TCC Auction shall be determined using a similar algorithm to that used to</w:t>
      </w:r>
      <w:r>
        <w:rPr>
          <w:rStyle w:val="DefaultParagraphFont"/>
        </w:rPr>
        <w:t xml:space="preserve"> determine LBMPs (refer to Attachment J and ISO Procedures). </w:t>
      </w:r>
      <w:r w:rsidRPr="00C45B76">
        <w:rPr>
          <w:rStyle w:val="DefaultParagraphFont"/>
        </w:rPr>
        <w:t>For a Balance-of-Period Auction, if an awarded TCC has a duration of more than one month, the market-clearing price for such multi-month TCC will equal the sum of the market-clearing prices for o</w:t>
      </w:r>
      <w:r w:rsidRPr="00C45B76">
        <w:rPr>
          <w:rStyle w:val="DefaultParagraphFont"/>
        </w:rPr>
        <w:t>ne-month TCCs with the same Point of Injection and Point of Withdrawal, which in aggregate cover the same period for which the multi-month TCC is valid</w:t>
      </w:r>
      <w:r>
        <w:rPr>
          <w:rStyle w:val="DefaultParagraphFont"/>
        </w:rPr>
        <w:t>.</w:t>
      </w:r>
    </w:p>
    <w:p w:rsidR="00B2138A">
      <w:pPr>
        <w:pStyle w:val="Heading34"/>
        <w:rPr>
          <w:rStyle w:val="DefaultParagraphFont"/>
        </w:rPr>
      </w:pPr>
      <w:bookmarkStart w:id="76" w:name="_Toc263333594"/>
      <w:r>
        <w:rPr>
          <w:rStyle w:val="DefaultParagraphFont"/>
        </w:rPr>
        <w:t>19.9.6</w:t>
      </w:r>
      <w:r>
        <w:rPr>
          <w:rStyle w:val="DefaultParagraphFont"/>
        </w:rPr>
        <w:tab/>
        <w:t>Settlements, Billing, Payment, and Disputes</w:t>
      </w:r>
      <w:bookmarkEnd w:id="76"/>
    </w:p>
    <w:p w:rsidR="00B2138A">
      <w:pPr>
        <w:pStyle w:val="Bodypara7"/>
        <w:rPr>
          <w:rStyle w:val="DefaultParagraphFont"/>
        </w:rPr>
      </w:pPr>
      <w:r>
        <w:rPr>
          <w:rStyle w:val="DefaultParagraphFont"/>
        </w:rPr>
        <w:t>Each bidder must pay the market</w:t>
      </w:r>
      <w:r>
        <w:rPr>
          <w:rStyle w:val="DefaultParagraphFont"/>
        </w:rPr>
        <w:t>-</w:t>
      </w:r>
      <w:r>
        <w:rPr>
          <w:rStyle w:val="DefaultParagraphFont"/>
        </w:rPr>
        <w:t>clearing price for e</w:t>
      </w:r>
      <w:r>
        <w:rPr>
          <w:rStyle w:val="DefaultParagraphFont"/>
        </w:rPr>
        <w:t>ach TCC it is awarded in the Centralized TCC Auction.</w:t>
      </w:r>
    </w:p>
    <w:p w:rsidR="00B2138A">
      <w:pPr>
        <w:pStyle w:val="Bodypara7"/>
        <w:rPr>
          <w:rStyle w:val="DefaultParagraphFont"/>
        </w:rPr>
      </w:pPr>
      <w:r>
        <w:rPr>
          <w:rStyle w:val="DefaultParagraphFont"/>
        </w:rPr>
        <w:t xml:space="preserve">Charges for TCCs awarded in </w:t>
      </w:r>
      <w:r>
        <w:rPr>
          <w:rStyle w:val="DefaultParagraphFont"/>
        </w:rPr>
        <w:t>an a</w:t>
      </w:r>
      <w:r>
        <w:rPr>
          <w:rStyle w:val="DefaultParagraphFont"/>
        </w:rPr>
        <w:t>uction, shall be billed upon completion of the Centralized TCC Auction or Reconfiguration Auction process through the delivery of an award notice by the ISO.  The ISO sha</w:t>
      </w:r>
      <w:r>
        <w:rPr>
          <w:rStyle w:val="DefaultParagraphFont"/>
        </w:rPr>
        <w:t xml:space="preserve">ll establish a dispute period </w:t>
      </w:r>
      <w:r>
        <w:rPr>
          <w:rStyle w:val="DefaultParagraphFont"/>
        </w:rPr>
        <w:t>which follows</w:t>
      </w:r>
      <w:r>
        <w:rPr>
          <w:rStyle w:val="DefaultParagraphFont"/>
        </w:rPr>
        <w:t xml:space="preserve"> the conclusion of the Centralized TCC Auction</w:t>
      </w:r>
      <w:r>
        <w:rPr>
          <w:rStyle w:val="DefaultParagraphFont"/>
        </w:rPr>
        <w:t xml:space="preserve"> or Reconfiguration Auction</w:t>
      </w:r>
      <w:r>
        <w:rPr>
          <w:rStyle w:val="DefaultParagraphFont"/>
        </w:rPr>
        <w:t xml:space="preserve"> during which challenges to awards may be made and mistakes in the calculation of market</w:t>
      </w:r>
      <w:r w:rsidRPr="00DC0483">
        <w:rPr>
          <w:rStyle w:val="DefaultParagraphFont"/>
        </w:rPr>
        <w:t>-</w:t>
      </w:r>
      <w:r>
        <w:rPr>
          <w:rStyle w:val="DefaultParagraphFont"/>
        </w:rPr>
        <w:t>clearing prices may be corrected.  Notice of the di</w:t>
      </w:r>
      <w:r>
        <w:rPr>
          <w:rStyle w:val="DefaultParagraphFont"/>
        </w:rPr>
        <w:t>spute period established by the ISO and of procedures to be employed in bringing a dispute or correcting a market</w:t>
      </w:r>
      <w:r w:rsidRPr="00DC0483">
        <w:rPr>
          <w:rStyle w:val="DefaultParagraphFont"/>
        </w:rPr>
        <w:t>-</w:t>
      </w:r>
      <w:r>
        <w:rPr>
          <w:rStyle w:val="DefaultParagraphFont"/>
        </w:rPr>
        <w:t>clearing price shall be provided by the ISO on its OASIS.</w:t>
      </w:r>
    </w:p>
    <w:p w:rsidR="00B2138A">
      <w:pPr>
        <w:pStyle w:val="Bodypara7"/>
        <w:rPr>
          <w:rStyle w:val="DefaultParagraphFont"/>
        </w:rPr>
      </w:pPr>
      <w:r>
        <w:rPr>
          <w:rStyle w:val="DefaultParagraphFont"/>
        </w:rPr>
        <w:t>Following the resolution of challenges, if any, to Centralized TCC Auction or Reconf</w:t>
      </w:r>
      <w:r>
        <w:rPr>
          <w:rStyle w:val="DefaultParagraphFont"/>
        </w:rPr>
        <w:t>iguration Auction awards, or mistakes in the calculation of market</w:t>
      </w:r>
      <w:r>
        <w:rPr>
          <w:rStyle w:val="DefaultParagraphFont"/>
        </w:rPr>
        <w:t>-</w:t>
      </w:r>
      <w:r>
        <w:rPr>
          <w:rStyle w:val="DefaultParagraphFont"/>
        </w:rPr>
        <w:t>clearing prices, raised during the dispute period, charges and payments for TCCs awarded or sold in the Centralized TCC Auction and Reconfiguration Auction shall be final as provided in the</w:t>
      </w:r>
      <w:r>
        <w:rPr>
          <w:rStyle w:val="DefaultParagraphFont"/>
        </w:rPr>
        <w:t xml:space="preserve"> award notices provided by the ISO and shall not be subject to revision. </w:t>
      </w:r>
    </w:p>
    <w:p w:rsidR="00B2138A">
      <w:pPr>
        <w:pStyle w:val="Heading34"/>
        <w:rPr>
          <w:rStyle w:val="DefaultParagraphFont"/>
        </w:rPr>
      </w:pPr>
      <w:bookmarkStart w:id="77" w:name="_Toc263333595"/>
      <w:r>
        <w:rPr>
          <w:rStyle w:val="DefaultParagraphFont"/>
        </w:rPr>
        <w:t>19.9.7</w:t>
      </w:r>
      <w:r>
        <w:rPr>
          <w:rStyle w:val="DefaultParagraphFont"/>
        </w:rPr>
        <w:tab/>
        <w:t>Simultaneous Feasibility</w:t>
      </w:r>
      <w:bookmarkEnd w:id="77"/>
    </w:p>
    <w:p w:rsidR="00B2138A">
      <w:pPr>
        <w:pStyle w:val="Bodypara7"/>
        <w:rPr>
          <w:rStyle w:val="DefaultParagraphFont"/>
        </w:rPr>
      </w:pPr>
      <w:r>
        <w:rPr>
          <w:rStyle w:val="DefaultParagraphFont"/>
        </w:rPr>
        <w:t>The set of winning Bids selected in each round of a Sub-Auction shall correspond to a simultaneously feasible Power Flow.</w:t>
      </w:r>
    </w:p>
    <w:p w:rsidR="00B2138A">
      <w:pPr>
        <w:pStyle w:val="Bodypara7"/>
        <w:rPr>
          <w:rStyle w:val="DefaultParagraphFont"/>
        </w:rPr>
      </w:pPr>
      <w:r>
        <w:rPr>
          <w:rStyle w:val="DefaultParagraphFont"/>
        </w:rPr>
        <w:t xml:space="preserve">The Power Flow must be able </w:t>
      </w:r>
      <w:r>
        <w:rPr>
          <w:rStyle w:val="DefaultParagraphFont"/>
        </w:rPr>
        <w:t>to accommodate in each round injections and withdrawals corresponding to each of the following TCCs and Grandfathered Rights: (i)  TCCs not offered for sale in that round, including Grandfathered TCCs, Original Residual TCCs, or any other existing TCCs whe</w:t>
      </w:r>
      <w:r>
        <w:rPr>
          <w:rStyle w:val="DefaultParagraphFont"/>
        </w:rPr>
        <w:t xml:space="preserve">ther purchased in a previous </w:t>
      </w:r>
      <w:r>
        <w:rPr>
          <w:rStyle w:val="DefaultParagraphFont"/>
        </w:rPr>
        <w:t>a</w:t>
      </w:r>
      <w:r>
        <w:rPr>
          <w:rStyle w:val="DefaultParagraphFont"/>
        </w:rPr>
        <w:t xml:space="preserve">uction, an earlier round of the current </w:t>
      </w:r>
      <w:r>
        <w:rPr>
          <w:rStyle w:val="DefaultParagraphFont"/>
        </w:rPr>
        <w:t xml:space="preserve">Centralized TCC </w:t>
      </w:r>
      <w:r>
        <w:rPr>
          <w:rStyle w:val="DefaultParagraphFont"/>
        </w:rPr>
        <w:t>Auction or otherwise acquired that are valid for any part of the duration of any TCCs to be sold in that round</w:t>
      </w:r>
      <w:r>
        <w:rPr>
          <w:rStyle w:val="DefaultParagraphFont"/>
        </w:rPr>
        <w:t xml:space="preserve"> </w:t>
      </w:r>
      <w:r w:rsidRPr="00C45B76">
        <w:rPr>
          <w:rStyle w:val="DefaultParagraphFont"/>
        </w:rPr>
        <w:t>(or in the case of a Balance-of-Period Auction are valid fo</w:t>
      </w:r>
      <w:r w:rsidRPr="00C45B76">
        <w:rPr>
          <w:rStyle w:val="DefaultParagraphFont"/>
        </w:rPr>
        <w:t xml:space="preserve">r the relevant month at issue), as well as TCCs offered for sale in that round but not awarded that are valid for any part of the duration of any TCCs to be sold in that round (or in the case of a Balance-of-Period Auction are valid for the relevant month </w:t>
      </w:r>
      <w:r w:rsidRPr="00C45B76">
        <w:rPr>
          <w:rStyle w:val="DefaultParagraphFont"/>
        </w:rPr>
        <w:t>at issue)</w:t>
      </w:r>
      <w:r>
        <w:rPr>
          <w:rStyle w:val="DefaultParagraphFont"/>
        </w:rPr>
        <w:t xml:space="preserve">; (ii) Grandfathered Rights; and (iii) TCCs awarded in the current round.  Each injection and withdrawal associated with </w:t>
      </w:r>
      <w:r>
        <w:rPr>
          <w:rStyle w:val="DefaultParagraphFont"/>
        </w:rPr>
        <w:t xml:space="preserve">Bids for </w:t>
      </w:r>
      <w:r>
        <w:rPr>
          <w:rStyle w:val="DefaultParagraphFont"/>
        </w:rPr>
        <w:t>TCCs will be multiplied by a scaling factor which apportions the transmission Capacity available among each of the ro</w:t>
      </w:r>
      <w:r>
        <w:rPr>
          <w:rStyle w:val="DefaultParagraphFont"/>
        </w:rPr>
        <w:t xml:space="preserve">unds.  </w:t>
      </w:r>
    </w:p>
    <w:p w:rsidR="00B2138A">
      <w:pPr>
        <w:pStyle w:val="Bodypara7"/>
        <w:rPr>
          <w:rStyle w:val="DefaultParagraphFont"/>
        </w:rPr>
      </w:pPr>
      <w:r>
        <w:rPr>
          <w:rStyle w:val="DefaultParagraphFont"/>
        </w:rPr>
        <w:t>A set of injections and withdrawals shall be judged simultaneously feasible if it would not cause any thermal, voltage, or stability violations within the NYCA for base case conditions or any monitored contingencies.</w:t>
      </w:r>
    </w:p>
    <w:p w:rsidR="00B2138A">
      <w:pPr>
        <w:pStyle w:val="Bodypara7"/>
        <w:rPr>
          <w:rStyle w:val="DefaultParagraphFont"/>
        </w:rPr>
      </w:pPr>
      <w:r>
        <w:rPr>
          <w:rStyle w:val="DefaultParagraphFont"/>
        </w:rPr>
        <w:t>When performing Power Flows for</w:t>
      </w:r>
      <w:r>
        <w:rPr>
          <w:rStyle w:val="DefaultParagraphFont"/>
        </w:rPr>
        <w:t xml:space="preserve"> the purpose of determining simultaneous feasibility, injections for TCCs that specify a Load Zone as the Point of Injection will be modeled as a set of injections at each Load bus in the Load Zone containing the Point of Injection equal to the product of </w:t>
      </w:r>
      <w:r>
        <w:rPr>
          <w:rStyle w:val="DefaultParagraphFont"/>
        </w:rPr>
        <w:t>the number of TCCs and the ratio of Load served at each bus to Load served in the Load Zone, based on the bus Loads used in calculating zonal LBMPs.</w:t>
      </w:r>
    </w:p>
    <w:p w:rsidR="00B2138A">
      <w:pPr>
        <w:pStyle w:val="Bodypara7"/>
        <w:rPr>
          <w:rStyle w:val="DefaultParagraphFont"/>
        </w:rPr>
      </w:pPr>
      <w:r>
        <w:rPr>
          <w:rStyle w:val="DefaultParagraphFont"/>
        </w:rPr>
        <w:t>When performing the above Power Flows, withdrawals for TCCs that specify a Load Zone as the Point of Withdr</w:t>
      </w:r>
      <w:r>
        <w:rPr>
          <w:rStyle w:val="DefaultParagraphFont"/>
        </w:rPr>
        <w:t>awal will be modeled as a set of withdrawals at each Load bus in the Load Zone containing the Point of Withdrawal equal to the product of the number of TCCs and the ratio of the Load served at each bus to the total Load served in the Load Zone based on the</w:t>
      </w:r>
      <w:r>
        <w:rPr>
          <w:rStyle w:val="DefaultParagraphFont"/>
        </w:rPr>
        <w:t xml:space="preserve"> ISO’s estimate of the bus Loads used in calculating the Zonal LBMPs.</w:t>
      </w:r>
    </w:p>
    <w:p w:rsidR="00B2138A">
      <w:pPr>
        <w:pStyle w:val="Bodypara7"/>
        <w:rPr>
          <w:rStyle w:val="DefaultParagraphFont"/>
        </w:rPr>
      </w:pPr>
      <w:r>
        <w:rPr>
          <w:rStyle w:val="DefaultParagraphFont"/>
        </w:rPr>
        <w:t>The Power Flow simulations shall take into consideration the effects of parallel flows on the transmission Capacity of the NYS Transmission System when determining which sets of injectio</w:t>
      </w:r>
      <w:r>
        <w:rPr>
          <w:rStyle w:val="DefaultParagraphFont"/>
        </w:rPr>
        <w:t>ns and withdrawals are simultaneously feasible.</w:t>
      </w:r>
    </w:p>
    <w:p w:rsidR="00B2138A">
      <w:pPr>
        <w:pStyle w:val="Heading34"/>
        <w:rPr>
          <w:rStyle w:val="DefaultParagraphFont"/>
        </w:rPr>
      </w:pPr>
      <w:bookmarkStart w:id="78" w:name="_Toc263333596"/>
      <w:r>
        <w:rPr>
          <w:rStyle w:val="DefaultParagraphFont"/>
        </w:rPr>
        <w:t>19.9.8</w:t>
      </w:r>
      <w:r>
        <w:rPr>
          <w:rStyle w:val="DefaultParagraphFont"/>
        </w:rPr>
        <w:tab/>
        <w:t>Information to be Made Available to Bidders</w:t>
      </w:r>
      <w:bookmarkEnd w:id="78"/>
    </w:p>
    <w:p w:rsidR="00B2138A">
      <w:pPr>
        <w:pStyle w:val="Bodypara7"/>
        <w:rPr>
          <w:rStyle w:val="DefaultParagraphFont"/>
        </w:rPr>
      </w:pPr>
      <w:r>
        <w:rPr>
          <w:rStyle w:val="DefaultParagraphFont"/>
        </w:rPr>
        <w:t>The ISO shall provide over the ISO’s OASIS the expected non-simultaneous Total Transfer Capability for each Interface (as displayed on the OASIS).</w:t>
      </w:r>
    </w:p>
    <w:p w:rsidR="00B2138A">
      <w:pPr>
        <w:pStyle w:val="Bodypara7"/>
        <w:rPr>
          <w:rStyle w:val="DefaultParagraphFont"/>
        </w:rPr>
      </w:pPr>
      <w:r>
        <w:rPr>
          <w:rStyle w:val="DefaultParagraphFont"/>
        </w:rPr>
        <w:t xml:space="preserve">The ISO </w:t>
      </w:r>
      <w:r>
        <w:rPr>
          <w:rStyle w:val="DefaultParagraphFont"/>
        </w:rPr>
        <w:t>shall make the following information available before each Centralized TCC</w:t>
      </w:r>
      <w:r>
        <w:rPr>
          <w:rStyle w:val="DefaultParagraphFont"/>
        </w:rPr>
        <w:t xml:space="preserve"> Auction</w:t>
      </w:r>
      <w:r>
        <w:rPr>
          <w:rStyle w:val="DefaultParagraphFont"/>
        </w:rPr>
        <w:t xml:space="preserve"> or Reconfiguration Auction:</w:t>
      </w:r>
    </w:p>
    <w:p w:rsidR="00B2138A">
      <w:pPr>
        <w:pStyle w:val="romannumeralpara1"/>
        <w:rPr>
          <w:rStyle w:val="DefaultParagraphFont"/>
        </w:rPr>
      </w:pPr>
      <w:r>
        <w:rPr>
          <w:rStyle w:val="DefaultParagraphFont"/>
        </w:rPr>
        <w:t xml:space="preserve">19.9.8.1 </w:t>
      </w:r>
      <w:r>
        <w:rPr>
          <w:rStyle w:val="DefaultParagraphFont"/>
        </w:rPr>
        <w:tab/>
        <w:t xml:space="preserve">for each Generator bus, external bus and Load Zone for the previous ten (10) Capability Periods, if available, (a) the </w:t>
      </w:r>
      <w:r>
        <w:rPr>
          <w:rStyle w:val="DefaultParagraphFont"/>
        </w:rPr>
        <w:t xml:space="preserve">monthly </w:t>
      </w:r>
      <w:r>
        <w:rPr>
          <w:rStyle w:val="DefaultParagraphFont"/>
        </w:rPr>
        <w:t xml:space="preserve">average </w:t>
      </w:r>
      <w:r>
        <w:rPr>
          <w:rStyle w:val="DefaultParagraphFont"/>
        </w:rPr>
        <w:t xml:space="preserve">Congestion Component of the </w:t>
      </w:r>
      <w:r>
        <w:rPr>
          <w:rStyle w:val="DefaultParagraphFont"/>
        </w:rPr>
        <w:t xml:space="preserve">Day-Ahead </w:t>
      </w:r>
      <w:r>
        <w:rPr>
          <w:rStyle w:val="DefaultParagraphFont"/>
        </w:rPr>
        <w:t xml:space="preserve">LBMP, relative to the Reference Bus, and (b) the </w:t>
      </w:r>
      <w:r>
        <w:rPr>
          <w:rStyle w:val="DefaultParagraphFont"/>
        </w:rPr>
        <w:t xml:space="preserve">monthly </w:t>
      </w:r>
      <w:r>
        <w:rPr>
          <w:rStyle w:val="DefaultParagraphFont"/>
        </w:rPr>
        <w:t xml:space="preserve">average Marginal Losses Component of the </w:t>
      </w:r>
      <w:r>
        <w:rPr>
          <w:rStyle w:val="DefaultParagraphFont"/>
        </w:rPr>
        <w:t xml:space="preserve">Day-Ahead </w:t>
      </w:r>
      <w:r>
        <w:rPr>
          <w:rStyle w:val="DefaultParagraphFont"/>
        </w:rPr>
        <w:t>LBMP, relative to the Reference Bus;</w:t>
      </w:r>
    </w:p>
    <w:p w:rsidR="00B2138A">
      <w:pPr>
        <w:pStyle w:val="romannumeralpara1"/>
        <w:rPr>
          <w:rStyle w:val="DefaultParagraphFont"/>
        </w:rPr>
      </w:pPr>
      <w:r>
        <w:rPr>
          <w:rStyle w:val="DefaultParagraphFont"/>
        </w:rPr>
        <w:t xml:space="preserve">19.9.8.2 </w:t>
      </w:r>
      <w:r>
        <w:rPr>
          <w:rStyle w:val="DefaultParagraphFont"/>
        </w:rPr>
        <w:tab/>
        <w:t>for the previous two Capability Periods, data from which the fo</w:t>
      </w:r>
      <w:r>
        <w:rPr>
          <w:rStyle w:val="DefaultParagraphFont"/>
        </w:rPr>
        <w:t xml:space="preserve">llowing can be determined: </w:t>
      </w:r>
      <w:r>
        <w:rPr>
          <w:rStyle w:val="DefaultParagraphFont"/>
        </w:rPr>
        <w:t>(a) the</w:t>
      </w:r>
      <w:r>
        <w:rPr>
          <w:rStyle w:val="DefaultParagraphFont"/>
        </w:rPr>
        <w:t xml:space="preserve"> flow for each of the closed Interfaces</w:t>
      </w:r>
      <w:r>
        <w:rPr>
          <w:rStyle w:val="DefaultParagraphFont"/>
        </w:rPr>
        <w:t xml:space="preserve"> in the Day-Ahead Market</w:t>
      </w:r>
      <w:r>
        <w:rPr>
          <w:rStyle w:val="DefaultParagraphFont"/>
        </w:rPr>
        <w:t>, and (b) the number of hours that the most limiting facilities were physically constrained</w:t>
      </w:r>
      <w:r>
        <w:rPr>
          <w:rStyle w:val="DefaultParagraphFont"/>
        </w:rPr>
        <w:t xml:space="preserve"> in the Day-Ahead</w:t>
      </w:r>
      <w:r>
        <w:rPr>
          <w:rStyle w:val="DefaultParagraphFont"/>
        </w:rPr>
        <w:t>;</w:t>
      </w:r>
    </w:p>
    <w:p w:rsidR="00B2138A">
      <w:pPr>
        <w:pStyle w:val="romannumeralpara1"/>
        <w:rPr>
          <w:rStyle w:val="DefaultParagraphFont"/>
          <w:u w:val="double"/>
        </w:rPr>
      </w:pPr>
      <w:r>
        <w:rPr>
          <w:rStyle w:val="DefaultParagraphFont"/>
        </w:rPr>
        <w:t xml:space="preserve">19.9.8.3 </w:t>
      </w:r>
      <w:r>
        <w:rPr>
          <w:rStyle w:val="DefaultParagraphFont"/>
        </w:rPr>
        <w:tab/>
      </w:r>
      <w:r>
        <w:rPr>
          <w:rStyle w:val="DefaultParagraphFont"/>
        </w:rPr>
        <w:t>s</w:t>
      </w:r>
      <w:r>
        <w:rPr>
          <w:rStyle w:val="DefaultParagraphFont"/>
        </w:rPr>
        <w:t>ubject to a Transmission Customer’s co</w:t>
      </w:r>
      <w:r>
        <w:rPr>
          <w:rStyle w:val="DefaultParagraphFont"/>
        </w:rPr>
        <w:t>mpletion of a non-disclosure agreement in the form required by ISO procedures: (a) Power Flow data to be used as the starting point for the Centralized TCC Auction or Reconfiguration Auction, including all assumptions, (b) all limits associated with transm</w:t>
      </w:r>
      <w:r>
        <w:rPr>
          <w:rStyle w:val="DefaultParagraphFont"/>
        </w:rPr>
        <w:t>ission facilities, contingencies, thermal, voltage and stability to be monitored as constraints in the Optimum Power Flow determination;</w:t>
      </w:r>
    </w:p>
    <w:p w:rsidR="00B2138A">
      <w:pPr>
        <w:pStyle w:val="romannumeralpara1"/>
        <w:rPr>
          <w:rStyle w:val="DefaultParagraphFont"/>
        </w:rPr>
      </w:pPr>
      <w:r>
        <w:rPr>
          <w:rStyle w:val="DefaultParagraphFont"/>
        </w:rPr>
        <w:t>19.9.8.4</w:t>
      </w:r>
      <w:r>
        <w:rPr>
          <w:rStyle w:val="DefaultParagraphFont"/>
        </w:rPr>
        <w:tab/>
        <w:t xml:space="preserve">(a) assumptions made by the ISO relating to transmission maintenance outage schedules, and (b) the ISO summer </w:t>
      </w:r>
      <w:r>
        <w:rPr>
          <w:rStyle w:val="DefaultParagraphFont"/>
        </w:rPr>
        <w:t>and winter operating study results (non-simultaneous Interface Transfer Capabilities);</w:t>
      </w:r>
      <w:r>
        <w:rPr>
          <w:rStyle w:val="DefaultParagraphFont"/>
        </w:rPr>
        <w:t xml:space="preserve"> and</w:t>
      </w:r>
    </w:p>
    <w:p w:rsidR="00B2138A">
      <w:pPr>
        <w:pStyle w:val="romannumeralpara1"/>
        <w:rPr>
          <w:rStyle w:val="DefaultParagraphFont"/>
        </w:rPr>
      </w:pPr>
      <w:r>
        <w:rPr>
          <w:rStyle w:val="DefaultParagraphFont"/>
        </w:rPr>
        <w:t>19.9.8.5</w:t>
      </w:r>
      <w:r>
        <w:rPr>
          <w:rStyle w:val="DefaultParagraphFont"/>
        </w:rPr>
        <w:tab/>
        <w:t xml:space="preserve">on its website no fewer than five (5) business days prior to the date on which a Centralized TCC Auction will begin, the number of megawatts of each set of </w:t>
      </w:r>
      <w:r>
        <w:rPr>
          <w:rStyle w:val="DefaultParagraphFont"/>
        </w:rPr>
        <w:t xml:space="preserve">ETCNL that each Transmission Owner has elected to convert to ETCNL TCCs for the Centralized TCC Auction and the RCRRs that each </w:t>
      </w:r>
      <w:r>
        <w:rPr>
          <w:rStyle w:val="DefaultParagraphFont"/>
        </w:rPr>
        <w:t>Member System</w:t>
      </w:r>
      <w:r>
        <w:rPr>
          <w:rStyle w:val="DefaultParagraphFont"/>
        </w:rPr>
        <w:t xml:space="preserve"> has elected to convert to RCRR TCCs for the Centralized TCC Auction</w:t>
      </w:r>
      <w:r>
        <w:rPr>
          <w:rStyle w:val="DefaultParagraphFont"/>
        </w:rPr>
        <w:t>.</w:t>
      </w:r>
    </w:p>
    <w:p w:rsidR="00C45B76" w:rsidP="00C45B76">
      <w:pPr>
        <w:pStyle w:val="romannumeralpara1"/>
        <w:ind w:left="0" w:firstLine="720"/>
        <w:rPr>
          <w:rStyle w:val="DefaultParagraphFont"/>
        </w:rPr>
      </w:pPr>
      <w:r>
        <w:rPr>
          <w:rStyle w:val="DefaultParagraphFont"/>
        </w:rPr>
        <w:t xml:space="preserve">The ISO shall make the following information </w:t>
      </w:r>
      <w:r>
        <w:rPr>
          <w:rStyle w:val="DefaultParagraphFont"/>
        </w:rPr>
        <w:t>available with respect to each Centralized TCC Auction or Reconfiguration Auction:</w:t>
      </w:r>
    </w:p>
    <w:p w:rsidR="00B2138A">
      <w:pPr>
        <w:pStyle w:val="romannumeralpara1"/>
        <w:rPr>
          <w:rStyle w:val="DefaultParagraphFont"/>
        </w:rPr>
      </w:pPr>
      <w:r>
        <w:rPr>
          <w:rStyle w:val="DefaultParagraphFont"/>
        </w:rPr>
        <w:t>19.9.8.6</w:t>
      </w:r>
      <w:r>
        <w:rPr>
          <w:rStyle w:val="DefaultParagraphFont"/>
        </w:rPr>
        <w:tab/>
        <w:t xml:space="preserve">between each round of bidding during the Centralized TCC Auction, for all bidders bidding in subsequent rounds, the </w:t>
      </w:r>
      <w:r>
        <w:rPr>
          <w:rStyle w:val="DefaultParagraphFont"/>
        </w:rPr>
        <w:t>m</w:t>
      </w:r>
      <w:r>
        <w:rPr>
          <w:rStyle w:val="DefaultParagraphFont"/>
        </w:rPr>
        <w:t>arket-</w:t>
      </w:r>
      <w:r>
        <w:rPr>
          <w:rStyle w:val="DefaultParagraphFont"/>
        </w:rPr>
        <w:t>c</w:t>
      </w:r>
      <w:r>
        <w:rPr>
          <w:rStyle w:val="DefaultParagraphFont"/>
        </w:rPr>
        <w:t xml:space="preserve">learing </w:t>
      </w:r>
      <w:r>
        <w:rPr>
          <w:rStyle w:val="DefaultParagraphFont"/>
        </w:rPr>
        <w:t>p</w:t>
      </w:r>
      <w:r>
        <w:rPr>
          <w:rStyle w:val="DefaultParagraphFont"/>
        </w:rPr>
        <w:t>rice, stated relative to the Re</w:t>
      </w:r>
      <w:r>
        <w:rPr>
          <w:rStyle w:val="DefaultParagraphFont"/>
        </w:rPr>
        <w:t>ference Bus for each Generator bus,  External bus and Load Zone; and</w:t>
      </w:r>
    </w:p>
    <w:p w:rsidR="00B2138A">
      <w:pPr>
        <w:pStyle w:val="romannumeralpara1"/>
        <w:rPr>
          <w:rStyle w:val="DefaultParagraphFont"/>
        </w:rPr>
      </w:pPr>
      <w:r>
        <w:rPr>
          <w:rStyle w:val="DefaultParagraphFont"/>
        </w:rPr>
        <w:t>19.9.8.7</w:t>
      </w:r>
      <w:r>
        <w:rPr>
          <w:rStyle w:val="DefaultParagraphFont"/>
        </w:rPr>
        <w:tab/>
        <w:t>for each TCC awarded in each round</w:t>
      </w:r>
      <w:r>
        <w:rPr>
          <w:rStyle w:val="DefaultParagraphFont"/>
        </w:rPr>
        <w:t>:</w:t>
      </w:r>
      <w:r>
        <w:rPr>
          <w:rStyle w:val="DefaultParagraphFont"/>
        </w:rPr>
        <w:t xml:space="preserve"> (a) the number of TCCs awarded, (b) the Point of Injection and Point of Withdrawal for that TCC, (c) the market</w:t>
      </w:r>
      <w:r>
        <w:rPr>
          <w:rStyle w:val="DefaultParagraphFont"/>
        </w:rPr>
        <w:t>-</w:t>
      </w:r>
      <w:r>
        <w:rPr>
          <w:rStyle w:val="DefaultParagraphFont"/>
        </w:rPr>
        <w:t>clearing price for the TCC, (d</w:t>
      </w:r>
      <w:r>
        <w:rPr>
          <w:rStyle w:val="DefaultParagraphFont"/>
        </w:rPr>
        <w:t xml:space="preserve">) the </w:t>
      </w:r>
      <w:r>
        <w:rPr>
          <w:rStyle w:val="DefaultParagraphFont"/>
        </w:rPr>
        <w:t>a</w:t>
      </w:r>
      <w:r>
        <w:rPr>
          <w:rStyle w:val="DefaultParagraphFont"/>
        </w:rPr>
        <w:t>uction participant awarded the TCC</w:t>
      </w:r>
      <w:r>
        <w:rPr>
          <w:rStyle w:val="DefaultParagraphFont"/>
        </w:rPr>
        <w:t>, and (e) if the auction is a Balance-of-Period Auction, the month(s) for which the awarded TCCs are valid</w:t>
      </w:r>
      <w:r>
        <w:rPr>
          <w:rStyle w:val="DefaultParagraphFont"/>
        </w:rPr>
        <w:t>.</w:t>
      </w:r>
    </w:p>
    <w:p w:rsidR="00B2138A">
      <w:pPr>
        <w:pStyle w:val="Bodypara7"/>
        <w:rPr>
          <w:rStyle w:val="DefaultParagraphFont"/>
        </w:rPr>
      </w:pPr>
      <w:r>
        <w:rPr>
          <w:rStyle w:val="DefaultParagraphFont"/>
        </w:rPr>
        <w:t xml:space="preserve">Items 19.9.8.1, 19.9.8.2, 19.9.8.3, 19.9.8.4(b), and 19.9.8.6 above shall be made available separately for </w:t>
      </w:r>
      <w:r>
        <w:rPr>
          <w:rStyle w:val="DefaultParagraphFont"/>
        </w:rPr>
        <w:t xml:space="preserve">on-peak and off-peak periods, if on-peak and off-peak TCCs will be separately available for purchase in the upcoming </w:t>
      </w:r>
      <w:r>
        <w:rPr>
          <w:rStyle w:val="DefaultParagraphFont"/>
        </w:rPr>
        <w:t>a</w:t>
      </w:r>
      <w:r>
        <w:rPr>
          <w:rStyle w:val="DefaultParagraphFont"/>
        </w:rPr>
        <w:t>uction.</w:t>
      </w:r>
    </w:p>
    <w:p w:rsidR="0047337A">
      <w:pPr>
        <w:pStyle w:val="Bodypara7"/>
        <w:rPr>
          <w:rStyle w:val="DefaultParagraphFont"/>
        </w:rPr>
      </w:pPr>
      <w:r>
        <w:rPr>
          <w:rStyle w:val="DefaultParagraphFont"/>
        </w:rPr>
        <w:t>If the auction is a Balance-of-Period Auction, items 19.9.8.4(a) and 19.9.8.6 above shall be made available separately for each mo</w:t>
      </w:r>
      <w:r>
        <w:rPr>
          <w:rStyle w:val="DefaultParagraphFont"/>
        </w:rPr>
        <w:t>nth covered by the auction.</w:t>
      </w:r>
    </w:p>
    <w:p w:rsidR="00B2138A">
      <w:pPr>
        <w:pStyle w:val="Bodypara7"/>
        <w:rPr>
          <w:rStyle w:val="DefaultParagraphFont"/>
        </w:rPr>
        <w:sectPr w:rsidSect="001B08F0">
          <w:headerReference w:type="even" r:id="rId65"/>
          <w:headerReference w:type="default" r:id="rId66"/>
          <w:footerReference w:type="even" r:id="rId67"/>
          <w:footerReference w:type="default" r:id="rId68"/>
          <w:headerReference w:type="first" r:id="rId69"/>
          <w:footerReference w:type="first" r:id="rId70"/>
          <w:type w:val="nextPage"/>
          <w:pgSz w:w="12240" w:h="15840" w:code="1"/>
          <w:pgMar w:top="1440" w:right="1440" w:bottom="1440" w:left="1440" w:header="720" w:footer="720" w:gutter="0"/>
          <w:cols w:space="720"/>
        </w:sectPr>
      </w:pPr>
      <w:r>
        <w:rPr>
          <w:rStyle w:val="DefaultParagraphFont"/>
        </w:rPr>
        <w:t>The ISO will make available information about Secondary Market transactions, and all sales of TCCs by Direct Sale, to the extent received by the ISO.</w:t>
      </w:r>
    </w:p>
    <w:p w:rsidR="00E336CD" w:rsidRPr="0048035B" w:rsidP="00E336CD">
      <w:pPr>
        <w:pStyle w:val="Heading29"/>
        <w:rPr>
          <w:rStyle w:val="DefaultParagraphFont"/>
        </w:rPr>
      </w:pPr>
      <w:bookmarkStart w:id="79" w:name="_GoBack_10"/>
      <w:bookmarkEnd w:id="79"/>
      <w:r>
        <w:rPr>
          <w:rStyle w:val="DefaultParagraphFont"/>
        </w:rPr>
        <w:t>19.10</w:t>
      </w:r>
      <w:r w:rsidRPr="0048035B">
        <w:rPr>
          <w:rStyle w:val="DefaultParagraphFont"/>
        </w:rPr>
        <w:tab/>
        <w:t>End-State Auctions for TCCs</w:t>
      </w:r>
    </w:p>
    <w:p w:rsidR="00E336CD" w:rsidRPr="0048035B" w:rsidP="00E336CD">
      <w:pPr>
        <w:pStyle w:val="Bodypara8"/>
        <w:rPr>
          <w:rStyle w:val="DefaultParagraphFont"/>
        </w:rPr>
      </w:pPr>
      <w:r w:rsidRPr="0048035B">
        <w:rPr>
          <w:rStyle w:val="DefaultParagraphFont"/>
        </w:rPr>
        <w:t xml:space="preserve">Upon the completion of more sophisticated </w:t>
      </w:r>
      <w:r>
        <w:rPr>
          <w:rStyle w:val="DefaultParagraphFont"/>
        </w:rPr>
        <w:t>a</w:t>
      </w:r>
      <w:r w:rsidRPr="0048035B">
        <w:rPr>
          <w:rStyle w:val="DefaultParagraphFont"/>
        </w:rPr>
        <w:t xml:space="preserve">uction software, the ISO will perform an End-State </w:t>
      </w:r>
      <w:r w:rsidRPr="00624D25">
        <w:rPr>
          <w:rStyle w:val="DefaultParagraphFont"/>
        </w:rPr>
        <w:t xml:space="preserve">Centralized TCC </w:t>
      </w:r>
      <w:r w:rsidRPr="0048035B">
        <w:rPr>
          <w:rStyle w:val="DefaultParagraphFont"/>
        </w:rPr>
        <w:t xml:space="preserve">Auction, which will permit the Bids submitted by </w:t>
      </w:r>
      <w:r>
        <w:rPr>
          <w:rStyle w:val="DefaultParagraphFont"/>
        </w:rPr>
        <w:t>a</w:t>
      </w:r>
      <w:r w:rsidRPr="0048035B">
        <w:rPr>
          <w:rStyle w:val="DefaultParagraphFont"/>
        </w:rPr>
        <w:t xml:space="preserve">uction participants to determine the lengths of the TCCs sold in the </w:t>
      </w:r>
      <w:r>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The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will be held annually.  The date for the first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shall be determined by the ISO.  </w:t>
      </w:r>
      <w:r w:rsidRPr="0048035B">
        <w:rPr>
          <w:rStyle w:val="DefaultParagraphFont"/>
        </w:rPr>
        <w:t xml:space="preserve">The period during which each TCC sold in an End-State </w:t>
      </w:r>
      <w:r w:rsidRPr="00624D25">
        <w:rPr>
          <w:rStyle w:val="DefaultParagraphFont"/>
        </w:rPr>
        <w:t>Centralized TCC</w:t>
      </w:r>
      <w:r w:rsidRPr="0048035B">
        <w:rPr>
          <w:rStyle w:val="DefaultParagraphFont"/>
        </w:rPr>
        <w:t xml:space="preserve"> </w:t>
      </w:r>
      <w:r w:rsidRPr="0048035B">
        <w:rPr>
          <w:rStyle w:val="DefaultParagraphFont"/>
        </w:rPr>
        <w:t>Auction is valid shall begin on the beginning date of a Capability Period, and shall conclude on the ending date of a Capability Period.</w:t>
      </w:r>
    </w:p>
    <w:p w:rsidR="00E336CD" w:rsidP="00E336CD">
      <w:pPr>
        <w:pStyle w:val="Bodypara8"/>
        <w:rPr>
          <w:rStyle w:val="DefaultParagraphFont"/>
        </w:rPr>
      </w:pPr>
      <w:r w:rsidRPr="0048035B">
        <w:rPr>
          <w:rStyle w:val="DefaultParagraphFont"/>
        </w:rPr>
        <w:t>The ISO will determine the maximum duration and m</w:t>
      </w:r>
      <w:r w:rsidRPr="0048035B">
        <w:rPr>
          <w:rStyle w:val="DefaultParagraphFont"/>
        </w:rPr>
        <w:t xml:space="preserve">inimum duration of the TCCs available in the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Auctions.  The ISO shall have the authority to determine the percentage of the available transmission Capacity that will be sold in each round of the </w:t>
      </w:r>
      <w:r w:rsidRPr="0048035B">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w:t>
      </w:r>
      <w:r w:rsidRPr="0048035B">
        <w:rPr>
          <w:rStyle w:val="DefaultParagraphFont"/>
        </w:rPr>
        <w:t xml:space="preserve"> The ISO shall announce these percentages before the </w:t>
      </w:r>
      <w:r w:rsidRPr="0048035B">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The ISO shall also determine the periods for which TCCs will be sold in End-State </w:t>
      </w:r>
      <w:r w:rsidRPr="00624D25">
        <w:rPr>
          <w:rStyle w:val="DefaultParagraphFont"/>
        </w:rPr>
        <w:t>Centralized TCC</w:t>
      </w:r>
      <w:r w:rsidRPr="0048035B">
        <w:rPr>
          <w:rStyle w:val="DefaultParagraphFont"/>
        </w:rPr>
        <w:t xml:space="preserve"> </w:t>
      </w:r>
      <w:r w:rsidRPr="0048035B">
        <w:rPr>
          <w:rStyle w:val="DefaultParagraphFont"/>
        </w:rPr>
        <w:t>Auctions (</w:t>
      </w:r>
      <w:r w:rsidRPr="0039666F">
        <w:rPr>
          <w:rStyle w:val="DefaultParagraphFont"/>
          <w:i/>
        </w:rPr>
        <w:t>e.g.,</w:t>
      </w:r>
      <w:r w:rsidRPr="0048035B">
        <w:rPr>
          <w:rStyle w:val="DefaultParagraphFont"/>
        </w:rPr>
        <w:t xml:space="preserve"> TCCs valid during on-peak and off-peak periods, or TC</w:t>
      </w:r>
      <w:r w:rsidRPr="0048035B">
        <w:rPr>
          <w:rStyle w:val="DefaultParagraphFont"/>
        </w:rPr>
        <w:t xml:space="preserve">Cs valid during Winter and Summer Capability Periods).  The ISO may elect to vary the duration or the periods for which TCCs will be available from one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to the next End-State </w:t>
      </w:r>
      <w:r w:rsidRPr="00624D25">
        <w:rPr>
          <w:rStyle w:val="DefaultParagraphFont"/>
        </w:rPr>
        <w:t>Centralized TCC</w:t>
      </w:r>
      <w:r w:rsidRPr="0048035B">
        <w:rPr>
          <w:rStyle w:val="DefaultParagraphFont"/>
        </w:rPr>
        <w:t xml:space="preserve"> </w:t>
      </w:r>
      <w:r w:rsidRPr="0048035B">
        <w:rPr>
          <w:rStyle w:val="DefaultParagraphFont"/>
        </w:rPr>
        <w:t>Auction.</w:t>
      </w:r>
    </w:p>
    <w:p w:rsidR="00E336CD" w:rsidRPr="0048035B" w:rsidP="00E336CD">
      <w:pPr>
        <w:pStyle w:val="Bodypara8"/>
        <w:rPr>
          <w:rStyle w:val="DefaultParagraphFont"/>
          <w:sz w:val="28"/>
        </w:rPr>
      </w:pPr>
      <w:r w:rsidRPr="0048035B">
        <w:rPr>
          <w:rStyle w:val="DefaultParagraphFont"/>
        </w:rPr>
        <w:t xml:space="preserve">The End-State </w:t>
      </w:r>
      <w:r w:rsidRPr="00624D25">
        <w:rPr>
          <w:rStyle w:val="DefaultParagraphFont"/>
        </w:rPr>
        <w:t>Centraliz</w:t>
      </w:r>
      <w:r w:rsidRPr="00624D25">
        <w:rPr>
          <w:rStyle w:val="DefaultParagraphFont"/>
        </w:rPr>
        <w:t>ed TCC</w:t>
      </w:r>
      <w:r w:rsidRPr="0048035B">
        <w:rPr>
          <w:rStyle w:val="DefaultParagraphFont"/>
        </w:rPr>
        <w:t xml:space="preserve"> </w:t>
      </w:r>
      <w:r w:rsidRPr="0048035B">
        <w:rPr>
          <w:rStyle w:val="DefaultParagraphFont"/>
        </w:rPr>
        <w:t xml:space="preserve">Auction will not include separate Sub-Auctions for TCCs of different durations. Instead, TCCs of each permitted duration will be allocated as the result of the operation of a single </w:t>
      </w:r>
      <w:r>
        <w:rPr>
          <w:rStyle w:val="DefaultParagraphFont"/>
        </w:rPr>
        <w:t>a</w:t>
      </w:r>
      <w:r w:rsidRPr="0048035B">
        <w:rPr>
          <w:rStyle w:val="DefaultParagraphFont"/>
        </w:rPr>
        <w:t>uction.  If</w:t>
      </w:r>
      <w:r>
        <w:rPr>
          <w:rStyle w:val="DefaultParagraphFont"/>
        </w:rPr>
        <w:t>, for example,</w:t>
      </w:r>
      <w:r w:rsidRPr="0048035B">
        <w:rPr>
          <w:rStyle w:val="DefaultParagraphFont"/>
        </w:rPr>
        <w:t xml:space="preserve"> a Market Participant wishes to purchase </w:t>
      </w:r>
      <w:r w:rsidRPr="0048035B">
        <w:rPr>
          <w:rStyle w:val="DefaultParagraphFont"/>
        </w:rPr>
        <w:t xml:space="preserve">a TCC beginning in the Summer Capability Period of 2003, and ending in the Winter Capability Period of 2004-2005, it would submit a single Bid for this TCC. If that Bid is a winning Bid, the bidder would be awarded a TCC valid for the entire two year-long </w:t>
      </w:r>
      <w:r w:rsidRPr="0048035B">
        <w:rPr>
          <w:rStyle w:val="DefaultParagraphFont"/>
        </w:rPr>
        <w:t xml:space="preserve">period; if the </w:t>
      </w:r>
      <w:r w:rsidRPr="0048035B">
        <w:rPr>
          <w:rStyle w:val="DefaultParagraphFont"/>
        </w:rPr>
        <w:t xml:space="preserve">Bid is a losing Bid, the bidder would not receive the TCC for any portion of this period.  The ISO will not specify in advance the portion of system transmission Capacity that will be used to create TCCs of differing durations.  Rather, the </w:t>
      </w:r>
      <w:r w:rsidRPr="0048035B">
        <w:rPr>
          <w:rStyle w:val="DefaultParagraphFont"/>
        </w:rPr>
        <w:t xml:space="preserve">durations of TCCs awarded will be determined as part of the objective of the </w:t>
      </w:r>
      <w:r w:rsidRPr="0048035B">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and will depend on the Bids submitted by participants in the </w:t>
      </w:r>
      <w:r w:rsidRPr="0048035B">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Auction.</w:t>
      </w:r>
    </w:p>
    <w:p w:rsidR="00E336CD" w:rsidRPr="0048035B" w:rsidP="00E336CD">
      <w:pPr>
        <w:pStyle w:val="Bodypara8"/>
        <w:rPr>
          <w:rStyle w:val="DefaultParagraphFont"/>
          <w:spacing w:val="-2"/>
          <w:sz w:val="28"/>
        </w:rPr>
      </w:pPr>
      <w:r w:rsidRPr="0048035B">
        <w:rPr>
          <w:rStyle w:val="DefaultParagraphFont"/>
        </w:rPr>
        <w:t xml:space="preserve">In a given round of the End-State </w:t>
      </w:r>
      <w:r w:rsidRPr="00624D25">
        <w:rPr>
          <w:rStyle w:val="DefaultParagraphFont"/>
        </w:rPr>
        <w:t>Centralized TC</w:t>
      </w:r>
      <w:r w:rsidRPr="00624D25">
        <w:rPr>
          <w:rStyle w:val="DefaultParagraphFont"/>
        </w:rPr>
        <w:t>C</w:t>
      </w:r>
      <w:r w:rsidRPr="0048035B">
        <w:rPr>
          <w:rStyle w:val="DefaultParagraphFont"/>
        </w:rPr>
        <w:t xml:space="preserve"> </w:t>
      </w:r>
      <w:r w:rsidRPr="0048035B">
        <w:rPr>
          <w:rStyle w:val="DefaultParagraphFont"/>
        </w:rPr>
        <w:t xml:space="preserve">Auction, the </w:t>
      </w:r>
      <w:r>
        <w:rPr>
          <w:rStyle w:val="DefaultParagraphFont"/>
        </w:rPr>
        <w:t>m</w:t>
      </w:r>
      <w:r w:rsidRPr="0048035B">
        <w:rPr>
          <w:rStyle w:val="DefaultParagraphFont"/>
        </w:rPr>
        <w:t>arket-</w:t>
      </w:r>
      <w:r>
        <w:rPr>
          <w:rStyle w:val="DefaultParagraphFont"/>
        </w:rPr>
        <w:t>c</w:t>
      </w:r>
      <w:r w:rsidRPr="0048035B">
        <w:rPr>
          <w:rStyle w:val="DefaultParagraphFont"/>
        </w:rPr>
        <w:t xml:space="preserve">learing </w:t>
      </w:r>
      <w:r>
        <w:rPr>
          <w:rStyle w:val="DefaultParagraphFont"/>
        </w:rPr>
        <w:t>p</w:t>
      </w:r>
      <w:r w:rsidRPr="0048035B">
        <w:rPr>
          <w:rStyle w:val="DefaultParagraphFont"/>
        </w:rPr>
        <w:t xml:space="preserve">rice determined for a TCC that is valid for multiple Capability Periods will equal the sum of the </w:t>
      </w:r>
      <w:r>
        <w:rPr>
          <w:rStyle w:val="DefaultParagraphFont"/>
        </w:rPr>
        <w:t>m</w:t>
      </w:r>
      <w:r w:rsidRPr="0048035B">
        <w:rPr>
          <w:rStyle w:val="DefaultParagraphFont"/>
        </w:rPr>
        <w:t>arket-</w:t>
      </w:r>
      <w:r>
        <w:rPr>
          <w:rStyle w:val="DefaultParagraphFont"/>
        </w:rPr>
        <w:t>c</w:t>
      </w:r>
      <w:r w:rsidRPr="0048035B">
        <w:rPr>
          <w:rStyle w:val="DefaultParagraphFont"/>
        </w:rPr>
        <w:t xml:space="preserve">learing </w:t>
      </w:r>
      <w:r>
        <w:rPr>
          <w:rStyle w:val="DefaultParagraphFont"/>
        </w:rPr>
        <w:t>p</w:t>
      </w:r>
      <w:r w:rsidRPr="0048035B">
        <w:rPr>
          <w:rStyle w:val="DefaultParagraphFont"/>
        </w:rPr>
        <w:t xml:space="preserve">rices for shorter-term TCCs with the same Point of Injection and Point of Withdrawal, which in aggregate </w:t>
      </w:r>
      <w:r w:rsidRPr="0048035B">
        <w:rPr>
          <w:rStyle w:val="DefaultParagraphFont"/>
        </w:rPr>
        <w:t xml:space="preserve">cover the same period for which the longer-term TCC is valid.  (For example, the price of a TCC that is valid from May 2001 through April 2003 would equal the sum of the prices in that round for (1) TCCs valid from May 2001 through April 2002 and (2) TCCs </w:t>
      </w:r>
      <w:r w:rsidRPr="0048035B">
        <w:rPr>
          <w:rStyle w:val="DefaultParagraphFont"/>
        </w:rPr>
        <w:t>valid from May 2002 through April 2003.)</w:t>
      </w:r>
    </w:p>
    <w:p w:rsidR="00E336CD" w:rsidRPr="00E46AEA" w:rsidP="00E336CD">
      <w:pPr>
        <w:pStyle w:val="Bodypara8"/>
        <w:rPr>
          <w:rStyle w:val="DefaultParagraphFont"/>
          <w:strike/>
        </w:rPr>
      </w:pPr>
      <w:r w:rsidRPr="0048035B">
        <w:rPr>
          <w:rStyle w:val="DefaultParagraphFont"/>
        </w:rPr>
        <w:t xml:space="preserve">The End-State </w:t>
      </w:r>
      <w:r w:rsidRPr="00624D25">
        <w:rPr>
          <w:rStyle w:val="DefaultParagraphFont"/>
        </w:rPr>
        <w:t>Centralized TCC</w:t>
      </w:r>
      <w:r w:rsidRPr="0048035B">
        <w:rPr>
          <w:rStyle w:val="DefaultParagraphFont"/>
        </w:rPr>
        <w:t xml:space="preserve"> </w:t>
      </w:r>
      <w:r w:rsidRPr="0048035B">
        <w:rPr>
          <w:rStyle w:val="DefaultParagraphFont"/>
        </w:rPr>
        <w:t>Auction will include multiple rounds of bidding, as described elsewhere in this Attachment</w:t>
      </w:r>
      <w:r>
        <w:rPr>
          <w:rStyle w:val="DefaultParagraphFont"/>
        </w:rPr>
        <w:t xml:space="preserve"> M</w:t>
      </w:r>
      <w:r w:rsidRPr="0048035B">
        <w:rPr>
          <w:rStyle w:val="DefaultParagraphFont"/>
        </w:rPr>
        <w:t>.</w:t>
      </w:r>
    </w:p>
    <w:p w:rsidR="00E336CD" w:rsidRPr="0048035B" w:rsidP="00E336CD">
      <w:pPr>
        <w:pStyle w:val="Bodypara8"/>
        <w:rPr>
          <w:rStyle w:val="DefaultParagraphFont"/>
        </w:rPr>
      </w:pPr>
      <w:r w:rsidRPr="0048035B">
        <w:rPr>
          <w:rStyle w:val="DefaultParagraphFont"/>
        </w:rPr>
        <w:t xml:space="preserve">Transmission Capacity that can be used to support TCCs sold in End-State </w:t>
      </w:r>
      <w:r w:rsidRPr="00624D25">
        <w:rPr>
          <w:rStyle w:val="DefaultParagraphFont"/>
        </w:rPr>
        <w:t>Centralized TCC</w:t>
      </w:r>
      <w:r w:rsidRPr="0048035B">
        <w:rPr>
          <w:rStyle w:val="DefaultParagraphFont"/>
        </w:rPr>
        <w:t xml:space="preserve"> </w:t>
      </w:r>
      <w:r w:rsidRPr="0048035B">
        <w:rPr>
          <w:rStyle w:val="DefaultParagraphFont"/>
        </w:rPr>
        <w:t>Au</w:t>
      </w:r>
      <w:r w:rsidRPr="0048035B">
        <w:rPr>
          <w:rStyle w:val="DefaultParagraphFont"/>
        </w:rPr>
        <w:t xml:space="preserve">ctions shall include all transmission Capacity except that necessary to support the following:  Original Residual TCCs that the Transmission Owners sell directly in advance of the </w:t>
      </w:r>
      <w:r w:rsidRPr="0048035B">
        <w:rPr>
          <w:rStyle w:val="DefaultParagraphFont"/>
        </w:rPr>
        <w:t xml:space="preserve">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any TCCs previously allocated </w:t>
      </w:r>
      <w:r w:rsidRPr="0048035B">
        <w:rPr>
          <w:rStyle w:val="DefaultParagraphFont"/>
          <w:spacing w:val="-4"/>
        </w:rPr>
        <w:t xml:space="preserve">(either in </w:t>
      </w:r>
      <w:r w:rsidRPr="0048035B">
        <w:rPr>
          <w:rStyle w:val="DefaultParagraphFont"/>
          <w:spacing w:val="-4"/>
        </w:rPr>
        <w:t xml:space="preserve">an </w:t>
      </w:r>
      <w:r>
        <w:rPr>
          <w:rStyle w:val="DefaultParagraphFont"/>
          <w:spacing w:val="-4"/>
        </w:rPr>
        <w:t>a</w:t>
      </w:r>
      <w:r w:rsidRPr="0048035B">
        <w:rPr>
          <w:rStyle w:val="DefaultParagraphFont"/>
          <w:spacing w:val="-4"/>
        </w:rPr>
        <w:t xml:space="preserve">uction or through other means) that have not been offered for sale in </w:t>
      </w:r>
      <w:r>
        <w:rPr>
          <w:rStyle w:val="DefaultParagraphFont"/>
          <w:spacing w:val="-4"/>
        </w:rPr>
        <w:t xml:space="preserve">the </w:t>
      </w:r>
      <w:r w:rsidRPr="0048035B">
        <w:rPr>
          <w:rStyle w:val="DefaultParagraphFont"/>
        </w:rPr>
        <w:t xml:space="preserve">End-State </w:t>
      </w:r>
      <w:r w:rsidRPr="00624D25">
        <w:rPr>
          <w:rStyle w:val="DefaultParagraphFont"/>
        </w:rPr>
        <w:t>Centralized TCC</w:t>
      </w:r>
      <w:r w:rsidRPr="0048035B">
        <w:rPr>
          <w:rStyle w:val="DefaultParagraphFont"/>
          <w:spacing w:val="-4"/>
        </w:rPr>
        <w:t xml:space="preserve"> Auction; and </w:t>
      </w:r>
      <w:r w:rsidRPr="0048035B">
        <w:rPr>
          <w:rStyle w:val="DefaultParagraphFont"/>
        </w:rPr>
        <w:t>transmission Capacity needed to support Grandfathered Rights.</w:t>
      </w:r>
    </w:p>
    <w:p w:rsidR="00E336CD" w:rsidRPr="0048035B" w:rsidP="00E336CD">
      <w:pPr>
        <w:pStyle w:val="Bodypara8"/>
        <w:rPr>
          <w:rStyle w:val="DefaultParagraphFont"/>
        </w:rPr>
      </w:pPr>
      <w:r w:rsidRPr="0048035B">
        <w:rPr>
          <w:rStyle w:val="DefaultParagraphFont"/>
        </w:rPr>
        <w:t xml:space="preserve">The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 will allow reconfiguration of the TCCs </w:t>
      </w:r>
      <w:r w:rsidRPr="0048035B">
        <w:rPr>
          <w:rStyle w:val="DefaultParagraphFont"/>
        </w:rPr>
        <w:t xml:space="preserve">sold in the previous </w:t>
      </w:r>
      <w:r>
        <w:rPr>
          <w:rStyle w:val="DefaultParagraphFont"/>
        </w:rPr>
        <w:t>a</w:t>
      </w:r>
      <w:r w:rsidRPr="0048035B">
        <w:rPr>
          <w:rStyle w:val="DefaultParagraphFont"/>
        </w:rPr>
        <w:t xml:space="preserve">uctions.  </w:t>
      </w:r>
      <w:r w:rsidRPr="0048035B">
        <w:rPr>
          <w:rStyle w:val="DefaultParagraphFont"/>
          <w:spacing w:val="-4"/>
        </w:rPr>
        <w:t xml:space="preserve">An entity holding a five-year TCC, for example, may release a TCC for some or all of the period for </w:t>
      </w:r>
      <w:r w:rsidRPr="0048035B">
        <w:rPr>
          <w:rStyle w:val="DefaultParagraphFont"/>
        </w:rPr>
        <w:t xml:space="preserve">which that TCC is valid for sale in the End-State </w:t>
      </w:r>
      <w:r w:rsidRPr="00624D25">
        <w:rPr>
          <w:rStyle w:val="DefaultParagraphFont"/>
        </w:rPr>
        <w:t>Centralized TCC</w:t>
      </w:r>
      <w:r w:rsidRPr="0048035B">
        <w:rPr>
          <w:rStyle w:val="DefaultParagraphFont"/>
        </w:rPr>
        <w:t xml:space="preserve"> </w:t>
      </w:r>
      <w:r w:rsidRPr="0048035B">
        <w:rPr>
          <w:rStyle w:val="DefaultParagraphFont"/>
        </w:rPr>
        <w:t>Auction.</w:t>
      </w:r>
    </w:p>
    <w:p w:rsidR="00E336CD" w:rsidRPr="004C6682" w:rsidP="00E336CD">
      <w:pPr>
        <w:pStyle w:val="Bodypara8"/>
        <w:rPr>
          <w:rStyle w:val="DefaultParagraphFont"/>
          <w:strike/>
        </w:rPr>
      </w:pPr>
      <w:r w:rsidRPr="0048035B">
        <w:rPr>
          <w:rStyle w:val="DefaultParagraphFont"/>
        </w:rPr>
        <w:t>If necessary, the ISO may elect to conduct a semi</w:t>
      </w:r>
      <w:r w:rsidRPr="0048035B">
        <w:rPr>
          <w:rStyle w:val="DefaultParagraphFont"/>
        </w:rPr>
        <w:t xml:space="preserve">-annual </w:t>
      </w:r>
      <w:r>
        <w:rPr>
          <w:rStyle w:val="DefaultParagraphFont"/>
        </w:rPr>
        <w:t>a</w:t>
      </w:r>
      <w:r w:rsidRPr="0048035B">
        <w:rPr>
          <w:rStyle w:val="DefaultParagraphFont"/>
        </w:rPr>
        <w:t xml:space="preserve">uction to sell six-month TCCs between annual End-State </w:t>
      </w:r>
      <w:r w:rsidRPr="00624D25">
        <w:rPr>
          <w:rStyle w:val="DefaultParagraphFont"/>
        </w:rPr>
        <w:t>Centralized TCC</w:t>
      </w:r>
      <w:r w:rsidRPr="0048035B">
        <w:rPr>
          <w:rStyle w:val="DefaultParagraphFont"/>
        </w:rPr>
        <w:t xml:space="preserve"> </w:t>
      </w:r>
      <w:r w:rsidRPr="0048035B">
        <w:rPr>
          <w:rStyle w:val="DefaultParagraphFont"/>
        </w:rPr>
        <w:t xml:space="preserve">Auctions.  The transmission Capacity that can be used to support TCCs purchased in this </w:t>
      </w:r>
      <w:r>
        <w:rPr>
          <w:rStyle w:val="DefaultParagraphFont"/>
        </w:rPr>
        <w:t>semi-annual a</w:t>
      </w:r>
      <w:r w:rsidRPr="0048035B">
        <w:rPr>
          <w:rStyle w:val="DefaultParagraphFont"/>
        </w:rPr>
        <w:t>uction shall include the portion of the transmission Capacity sold in the p</w:t>
      </w:r>
      <w:r w:rsidRPr="0048035B">
        <w:rPr>
          <w:rStyle w:val="DefaultParagraphFont"/>
        </w:rPr>
        <w:t xml:space="preserve">revious </w:t>
      </w:r>
      <w:r w:rsidRPr="0048035B">
        <w:rPr>
          <w:rStyle w:val="DefaultParagraphFont"/>
          <w:spacing w:val="-8"/>
        </w:rPr>
        <w:t xml:space="preserve">End-State </w:t>
      </w:r>
      <w:r w:rsidRPr="00624D25">
        <w:rPr>
          <w:rStyle w:val="DefaultParagraphFont"/>
        </w:rPr>
        <w:t>Centralized TCC</w:t>
      </w:r>
      <w:r w:rsidRPr="0048035B">
        <w:rPr>
          <w:rStyle w:val="DefaultParagraphFont"/>
          <w:spacing w:val="-8"/>
        </w:rPr>
        <w:t xml:space="preserve"> </w:t>
      </w:r>
      <w:r w:rsidRPr="0048035B">
        <w:rPr>
          <w:rStyle w:val="DefaultParagraphFont"/>
          <w:spacing w:val="-8"/>
        </w:rPr>
        <w:t xml:space="preserve">Auction as six-month TCCs, as well as any other outstanding TCC whose Primary Holder </w:t>
      </w:r>
      <w:r w:rsidRPr="0048035B">
        <w:rPr>
          <w:rStyle w:val="DefaultParagraphFont"/>
        </w:rPr>
        <w:t>elects to release it for sale in this</w:t>
      </w:r>
      <w:r>
        <w:rPr>
          <w:rStyle w:val="DefaultParagraphFont"/>
        </w:rPr>
        <w:t xml:space="preserve"> semi-annual</w:t>
      </w:r>
      <w:r w:rsidRPr="0048035B">
        <w:rPr>
          <w:rStyle w:val="DefaultParagraphFont"/>
        </w:rPr>
        <w:t xml:space="preserve"> </w:t>
      </w:r>
      <w:r>
        <w:rPr>
          <w:rStyle w:val="DefaultParagraphFont"/>
        </w:rPr>
        <w:t>a</w:t>
      </w:r>
      <w:r w:rsidRPr="0048035B">
        <w:rPr>
          <w:rStyle w:val="DefaultParagraphFont"/>
        </w:rPr>
        <w:t>uction.</w:t>
      </w:r>
    </w:p>
    <w:p w:rsidR="00E336CD" w:rsidRPr="009947C2">
      <w:pPr>
        <w:pStyle w:val="Normal10"/>
        <w:rPr>
          <w:rStyle w:val="DefaultParagraphFont"/>
          <w:strike/>
        </w:rPr>
        <w:sectPr w:rsidSect="00E336CD">
          <w:headerReference w:type="even" r:id="rId71"/>
          <w:headerReference w:type="default" r:id="rId72"/>
          <w:footerReference w:type="even" r:id="rId73"/>
          <w:footerReference w:type="default" r:id="rId74"/>
          <w:headerReference w:type="first" r:id="rId75"/>
          <w:footerReference w:type="first" r:id="rId76"/>
          <w:type w:val="nextPage"/>
          <w:pgSz w:w="12240" w:h="15840" w:code="1"/>
          <w:pgMar w:top="1440" w:right="1440" w:bottom="1440" w:left="1440" w:header="720" w:footer="720" w:gutter="0"/>
          <w:cols w:space="720"/>
        </w:sectPr>
      </w:pPr>
    </w:p>
    <w:p w:rsidR="00E336CD">
      <w:pPr>
        <w:pStyle w:val="Normal10"/>
        <w:tabs>
          <w:tab w:val="right" w:pos="12960"/>
        </w:tabs>
        <w:rPr>
          <w:rStyle w:val="DefaultParagraphFont"/>
        </w:rPr>
      </w:pPr>
    </w:p>
    <w:tbl>
      <w:tblPr>
        <w:tblStyle w:val="TableNormal"/>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Tr="00E336CD">
        <w:tblPrEx>
          <w:tblW w:w="0" w:type="auto"/>
          <w:jc w:val="center"/>
          <w:tblInd w:w="-1458" w:type="dxa"/>
          <w:tblLayout w:type="fixed"/>
          <w:tblCellMar>
            <w:left w:w="0" w:type="dxa"/>
            <w:right w:w="0" w:type="dxa"/>
          </w:tblCellMar>
          <w:tblLook w:val="0000"/>
        </w:tblPrEx>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pPr>
              <w:pStyle w:val="Normal10"/>
              <w:tabs>
                <w:tab w:val="left" w:pos="-864"/>
                <w:tab w:val="left" w:pos="-144"/>
              </w:tabs>
              <w:spacing w:before="33"/>
              <w:ind w:left="720"/>
              <w:jc w:val="center"/>
              <w:rPr>
                <w:rStyle w:val="DefaultParagraphFont"/>
              </w:rPr>
            </w:pPr>
            <w:r w:rsidRPr="00B345CD">
              <w:rPr>
                <w:rStyle w:val="DefaultParagraphFont"/>
                <w:b/>
                <w:sz w:val="16"/>
              </w:rPr>
              <w:t xml:space="preserve">Table 1 - TCC Reservations Subject to MW Reduction </w:t>
            </w:r>
            <w:r>
              <w:rPr>
                <w:rStyle w:val="DefaultParagraphFont"/>
                <w:b/>
              </w:rPr>
              <w:fldChar w:fldCharType="begin"/>
            </w:r>
            <w:r w:rsidRPr="00B345CD">
              <w:rPr>
                <w:rStyle w:val="DefaultParagraphFont"/>
                <w:b/>
                <w:sz w:val="16"/>
              </w:rPr>
              <w:instrText>tc "Table</w:instrText>
            </w:r>
            <w:r w:rsidRPr="00B345CD">
              <w:rPr>
                <w:rStyle w:val="DefaultParagraphFont"/>
                <w:b/>
                <w:sz w:val="16"/>
              </w:rPr>
              <w:instrText xml:space="preserve"> 1 - TCC Reservations Subject to MW Reduction " \l 2</w:instrText>
            </w:r>
            <w:r>
              <w:rPr>
                <w:rStyle w:val="DefaultParagraphFont"/>
                <w:b/>
              </w:rPr>
              <w:fldChar w:fldCharType="end"/>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P="00E336CD">
            <w:pPr>
              <w:pStyle w:val="Normal10"/>
              <w:tabs>
                <w:tab w:val="left" w:pos="-864"/>
                <w:tab w:val="left" w:pos="-144"/>
              </w:tabs>
              <w:spacing w:before="33"/>
              <w:jc w:val="center"/>
              <w:rPr>
                <w:rStyle w:val="DefaultParagraphFont"/>
                <w:b/>
              </w:rPr>
            </w:pPr>
          </w:p>
        </w:tc>
        <w:tc>
          <w:tcPr>
            <w:tcW w:w="126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p>
        </w:tc>
        <w:tc>
          <w:tcPr>
            <w:tcW w:w="171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p>
        </w:tc>
        <w:tc>
          <w:tcPr>
            <w:tcW w:w="216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p>
        </w:tc>
        <w:tc>
          <w:tcPr>
            <w:tcW w:w="117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p>
        </w:tc>
        <w:tc>
          <w:tcPr>
            <w:tcW w:w="72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Sum</w:t>
            </w:r>
          </w:p>
        </w:tc>
        <w:tc>
          <w:tcPr>
            <w:tcW w:w="72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Interface Allocations _ Summer Period</w:t>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pPr>
              <w:pStyle w:val="Normal10"/>
              <w:spacing w:before="33"/>
              <w:rPr>
                <w:rStyle w:val="DefaultParagraphFont"/>
                <w:b/>
              </w:rPr>
            </w:pPr>
            <w:r w:rsidRPr="00DB2D8A">
              <w:rPr>
                <w:rStyle w:val="DefaultParagraphFont"/>
                <w:b/>
                <w:sz w:val="16"/>
              </w:rPr>
              <w:t xml:space="preserve"> </w:t>
            </w:r>
          </w:p>
        </w:tc>
        <w:tc>
          <w:tcPr>
            <w:tcW w:w="126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Reservation Holder</w:t>
            </w:r>
          </w:p>
        </w:tc>
        <w:tc>
          <w:tcPr>
            <w:tcW w:w="171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Name</w:t>
            </w:r>
          </w:p>
        </w:tc>
        <w:tc>
          <w:tcPr>
            <w:tcW w:w="216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From</w:t>
            </w:r>
          </w:p>
        </w:tc>
        <w:tc>
          <w:tcPr>
            <w:tcW w:w="117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To</w:t>
            </w:r>
          </w:p>
        </w:tc>
        <w:tc>
          <w:tcPr>
            <w:tcW w:w="72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MW</w:t>
            </w:r>
          </w:p>
        </w:tc>
        <w:tc>
          <w:tcPr>
            <w:tcW w:w="72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MW</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DE</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WC</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VE</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MoS</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TE</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US</w:t>
            </w:r>
          </w:p>
        </w:tc>
        <w:tc>
          <w:tcPr>
            <w:tcW w:w="63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UC</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MS</w:t>
            </w:r>
          </w:p>
        </w:tc>
        <w:tc>
          <w:tcPr>
            <w:tcW w:w="540" w:type="dxa"/>
            <w:tcBorders>
              <w:top w:val="single" w:sz="6" w:space="0" w:color="auto"/>
              <w:lef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DS</w:t>
            </w:r>
          </w:p>
        </w:tc>
        <w:tc>
          <w:tcPr>
            <w:tcW w:w="685" w:type="dxa"/>
            <w:tcBorders>
              <w:top w:val="single" w:sz="6" w:space="0" w:color="auto"/>
              <w:left w:val="single" w:sz="6" w:space="0" w:color="auto"/>
              <w:right w:val="single" w:sz="6" w:space="0" w:color="auto"/>
            </w:tcBorders>
            <w:vAlign w:val="center"/>
          </w:tcPr>
          <w:p w:rsidR="00E336CD" w:rsidRPr="00DB2D8A" w:rsidP="00E336CD">
            <w:pPr>
              <w:pStyle w:val="Normal10"/>
              <w:spacing w:before="33"/>
              <w:jc w:val="center"/>
              <w:rPr>
                <w:rStyle w:val="DefaultParagraphFont"/>
                <w:b/>
              </w:rPr>
            </w:pPr>
            <w:r w:rsidRPr="00DB2D8A">
              <w:rPr>
                <w:rStyle w:val="DefaultParagraphFont"/>
                <w:b/>
                <w:sz w:val="16"/>
              </w:rPr>
              <w:t>CE_LI</w:t>
            </w: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Bowline</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Bowline</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801</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801</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801</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768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584</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ST4 HQ</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–Pleasant Valley</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400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208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400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384</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292</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Gilboa</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Pleasant Valley</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125</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125</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125</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91</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Roseton</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Roseton_GN1</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461</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351</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5</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smartTag w:uri="urn:schemas-microsoft-com:office:smarttags" w:element="City">
                <w:r>
                  <w:rPr>
                    <w:rStyle w:val="DefaultParagraphFont"/>
                    <w:sz w:val="16"/>
                  </w:rPr>
                  <w:t>Corinth</w:t>
                </w:r>
              </w:smartTag>
            </w:smartTag>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–Pleasant </w:t>
            </w:r>
            <w:r>
              <w:rPr>
                <w:rStyle w:val="DefaultParagraphFont"/>
                <w:sz w:val="16"/>
              </w:rPr>
              <w:t>Valley</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134</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134</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134</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129</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98</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Sithe</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–Pleasant Valley</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837</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837</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837</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611</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7</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Selkirk</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Pleasant Valley</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265</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265</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265</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254</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193</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IP2</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Indian Pt 2</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893</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893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893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679</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9</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IP3</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Indian Pt 3</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108</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82</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IP Gas Turbine</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IP GT_Buchanan</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48</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36</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11</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NMP1</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NMP1</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 _ East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610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610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610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610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12</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NMP2</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NMP2</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 _ East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460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460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460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460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13</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Hydro North</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smartTag w:uri="urn:schemas-microsoft-com:office:smarttags" w:element="City">
                <w:r>
                  <w:rPr>
                    <w:rStyle w:val="DefaultParagraphFont"/>
                    <w:sz w:val="16"/>
                  </w:rPr>
                  <w:t>Colton</w:t>
                </w:r>
              </w:smartTag>
            </w:smartTag>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NMPC _ East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110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110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110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14</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smartTag w:uri="urn:schemas-microsoft-com:office:smarttags" w:element="PlaceName">
                <w:r>
                  <w:rPr>
                    <w:rStyle w:val="DefaultParagraphFont"/>
                    <w:sz w:val="16"/>
                  </w:rPr>
                  <w:t>Homer</w:t>
                </w:r>
              </w:smartTag>
              <w:r>
                <w:rPr>
                  <w:rStyle w:val="DefaultParagraphFont"/>
                  <w:sz w:val="16"/>
                </w:rPr>
                <w:t xml:space="preserve"> </w:t>
              </w:r>
              <w:smartTag w:uri="urn:schemas-microsoft-com:office:smarttags" w:element="PlaceName">
                <w:r>
                  <w:rPr>
                    <w:rStyle w:val="DefaultParagraphFont"/>
                    <w:sz w:val="16"/>
                  </w:rPr>
                  <w:t>City</w:t>
                </w:r>
              </w:smartTag>
            </w:smartTag>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sidRPr="00A33E88">
              <w:rPr>
                <w:rStyle w:val="DefaultParagraphFont"/>
                <w:sz w:val="16"/>
              </w:rPr>
              <w:t>PJM Proxy Generator Bus</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Cent.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863</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863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863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863</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15</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smartTag w:uri="urn:schemas-microsoft-com:office:smarttags" w:element="PlaceName">
                <w:r>
                  <w:rPr>
                    <w:rStyle w:val="DefaultParagraphFont"/>
                    <w:sz w:val="16"/>
                  </w:rPr>
                  <w:t>Homer</w:t>
                </w:r>
              </w:smartTag>
              <w:r>
                <w:rPr>
                  <w:rStyle w:val="DefaultParagraphFont"/>
                  <w:sz w:val="16"/>
                </w:rPr>
                <w:t xml:space="preserve"> </w:t>
              </w:r>
              <w:smartTag w:uri="urn:schemas-microsoft-com:office:smarttags" w:element="PlaceName">
                <w:r>
                  <w:rPr>
                    <w:rStyle w:val="DefaultParagraphFont"/>
                    <w:sz w:val="16"/>
                  </w:rPr>
                  <w:t>City</w:t>
                </w:r>
              </w:smartTag>
            </w:smartTag>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sidRPr="00A33E88">
              <w:rPr>
                <w:rStyle w:val="DefaultParagraphFont"/>
                <w:sz w:val="16"/>
              </w:rPr>
              <w:t>PJM Proxy Generator Bus</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West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16</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Allegheny 8&amp;9</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sidRPr="00A33E88">
              <w:rPr>
                <w:rStyle w:val="DefaultParagraphFont"/>
                <w:sz w:val="16"/>
              </w:rPr>
              <w:t xml:space="preserve">PJM Proxy </w:t>
            </w:r>
            <w:r w:rsidRPr="00A33E88">
              <w:rPr>
                <w:rStyle w:val="DefaultParagraphFont"/>
                <w:sz w:val="16"/>
              </w:rPr>
              <w:t>Generator Bus</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Cent.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37</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37</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37</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37</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BCLP</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sidRPr="00A33E88">
              <w:rPr>
                <w:rStyle w:val="DefaultParagraphFont"/>
                <w:sz w:val="16"/>
              </w:rPr>
              <w:t>PJM Proxy Generator Bus</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Cent.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80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18</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LEA (</w:t>
            </w:r>
            <w:smartTag w:uri="urn:schemas-microsoft-com:office:smarttags" w:element="place">
              <w:smartTag w:uri="urn:schemas-microsoft-com:office:smarttags" w:element="City">
                <w:r>
                  <w:rPr>
                    <w:rStyle w:val="DefaultParagraphFont"/>
                    <w:sz w:val="16"/>
                  </w:rPr>
                  <w:t>Lockport</w:t>
                </w:r>
              </w:smartTag>
            </w:smartTag>
            <w:r>
              <w:rPr>
                <w:rStyle w:val="DefaultParagraphFont"/>
                <w:sz w:val="16"/>
              </w:rPr>
              <w:t>)</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Gardenville</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Cent.</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100</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19</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Gilboa</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Gilboa</w:t>
            </w:r>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NYSEG _ Mech</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99</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99</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20</w:t>
            </w:r>
          </w:p>
        </w:tc>
        <w:tc>
          <w:tcPr>
            <w:tcW w:w="12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SENY (2) (4)</w:t>
            </w:r>
          </w:p>
        </w:tc>
        <w:tc>
          <w:tcPr>
            <w:tcW w:w="171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r>
                <w:rPr>
                  <w:rStyle w:val="DefaultParagraphFont"/>
                  <w:sz w:val="16"/>
                </w:rPr>
                <w:t>Niagara</w:t>
              </w:r>
            </w:smartTag>
            <w:r>
              <w:rPr>
                <w:rStyle w:val="DefaultParagraphFont"/>
                <w:sz w:val="16"/>
              </w:rPr>
              <w:t xml:space="preserve"> OATT Reservation</w:t>
            </w:r>
          </w:p>
        </w:tc>
        <w:tc>
          <w:tcPr>
            <w:tcW w:w="216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smartTag w:uri="urn:schemas-microsoft-com:office:smarttags" w:element="place">
              <w:r>
                <w:rPr>
                  <w:rStyle w:val="DefaultParagraphFont"/>
                  <w:sz w:val="16"/>
                </w:rPr>
                <w:t>Niagara</w:t>
              </w:r>
            </w:smartTag>
          </w:p>
        </w:tc>
        <w:tc>
          <w:tcPr>
            <w:tcW w:w="117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w:t>
            </w:r>
          </w:p>
        </w:tc>
        <w:tc>
          <w:tcPr>
            <w:tcW w:w="72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63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422 (</w:t>
            </w:r>
            <w:r w:rsidRPr="00B345CD">
              <w:rPr>
                <w:rStyle w:val="DefaultParagraphFont"/>
                <w:sz w:val="16"/>
              </w:rPr>
              <w:t>3</w:t>
            </w:r>
            <w:r>
              <w:rPr>
                <w:rStyle w:val="DefaultParagraphFont"/>
                <w:sz w:val="16"/>
              </w:rPr>
              <w:t>)</w:t>
            </w:r>
          </w:p>
        </w:tc>
        <w:tc>
          <w:tcPr>
            <w:tcW w:w="685" w:type="dxa"/>
            <w:tcBorders>
              <w:top w:val="single" w:sz="6" w:space="0" w:color="auto"/>
              <w:left w:val="single" w:sz="6" w:space="0" w:color="auto"/>
              <w:right w:val="single" w:sz="6" w:space="0" w:color="auto"/>
            </w:tcBorders>
            <w:vAlign w:val="center"/>
          </w:tcPr>
          <w:p w:rsidR="00E336CD" w:rsidRPr="00B345CD" w:rsidP="00E336CD">
            <w:pPr>
              <w:pStyle w:val="Normal10"/>
              <w:jc w:val="center"/>
              <w:rPr>
                <w:rStyle w:val="DefaultParagraphFont"/>
                <w:sz w:val="16"/>
              </w:rPr>
            </w:pPr>
          </w:p>
        </w:tc>
      </w:tr>
      <w:tr w:rsidTr="00E336CD">
        <w:tblPrEx>
          <w:tblW w:w="0" w:type="auto"/>
          <w:jc w:val="center"/>
          <w:tblInd w:w="-1458" w:type="dxa"/>
          <w:tblLayout w:type="fixed"/>
          <w:tblCellMar>
            <w:left w:w="0" w:type="dxa"/>
            <w:right w:w="0" w:type="dxa"/>
          </w:tblCellMar>
          <w:tblLook w:val="0000"/>
        </w:tblPrEx>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21</w:t>
            </w:r>
          </w:p>
        </w:tc>
        <w:tc>
          <w:tcPr>
            <w:tcW w:w="126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SENY (2) (4)</w:t>
            </w:r>
          </w:p>
        </w:tc>
        <w:tc>
          <w:tcPr>
            <w:tcW w:w="1710" w:type="dxa"/>
            <w:tcBorders>
              <w:top w:val="single" w:sz="6" w:space="0" w:color="auto"/>
              <w:left w:val="single" w:sz="6" w:space="0" w:color="auto"/>
              <w:bottom w:val="single" w:sz="6" w:space="0" w:color="auto"/>
            </w:tcBorders>
            <w:vAlign w:val="center"/>
          </w:tcPr>
          <w:p w:rsidR="00E336CD" w:rsidP="00E336CD">
            <w:pPr>
              <w:pStyle w:val="Normal10"/>
              <w:jc w:val="center"/>
              <w:rPr>
                <w:rStyle w:val="DefaultParagraphFont"/>
              </w:rPr>
            </w:pPr>
            <w:r>
              <w:rPr>
                <w:rStyle w:val="DefaultParagraphFont"/>
                <w:sz w:val="16"/>
              </w:rPr>
              <w:t>St. Lawrence OATT Reserv.</w:t>
            </w:r>
          </w:p>
        </w:tc>
        <w:tc>
          <w:tcPr>
            <w:tcW w:w="216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 xml:space="preserve">Con </w:t>
            </w:r>
            <w:smartTag w:uri="urn:schemas-microsoft-com:office:smarttags" w:element="place">
              <w:r>
                <w:rPr>
                  <w:rStyle w:val="DefaultParagraphFont"/>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w:t>
            </w:r>
          </w:p>
        </w:tc>
        <w:tc>
          <w:tcPr>
            <w:tcW w:w="72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w:t>
            </w: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63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540" w:type="dxa"/>
            <w:tcBorders>
              <w:top w:val="single" w:sz="6" w:space="0" w:color="auto"/>
              <w:left w:val="single" w:sz="6" w:space="0" w:color="auto"/>
              <w:bottom w:val="single" w:sz="6" w:space="0" w:color="auto"/>
            </w:tcBorders>
            <w:vAlign w:val="center"/>
          </w:tcPr>
          <w:p w:rsidR="00E336CD" w:rsidRPr="00B345CD" w:rsidP="00E336CD">
            <w:pPr>
              <w:pStyle w:val="Normal10"/>
              <w:jc w:val="center"/>
              <w:rPr>
                <w:rStyle w:val="DefaultParagraphFont"/>
                <w:sz w:val="16"/>
              </w:rPr>
            </w:pPr>
            <w:r>
              <w:rPr>
                <w:rStyle w:val="DefaultParagraphFont"/>
                <w:sz w:val="16"/>
              </w:rPr>
              <w:t>178 (</w:t>
            </w:r>
            <w:r w:rsidRPr="00B345CD">
              <w:rPr>
                <w:rStyle w:val="DefaultParagraphFont"/>
                <w:sz w:val="16"/>
              </w:rPr>
              <w:t>3</w:t>
            </w:r>
            <w:r>
              <w:rPr>
                <w:rStyle w:val="DefaultParagraphFont"/>
                <w:sz w:val="16"/>
              </w:rPr>
              <w:t>)</w:t>
            </w:r>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P="00E336CD">
            <w:pPr>
              <w:pStyle w:val="Normal10"/>
              <w:jc w:val="center"/>
              <w:rPr>
                <w:rStyle w:val="DefaultParagraphFont"/>
                <w:sz w:val="16"/>
              </w:rPr>
            </w:pPr>
          </w:p>
        </w:tc>
      </w:tr>
    </w:tbl>
    <w:p w:rsidR="00E336CD">
      <w:pPr>
        <w:pStyle w:val="Normal10"/>
        <w:tabs>
          <w:tab w:val="left" w:pos="1080"/>
          <w:tab w:val="left" w:pos="3600"/>
        </w:tabs>
        <w:ind w:left="720" w:hanging="720"/>
        <w:rPr>
          <w:rStyle w:val="DefaultParagraphFont"/>
          <w:sz w:val="16"/>
        </w:rPr>
      </w:pPr>
      <w:r>
        <w:rPr>
          <w:rStyle w:val="DefaultParagraphFont"/>
          <w:sz w:val="16"/>
        </w:rPr>
        <w:t>Notes:</w:t>
      </w:r>
      <w:r>
        <w:rPr>
          <w:rStyle w:val="DefaultParagraphFont"/>
          <w:sz w:val="16"/>
        </w:rPr>
        <w:tab/>
        <w:t>1.</w:t>
      </w:r>
      <w:r>
        <w:rPr>
          <w:rStyle w:val="DefaultParagraphFont"/>
          <w:sz w:val="16"/>
        </w:rPr>
        <w:tab/>
        <w:t>Interface Designations:</w:t>
      </w:r>
      <w:r>
        <w:rPr>
          <w:rStyle w:val="DefaultParagraphFont"/>
          <w:sz w:val="16"/>
        </w:rPr>
        <w:tab/>
        <w:t>DE - Dysinger East</w:t>
      </w:r>
      <w:r>
        <w:rPr>
          <w:rStyle w:val="DefaultParagraphFont"/>
          <w:sz w:val="16"/>
        </w:rPr>
        <w:tab/>
      </w:r>
      <w:r>
        <w:rPr>
          <w:rStyle w:val="DefaultParagraphFont"/>
          <w:sz w:val="16"/>
        </w:rPr>
        <w:tab/>
        <w:t xml:space="preserve">WC - West </w:t>
      </w:r>
      <w:smartTag w:uri="urn:schemas-microsoft-com:office:smarttags" w:element="place">
        <w:r>
          <w:rPr>
            <w:rStyle w:val="DefaultParagraphFont"/>
            <w:sz w:val="16"/>
          </w:rPr>
          <w:t>Central</w:t>
        </w:r>
        <w:r>
          <w:rPr>
            <w:rStyle w:val="DefaultParagraphFont"/>
            <w:sz w:val="16"/>
          </w:rPr>
          <w:tab/>
        </w:r>
        <w:r>
          <w:rPr>
            <w:rStyle w:val="DefaultParagraphFont"/>
            <w:sz w:val="16"/>
          </w:rPr>
          <w:tab/>
          <w:t>VE</w:t>
        </w:r>
      </w:smartTag>
      <w:r>
        <w:rPr>
          <w:rStyle w:val="DefaultParagraphFont"/>
          <w:sz w:val="16"/>
        </w:rPr>
        <w:t xml:space="preserve"> - Volney East</w:t>
      </w:r>
    </w:p>
    <w:p w:rsidR="00E336CD">
      <w:pPr>
        <w:pStyle w:val="Normal1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rStyle w:val="DefaultParagraphFont"/>
          <w:sz w:val="16"/>
        </w:rPr>
      </w:pPr>
      <w:r>
        <w:rPr>
          <w:rStyle w:val="DefaultParagraphFont"/>
          <w:sz w:val="16"/>
        </w:rPr>
        <w:t>MoS - Moses South</w:t>
      </w:r>
      <w:r>
        <w:rPr>
          <w:rStyle w:val="DefaultParagraphFont"/>
          <w:sz w:val="16"/>
        </w:rPr>
        <w:tab/>
      </w:r>
      <w:r>
        <w:rPr>
          <w:rStyle w:val="DefaultParagraphFont"/>
          <w:sz w:val="16"/>
        </w:rPr>
        <w:tab/>
        <w:t>TE - Total East</w:t>
      </w:r>
      <w:r>
        <w:rPr>
          <w:rStyle w:val="DefaultParagraphFont"/>
          <w:sz w:val="16"/>
        </w:rPr>
        <w:tab/>
      </w:r>
      <w:r>
        <w:rPr>
          <w:rStyle w:val="DefaultParagraphFont"/>
          <w:sz w:val="16"/>
        </w:rPr>
        <w:tab/>
        <w:t>US - UPNY/SENY</w:t>
      </w:r>
    </w:p>
    <w:p w:rsidR="00E336CD">
      <w:pPr>
        <w:pStyle w:val="Normal1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rStyle w:val="DefaultParagraphFont"/>
          <w:sz w:val="16"/>
        </w:rPr>
      </w:pPr>
      <w:r>
        <w:rPr>
          <w:rStyle w:val="DefaultParagraphFont"/>
          <w:sz w:val="16"/>
        </w:rPr>
        <w:t>UC - UPNY/Con Ed</w:t>
      </w:r>
      <w:r>
        <w:rPr>
          <w:rStyle w:val="DefaultParagraphFont"/>
          <w:sz w:val="16"/>
        </w:rPr>
        <w:tab/>
      </w:r>
      <w:r>
        <w:rPr>
          <w:rStyle w:val="DefaultParagraphFont"/>
          <w:sz w:val="16"/>
        </w:rPr>
        <w:tab/>
        <w:t>MS - Millwood South</w:t>
      </w:r>
      <w:r>
        <w:rPr>
          <w:rStyle w:val="DefaultParagraphFont"/>
          <w:sz w:val="16"/>
        </w:rPr>
        <w:tab/>
      </w:r>
      <w:r>
        <w:rPr>
          <w:rStyle w:val="DefaultParagraphFont"/>
          <w:sz w:val="16"/>
        </w:rPr>
        <w:tab/>
        <w:t>DS - Dunwoodie South</w:t>
      </w:r>
    </w:p>
    <w:p w:rsidR="00E336CD">
      <w:pPr>
        <w:pStyle w:val="Normal1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rStyle w:val="DefaultParagraphFont"/>
          <w:sz w:val="16"/>
        </w:rPr>
      </w:pPr>
      <w:r>
        <w:rPr>
          <w:rStyle w:val="DefaultParagraphFont"/>
          <w:sz w:val="16"/>
        </w:rPr>
        <w:t>CE-LI - Con Ed/LILCO</w:t>
      </w:r>
    </w:p>
    <w:p w:rsidR="00E336CD">
      <w:pPr>
        <w:pStyle w:val="Normal10"/>
        <w:rPr>
          <w:rStyle w:val="DefaultParagraphFont"/>
        </w:rPr>
      </w:pPr>
    </w:p>
    <w:p w:rsidR="00E336CD">
      <w:pPr>
        <w:pStyle w:val="Normal1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rStyle w:val="DefaultParagraphFont"/>
          <w:sz w:val="16"/>
        </w:rPr>
      </w:pPr>
      <w:r>
        <w:rPr>
          <w:rStyle w:val="DefaultParagraphFont"/>
          <w:sz w:val="16"/>
        </w:rPr>
        <w:t xml:space="preserve">2.  Subject to NYPA’s </w:t>
      </w:r>
      <w:r>
        <w:rPr>
          <w:rStyle w:val="DefaultParagraphFont"/>
          <w:sz w:val="16"/>
        </w:rPr>
        <w:t>obtaining non-discriminatory long term firm reservation through 2017 under their OATT.</w:t>
      </w:r>
    </w:p>
    <w:p w:rsidR="00E336CD">
      <w:pPr>
        <w:pStyle w:val="Normal10"/>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rStyle w:val="DefaultParagraphFont"/>
          <w:sz w:val="16"/>
        </w:rPr>
      </w:pPr>
      <w:r>
        <w:rPr>
          <w:rStyle w:val="DefaultParagraphFont"/>
          <w:sz w:val="16"/>
        </w:rPr>
        <w:t>3.  NYPA’s TCCs allocated to their SENY Governmental Load Customers, across UPNY/Con Ed, Millwood South and Dunwoodie South will be up to 600 MW, or amounts otherwise av</w:t>
      </w:r>
      <w:r>
        <w:rPr>
          <w:rStyle w:val="DefaultParagraphFont"/>
          <w:sz w:val="16"/>
        </w:rPr>
        <w:t>ailable to NYPA pursuant to the grandfathered rights applicable under the Planning &amp; Supply and Delivery Services Agreement between NYPA and Con Edison dated March 1989.</w:t>
      </w:r>
      <w:r>
        <w:rPr>
          <w:rStyle w:val="DefaultParagraphFont"/>
          <w:sz w:val="16"/>
        </w:rPr>
        <w:tab/>
        <w:t xml:space="preserve"> </w:t>
      </w:r>
    </w:p>
    <w:p w:rsidR="00E336CD">
      <w:pPr>
        <w:pStyle w:val="Normal1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rStyle w:val="DefaultParagraphFont"/>
          <w:sz w:val="16"/>
        </w:rPr>
      </w:pPr>
      <w:r>
        <w:rPr>
          <w:rStyle w:val="DefaultParagraphFont"/>
          <w:sz w:val="16"/>
        </w:rPr>
        <w:t>4.  NYPA’s TCCs allocated to their SENY Governmental Load Customers will terminate o</w:t>
      </w:r>
      <w:r>
        <w:rPr>
          <w:rStyle w:val="DefaultParagraphFont"/>
          <w:sz w:val="16"/>
        </w:rPr>
        <w:t>n the earlier of December 31, 2017 or when NYPA no longer has an obligation to serve any SENY Loads or the retirement or sale of both IP#3 and Poletti.</w:t>
      </w:r>
    </w:p>
    <w:tbl>
      <w:tblPr>
        <w:tblStyle w:val="TableNormal"/>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892"/>
        <w:gridCol w:w="2250"/>
        <w:gridCol w:w="1710"/>
        <w:gridCol w:w="3150"/>
      </w:tblGrid>
      <w:tr w:rsidTr="00E336CD">
        <w:tblPrEx>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12150" w:type="dxa"/>
            <w:gridSpan w:val="6"/>
            <w:shd w:val="clear" w:color="auto" w:fill="E6E6E6"/>
          </w:tcPr>
          <w:p w:rsidR="00E336CD">
            <w:pPr>
              <w:pStyle w:val="Normal10"/>
              <w:spacing w:before="60" w:after="60"/>
              <w:jc w:val="center"/>
              <w:rPr>
                <w:rStyle w:val="DefaultParagraphFont"/>
                <w:b/>
                <w:bCs/>
                <w:sz w:val="22"/>
              </w:rPr>
            </w:pPr>
            <w:r>
              <w:rPr>
                <w:rStyle w:val="DefaultParagraphFont"/>
              </w:rPr>
              <w:br w:type="page"/>
            </w:r>
            <w:r>
              <w:rPr>
                <w:rStyle w:val="DefaultParagraphFont"/>
                <w:b/>
                <w:bCs/>
                <w:sz w:val="22"/>
              </w:rPr>
              <w:t>TABLE 2- ETCNL Data for Converting ETCNL to ETCNL TCCs</w:t>
            </w:r>
          </w:p>
        </w:tc>
      </w:tr>
      <w:tr w:rsidTr="001D1D60">
        <w:tblPrEx>
          <w:tblW w:w="0" w:type="auto"/>
          <w:tblInd w:w="1188" w:type="dxa"/>
          <w:tblLayout w:type="fixed"/>
          <w:tblLook w:val="0000"/>
        </w:tblPrEx>
        <w:trPr>
          <w:cantSplit/>
        </w:trPr>
        <w:tc>
          <w:tcPr>
            <w:tcW w:w="468" w:type="dxa"/>
            <w:shd w:val="clear" w:color="auto" w:fill="E6E6E6"/>
          </w:tcPr>
          <w:p w:rsidR="00E336CD">
            <w:pPr>
              <w:pStyle w:val="Normal10"/>
              <w:jc w:val="center"/>
              <w:rPr>
                <w:rStyle w:val="DefaultParagraphFont"/>
                <w:b/>
                <w:bCs/>
                <w:sz w:val="18"/>
              </w:rPr>
            </w:pPr>
          </w:p>
        </w:tc>
        <w:tc>
          <w:tcPr>
            <w:tcW w:w="1680" w:type="dxa"/>
            <w:shd w:val="clear" w:color="auto" w:fill="E6E6E6"/>
            <w:vAlign w:val="center"/>
          </w:tcPr>
          <w:p w:rsidR="00E336CD">
            <w:pPr>
              <w:pStyle w:val="Normal10"/>
              <w:jc w:val="center"/>
              <w:rPr>
                <w:rStyle w:val="DefaultParagraphFont"/>
                <w:b/>
                <w:bCs/>
                <w:sz w:val="18"/>
              </w:rPr>
            </w:pPr>
            <w:r>
              <w:rPr>
                <w:rStyle w:val="DefaultParagraphFont"/>
                <w:b/>
                <w:bCs/>
                <w:sz w:val="18"/>
              </w:rPr>
              <w:t>Holder of ETCNL</w:t>
            </w:r>
          </w:p>
        </w:tc>
        <w:tc>
          <w:tcPr>
            <w:tcW w:w="2892" w:type="dxa"/>
            <w:shd w:val="clear" w:color="auto" w:fill="E6E6E6"/>
            <w:vAlign w:val="center"/>
          </w:tcPr>
          <w:p w:rsidR="00E336CD">
            <w:pPr>
              <w:pStyle w:val="Normal10"/>
              <w:jc w:val="center"/>
              <w:rPr>
                <w:rStyle w:val="DefaultParagraphFont"/>
                <w:b/>
                <w:bCs/>
                <w:sz w:val="18"/>
              </w:rPr>
            </w:pPr>
            <w:r>
              <w:rPr>
                <w:rStyle w:val="DefaultParagraphFont"/>
                <w:b/>
                <w:bCs/>
                <w:sz w:val="18"/>
              </w:rPr>
              <w:t>Name of Set of ETCNL</w:t>
            </w:r>
          </w:p>
        </w:tc>
        <w:tc>
          <w:tcPr>
            <w:tcW w:w="2250" w:type="dxa"/>
            <w:shd w:val="clear" w:color="auto" w:fill="E6E6E6"/>
            <w:vAlign w:val="center"/>
          </w:tcPr>
          <w:p w:rsidR="00E336CD">
            <w:pPr>
              <w:pStyle w:val="Normal10"/>
              <w:jc w:val="center"/>
              <w:rPr>
                <w:rStyle w:val="DefaultParagraphFont"/>
                <w:b/>
                <w:bCs/>
                <w:sz w:val="18"/>
              </w:rPr>
            </w:pPr>
            <w:r>
              <w:rPr>
                <w:rStyle w:val="DefaultParagraphFont"/>
                <w:b/>
                <w:bCs/>
                <w:sz w:val="18"/>
              </w:rPr>
              <w:t xml:space="preserve">Point of </w:t>
            </w:r>
            <w:r>
              <w:rPr>
                <w:rStyle w:val="DefaultParagraphFont"/>
                <w:b/>
                <w:bCs/>
                <w:sz w:val="18"/>
              </w:rPr>
              <w:t>Injection</w:t>
            </w:r>
          </w:p>
        </w:tc>
        <w:tc>
          <w:tcPr>
            <w:tcW w:w="1710" w:type="dxa"/>
            <w:shd w:val="clear" w:color="auto" w:fill="E6E6E6"/>
            <w:vAlign w:val="center"/>
          </w:tcPr>
          <w:p w:rsidR="00E336CD">
            <w:pPr>
              <w:pStyle w:val="Normal10"/>
              <w:jc w:val="center"/>
              <w:rPr>
                <w:rStyle w:val="DefaultParagraphFont"/>
                <w:b/>
                <w:bCs/>
                <w:sz w:val="18"/>
              </w:rPr>
            </w:pPr>
            <w:r>
              <w:rPr>
                <w:rStyle w:val="DefaultParagraphFont"/>
                <w:b/>
                <w:bCs/>
                <w:sz w:val="18"/>
              </w:rPr>
              <w:t>Point of Withdrawal</w:t>
            </w:r>
          </w:p>
        </w:tc>
        <w:tc>
          <w:tcPr>
            <w:tcW w:w="3150" w:type="dxa"/>
            <w:shd w:val="clear" w:color="auto" w:fill="E6E6E6"/>
            <w:vAlign w:val="center"/>
          </w:tcPr>
          <w:p w:rsidR="00E336CD">
            <w:pPr>
              <w:pStyle w:val="Normal10"/>
              <w:jc w:val="center"/>
              <w:rPr>
                <w:rStyle w:val="DefaultParagraphFont"/>
                <w:b/>
                <w:bCs/>
                <w:sz w:val="18"/>
              </w:rPr>
            </w:pPr>
            <w:r>
              <w:rPr>
                <w:rStyle w:val="DefaultParagraphFont"/>
                <w:b/>
                <w:bCs/>
                <w:sz w:val="18"/>
              </w:rPr>
              <w:t>Transmission Capacity (MW)</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Load-Bowline</w:t>
            </w:r>
          </w:p>
        </w:tc>
        <w:tc>
          <w:tcPr>
            <w:tcW w:w="2250" w:type="dxa"/>
          </w:tcPr>
          <w:p w:rsidR="00E336CD">
            <w:pPr>
              <w:pStyle w:val="Normal10"/>
              <w:jc w:val="center"/>
              <w:rPr>
                <w:rStyle w:val="DefaultParagraphFont"/>
                <w:sz w:val="18"/>
              </w:rPr>
            </w:pPr>
            <w:r>
              <w:rPr>
                <w:rStyle w:val="DefaultParagraphFont"/>
                <w:sz w:val="18"/>
              </w:rPr>
              <w:t>Bowline #1/Bowline #2</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16 (Bowline #1)/17 (Bowline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2.</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Load-Bowline</w:t>
            </w:r>
          </w:p>
        </w:tc>
        <w:tc>
          <w:tcPr>
            <w:tcW w:w="2250" w:type="dxa"/>
          </w:tcPr>
          <w:p w:rsidR="00E336CD">
            <w:pPr>
              <w:pStyle w:val="Normal10"/>
              <w:jc w:val="center"/>
              <w:rPr>
                <w:rStyle w:val="DefaultParagraphFont"/>
                <w:sz w:val="18"/>
              </w:rPr>
            </w:pPr>
            <w:r>
              <w:rPr>
                <w:rStyle w:val="DefaultParagraphFont"/>
                <w:sz w:val="18"/>
              </w:rPr>
              <w:t>Bowline #1/Bowline #2</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 xml:space="preserve">92(Bowline #1)/92 </w:t>
            </w:r>
            <w:r>
              <w:rPr>
                <w:rStyle w:val="DefaultParagraphFont"/>
                <w:sz w:val="18"/>
              </w:rPr>
              <w:t>(Bowline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3.</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Load-Bowline</w:t>
            </w:r>
          </w:p>
        </w:tc>
        <w:tc>
          <w:tcPr>
            <w:tcW w:w="2250" w:type="dxa"/>
          </w:tcPr>
          <w:p w:rsidR="00E336CD">
            <w:pPr>
              <w:pStyle w:val="Normal10"/>
              <w:jc w:val="center"/>
              <w:rPr>
                <w:rStyle w:val="DefaultParagraphFont"/>
                <w:sz w:val="18"/>
              </w:rPr>
            </w:pPr>
            <w:r>
              <w:rPr>
                <w:rStyle w:val="DefaultParagraphFont"/>
                <w:sz w:val="18"/>
              </w:rPr>
              <w:t>Bowline #1/Bowline #2</w:t>
            </w:r>
          </w:p>
        </w:tc>
        <w:tc>
          <w:tcPr>
            <w:tcW w:w="1710" w:type="dxa"/>
          </w:tcPr>
          <w:p w:rsidR="00E336CD">
            <w:pPr>
              <w:pStyle w:val="Normal10"/>
              <w:jc w:val="center"/>
              <w:rPr>
                <w:rStyle w:val="DefaultParagraphFont"/>
                <w:sz w:val="18"/>
              </w:rPr>
            </w:pPr>
            <w:r>
              <w:rPr>
                <w:rStyle w:val="DefaultParagraphFont"/>
                <w:sz w:val="18"/>
              </w:rPr>
              <w:t>NYC Zone</w:t>
            </w:r>
          </w:p>
        </w:tc>
        <w:tc>
          <w:tcPr>
            <w:tcW w:w="3150" w:type="dxa"/>
          </w:tcPr>
          <w:p w:rsidR="00E336CD">
            <w:pPr>
              <w:pStyle w:val="Normal10"/>
              <w:jc w:val="center"/>
              <w:rPr>
                <w:rStyle w:val="DefaultParagraphFont"/>
                <w:sz w:val="18"/>
              </w:rPr>
            </w:pPr>
            <w:r>
              <w:rPr>
                <w:rStyle w:val="DefaultParagraphFont"/>
                <w:sz w:val="18"/>
              </w:rPr>
              <w:t>292(Bowline #1)/292 (Bowline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4.</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HQ Capacity Purchase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16 (summer)/8 (winter)</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5.</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 xml:space="preserve">Native Load- HQ Capacity </w:t>
            </w:r>
            <w:r>
              <w:rPr>
                <w:rStyle w:val="DefaultParagraphFont"/>
                <w:sz w:val="18"/>
              </w:rPr>
              <w:t>Purchase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92 (summer)/48 (winter)</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6.</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HQ Capacity Purchase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NYCZone</w:t>
            </w:r>
          </w:p>
        </w:tc>
        <w:tc>
          <w:tcPr>
            <w:tcW w:w="3150" w:type="dxa"/>
          </w:tcPr>
          <w:p w:rsidR="00E336CD">
            <w:pPr>
              <w:pStyle w:val="Normal10"/>
              <w:jc w:val="center"/>
              <w:rPr>
                <w:rStyle w:val="DefaultParagraphFont"/>
                <w:sz w:val="18"/>
              </w:rPr>
            </w:pPr>
            <w:r>
              <w:rPr>
                <w:rStyle w:val="DefaultParagraphFont"/>
                <w:sz w:val="18"/>
              </w:rPr>
              <w:t>292 (summer)/152 (winter)</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7.</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Gilboa</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5</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8.</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 xml:space="preserve">Native </w:t>
            </w:r>
            <w:r>
              <w:rPr>
                <w:rStyle w:val="DefaultParagraphFont"/>
                <w:sz w:val="18"/>
              </w:rPr>
              <w:t>Load - Gilboa</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29</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9.</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Gilboa</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NYC Zone</w:t>
            </w:r>
          </w:p>
        </w:tc>
        <w:tc>
          <w:tcPr>
            <w:tcW w:w="3150" w:type="dxa"/>
          </w:tcPr>
          <w:p w:rsidR="00E336CD">
            <w:pPr>
              <w:pStyle w:val="Normal10"/>
              <w:jc w:val="center"/>
              <w:rPr>
                <w:rStyle w:val="DefaultParagraphFont"/>
                <w:sz w:val="18"/>
              </w:rPr>
            </w:pPr>
            <w:r>
              <w:rPr>
                <w:rStyle w:val="DefaultParagraphFont"/>
                <w:sz w:val="18"/>
              </w:rPr>
              <w:t>91</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10.</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Roseton</w:t>
            </w:r>
          </w:p>
        </w:tc>
        <w:tc>
          <w:tcPr>
            <w:tcW w:w="2250" w:type="dxa"/>
          </w:tcPr>
          <w:p w:rsidR="00E336CD">
            <w:pPr>
              <w:pStyle w:val="Normal10"/>
              <w:jc w:val="center"/>
              <w:rPr>
                <w:rStyle w:val="DefaultParagraphFont"/>
                <w:sz w:val="18"/>
              </w:rPr>
            </w:pPr>
            <w:r>
              <w:rPr>
                <w:rStyle w:val="DefaultParagraphFont"/>
                <w:sz w:val="18"/>
              </w:rPr>
              <w:t>Roseton #1/Roseton #2</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9 (Roseton #1)/10 (Roseton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11.</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Roseton</w:t>
            </w:r>
          </w:p>
        </w:tc>
        <w:tc>
          <w:tcPr>
            <w:tcW w:w="2250" w:type="dxa"/>
          </w:tcPr>
          <w:p w:rsidR="00E336CD">
            <w:pPr>
              <w:pStyle w:val="Normal10"/>
              <w:jc w:val="center"/>
              <w:rPr>
                <w:rStyle w:val="DefaultParagraphFont"/>
                <w:sz w:val="18"/>
              </w:rPr>
            </w:pPr>
            <w:r>
              <w:rPr>
                <w:rStyle w:val="DefaultParagraphFont"/>
                <w:sz w:val="18"/>
              </w:rPr>
              <w:t>Roseton #1/Roseton #2</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55 (Roseton #1)/55 (Roseton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12.</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Roseton</w:t>
            </w:r>
          </w:p>
        </w:tc>
        <w:tc>
          <w:tcPr>
            <w:tcW w:w="2250" w:type="dxa"/>
          </w:tcPr>
          <w:p w:rsidR="00E336CD">
            <w:pPr>
              <w:pStyle w:val="Normal10"/>
              <w:jc w:val="center"/>
              <w:rPr>
                <w:rStyle w:val="DefaultParagraphFont"/>
                <w:sz w:val="18"/>
              </w:rPr>
            </w:pPr>
            <w:r>
              <w:rPr>
                <w:rStyle w:val="DefaultParagraphFont"/>
                <w:sz w:val="18"/>
              </w:rPr>
              <w:t>Roseton #1/Roseton #2</w:t>
            </w:r>
          </w:p>
        </w:tc>
        <w:tc>
          <w:tcPr>
            <w:tcW w:w="1710" w:type="dxa"/>
          </w:tcPr>
          <w:p w:rsidR="00E336CD">
            <w:pPr>
              <w:pStyle w:val="Normal10"/>
              <w:jc w:val="center"/>
              <w:rPr>
                <w:rStyle w:val="DefaultParagraphFont"/>
                <w:sz w:val="18"/>
              </w:rPr>
            </w:pPr>
            <w:r>
              <w:rPr>
                <w:rStyle w:val="DefaultParagraphFont"/>
                <w:sz w:val="18"/>
              </w:rPr>
              <w:t>NYC Zone</w:t>
            </w:r>
          </w:p>
        </w:tc>
        <w:tc>
          <w:tcPr>
            <w:tcW w:w="3150" w:type="dxa"/>
          </w:tcPr>
          <w:p w:rsidR="00E336CD">
            <w:pPr>
              <w:pStyle w:val="Normal10"/>
              <w:jc w:val="center"/>
              <w:rPr>
                <w:rStyle w:val="DefaultParagraphFont"/>
                <w:sz w:val="18"/>
              </w:rPr>
            </w:pPr>
            <w:r>
              <w:rPr>
                <w:rStyle w:val="DefaultParagraphFont"/>
                <w:sz w:val="18"/>
              </w:rPr>
              <w:t>175 (Roseton #1)/176 (Roseton #2)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13.</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 xml:space="preserve">Native Load - </w:t>
            </w:r>
            <w:smartTag w:uri="urn:schemas-microsoft-com:office:smarttags" w:element="place">
              <w:smartTag w:uri="urn:schemas-microsoft-com:office:smarttags" w:element="City">
                <w:r>
                  <w:rPr>
                    <w:rStyle w:val="DefaultParagraphFont"/>
                    <w:sz w:val="18"/>
                  </w:rPr>
                  <w:t>Corinth</w:t>
                </w:r>
              </w:smartTag>
            </w:smartTag>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5</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14.</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 xml:space="preserve">Native Load - </w:t>
            </w:r>
            <w:smartTag w:uri="urn:schemas-microsoft-com:office:smarttags" w:element="place">
              <w:smartTag w:uri="urn:schemas-microsoft-com:office:smarttags" w:element="City">
                <w:r>
                  <w:rPr>
                    <w:rStyle w:val="DefaultParagraphFont"/>
                    <w:sz w:val="18"/>
                  </w:rPr>
                  <w:t>Corinth</w:t>
                </w:r>
              </w:smartTag>
            </w:smartTag>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31</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15.</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 xml:space="preserve">Native Load - </w:t>
            </w:r>
            <w:smartTag w:uri="urn:schemas-microsoft-com:office:smarttags" w:element="place">
              <w:smartTag w:uri="urn:schemas-microsoft-com:office:smarttags" w:element="City">
                <w:r>
                  <w:rPr>
                    <w:rStyle w:val="DefaultParagraphFont"/>
                    <w:sz w:val="18"/>
                  </w:rPr>
                  <w:t>Corinth</w:t>
                </w:r>
              </w:smartTag>
            </w:smartTag>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NYC Zone</w:t>
            </w:r>
          </w:p>
        </w:tc>
        <w:tc>
          <w:tcPr>
            <w:tcW w:w="3150" w:type="dxa"/>
          </w:tcPr>
          <w:p w:rsidR="00E336CD">
            <w:pPr>
              <w:pStyle w:val="Normal10"/>
              <w:jc w:val="center"/>
              <w:rPr>
                <w:rStyle w:val="DefaultParagraphFont"/>
                <w:sz w:val="18"/>
              </w:rPr>
            </w:pPr>
            <w:r>
              <w:rPr>
                <w:rStyle w:val="DefaultParagraphFont"/>
                <w:sz w:val="18"/>
              </w:rPr>
              <w:t>98</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16.</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Sithe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34</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17.</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Sithe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192</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18.</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Sithe</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NYC Zone</w:t>
            </w:r>
          </w:p>
        </w:tc>
        <w:tc>
          <w:tcPr>
            <w:tcW w:w="3150" w:type="dxa"/>
          </w:tcPr>
          <w:p w:rsidR="00E336CD">
            <w:pPr>
              <w:pStyle w:val="Normal10"/>
              <w:jc w:val="center"/>
              <w:rPr>
                <w:rStyle w:val="DefaultParagraphFont"/>
                <w:sz w:val="18"/>
              </w:rPr>
            </w:pPr>
            <w:r>
              <w:rPr>
                <w:rStyle w:val="DefaultParagraphFont"/>
                <w:sz w:val="18"/>
              </w:rPr>
              <w:t>611</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19.</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Selkirk</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Millwood Zone</w:t>
            </w:r>
          </w:p>
        </w:tc>
        <w:tc>
          <w:tcPr>
            <w:tcW w:w="3150" w:type="dxa"/>
          </w:tcPr>
          <w:p w:rsidR="00E336CD">
            <w:pPr>
              <w:pStyle w:val="Normal10"/>
              <w:jc w:val="center"/>
              <w:rPr>
                <w:rStyle w:val="DefaultParagraphFont"/>
                <w:sz w:val="18"/>
              </w:rPr>
            </w:pPr>
            <w:r>
              <w:rPr>
                <w:rStyle w:val="DefaultParagraphFont"/>
                <w:sz w:val="18"/>
              </w:rPr>
              <w:t>11</w:t>
            </w:r>
          </w:p>
        </w:tc>
      </w:tr>
      <w:tr w:rsidTr="001D1D60">
        <w:tblPrEx>
          <w:tblW w:w="0" w:type="auto"/>
          <w:tblInd w:w="1188" w:type="dxa"/>
          <w:tblLayout w:type="fixed"/>
          <w:tblLook w:val="0000"/>
        </w:tblPrEx>
        <w:tc>
          <w:tcPr>
            <w:tcW w:w="468" w:type="dxa"/>
          </w:tcPr>
          <w:p w:rsidR="00E336CD">
            <w:pPr>
              <w:pStyle w:val="Normal10"/>
              <w:jc w:val="right"/>
              <w:rPr>
                <w:rStyle w:val="DefaultParagraphFont"/>
                <w:sz w:val="18"/>
              </w:rPr>
            </w:pPr>
            <w:r>
              <w:rPr>
                <w:rStyle w:val="DefaultParagraphFont"/>
                <w:sz w:val="18"/>
              </w:rPr>
              <w:t>20.</w:t>
            </w:r>
          </w:p>
        </w:tc>
        <w:tc>
          <w:tcPr>
            <w:tcW w:w="1680" w:type="dxa"/>
          </w:tcPr>
          <w:p w:rsidR="00E336CD">
            <w:pPr>
              <w:pStyle w:val="Normal10"/>
              <w:rPr>
                <w:rStyle w:val="DefaultParagraphFont"/>
                <w:sz w:val="18"/>
              </w:rPr>
            </w:pPr>
            <w:r>
              <w:rPr>
                <w:rStyle w:val="DefaultParagraphFont"/>
                <w:sz w:val="18"/>
              </w:rPr>
              <w:t xml:space="preserve">Con </w:t>
            </w:r>
            <w:smartTag w:uri="urn:schemas-microsoft-com:office:smarttags" w:element="place">
              <w:r>
                <w:rPr>
                  <w:rStyle w:val="DefaultParagraphFont"/>
                  <w:sz w:val="18"/>
                </w:rPr>
                <w:t>Edison</w:t>
              </w:r>
            </w:smartTag>
          </w:p>
        </w:tc>
        <w:tc>
          <w:tcPr>
            <w:tcW w:w="2892" w:type="dxa"/>
          </w:tcPr>
          <w:p w:rsidR="00E336CD">
            <w:pPr>
              <w:pStyle w:val="Normal10"/>
              <w:rPr>
                <w:rStyle w:val="DefaultParagraphFont"/>
                <w:sz w:val="18"/>
              </w:rPr>
            </w:pPr>
            <w:r>
              <w:rPr>
                <w:rStyle w:val="DefaultParagraphFont"/>
                <w:sz w:val="18"/>
              </w:rPr>
              <w:t>Native Load - Selkirk</w:t>
            </w:r>
          </w:p>
        </w:tc>
        <w:tc>
          <w:tcPr>
            <w:tcW w:w="2250" w:type="dxa"/>
          </w:tcPr>
          <w:p w:rsidR="00E336CD" w:rsidP="00E336CD">
            <w:pPr>
              <w:pStyle w:val="Normal10"/>
              <w:jc w:val="center"/>
              <w:rPr>
                <w:rStyle w:val="DefaultParagraphFont"/>
                <w:sz w:val="18"/>
              </w:rPr>
            </w:pPr>
            <w:r>
              <w:rPr>
                <w:rStyle w:val="DefaultParagraphFont"/>
                <w:sz w:val="18"/>
              </w:rPr>
              <w:t>Pleasant Valley</w:t>
            </w:r>
          </w:p>
        </w:tc>
        <w:tc>
          <w:tcPr>
            <w:tcW w:w="1710" w:type="dxa"/>
          </w:tcPr>
          <w:p w:rsidR="00E336CD">
            <w:pPr>
              <w:pStyle w:val="Normal10"/>
              <w:jc w:val="center"/>
              <w:rPr>
                <w:rStyle w:val="DefaultParagraphFont"/>
                <w:sz w:val="18"/>
              </w:rPr>
            </w:pPr>
            <w:r>
              <w:rPr>
                <w:rStyle w:val="DefaultParagraphFont"/>
                <w:sz w:val="18"/>
              </w:rPr>
              <w:t>Dunwoodie Zone</w:t>
            </w:r>
          </w:p>
        </w:tc>
        <w:tc>
          <w:tcPr>
            <w:tcW w:w="3150" w:type="dxa"/>
          </w:tcPr>
          <w:p w:rsidR="00E336CD">
            <w:pPr>
              <w:pStyle w:val="Normal10"/>
              <w:jc w:val="center"/>
              <w:rPr>
                <w:rStyle w:val="DefaultParagraphFont"/>
                <w:sz w:val="18"/>
              </w:rPr>
            </w:pPr>
            <w:r>
              <w:rPr>
                <w:rStyle w:val="DefaultParagraphFont"/>
                <w:sz w:val="18"/>
              </w:rPr>
              <w:t>61</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w:t>
            </w:r>
            <w:r>
              <w:rPr>
                <w:rStyle w:val="DefaultParagraphFont"/>
                <w:sz w:val="18"/>
                <w:szCs w:val="18"/>
              </w:rPr>
              <w:t xml:space="preserve"> Selkirk</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Pleasant Valley</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193</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214</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IP2</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 2</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679</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IP3</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26</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Native Load - </w:t>
            </w:r>
            <w:r>
              <w:rPr>
                <w:rStyle w:val="DefaultParagraphFont"/>
                <w:sz w:val="18"/>
                <w:szCs w:val="18"/>
              </w:rPr>
              <w:t>IP3</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 3</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82</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Dunwoodie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12</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pStyle w:val="Normal10"/>
              <w:rPr>
                <w:rStyle w:val="DefaultParagraphFont"/>
                <w:sz w:val="18"/>
                <w:szCs w:val="18"/>
              </w:rPr>
            </w:pPr>
            <w:r>
              <w:rPr>
                <w:rStyle w:val="DefaultParagraphFont"/>
                <w:sz w:val="18"/>
                <w:szCs w:val="18"/>
              </w:rPr>
              <w:t xml:space="preserve">Con </w:t>
            </w:r>
            <w:smartTag w:uri="urn:schemas-microsoft-com:office:smarttags" w:element="place">
              <w:r>
                <w:rPr>
                  <w:rStyle w:val="DefaultParagraphFont"/>
                  <w:sz w:val="18"/>
                  <w:szCs w:val="18"/>
                </w:rPr>
                <w:t>Edison</w:t>
              </w:r>
            </w:smartTag>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IP Gas Turbine</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Indian Pt.-GT Buchanan</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NYC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36</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NMP1</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Nine Mile Pt. #1</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610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NMP2</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Nine Mile Pt. #2</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460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pStyle w:val="Normal10"/>
              <w:rPr>
                <w:rStyle w:val="DefaultParagraphFont"/>
                <w:sz w:val="18"/>
                <w:szCs w:val="18"/>
              </w:rPr>
            </w:pPr>
            <w:r>
              <w:rPr>
                <w:rStyle w:val="DefaultParagraphFont"/>
                <w:sz w:val="18"/>
                <w:szCs w:val="18"/>
              </w:rPr>
              <w:t>NMPC</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Hydro North</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smartTag w:uri="urn:schemas-microsoft-com:office:smarttags" w:element="place">
              <w:smartTag w:uri="urn:schemas-microsoft-com:office:smarttags" w:element="City">
                <w:r>
                  <w:rPr>
                    <w:rStyle w:val="DefaultParagraphFont"/>
                    <w:sz w:val="18"/>
                    <w:szCs w:val="18"/>
                  </w:rPr>
                  <w:t>Colton</w:t>
                </w:r>
              </w:smartTag>
            </w:smartTag>
            <w:r>
              <w:rPr>
                <w:rStyle w:val="DefaultParagraphFont"/>
                <w:sz w:val="18"/>
                <w:szCs w:val="18"/>
              </w:rPr>
              <w:t xml:space="preserve"> Hydro</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110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Native Load - </w:t>
            </w:r>
            <w:smartTag w:uri="urn:schemas-microsoft-com:office:smarttags" w:element="place">
              <w:smartTag w:uri="urn:schemas-microsoft-com:office:smarttags" w:element="PlaceName">
                <w:r>
                  <w:rPr>
                    <w:rStyle w:val="DefaultParagraphFont"/>
                    <w:sz w:val="18"/>
                    <w:szCs w:val="18"/>
                  </w:rPr>
                  <w:t>Homer</w:t>
                </w:r>
              </w:smartTag>
              <w:r>
                <w:rPr>
                  <w:rStyle w:val="DefaultParagraphFont"/>
                  <w:sz w:val="18"/>
                  <w:szCs w:val="18"/>
                </w:rPr>
                <w:t xml:space="preserve"> </w:t>
              </w:r>
              <w:smartTag w:uri="urn:schemas-microsoft-com:office:smarttags" w:element="PlaceName">
                <w:r>
                  <w:rPr>
                    <w:rStyle w:val="DefaultParagraphFont"/>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863</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 xml:space="preserve">Native Load - </w:t>
            </w:r>
            <w:smartTag w:uri="urn:schemas-microsoft-com:office:smarttags" w:element="place">
              <w:smartTag w:uri="urn:schemas-microsoft-com:office:smarttags" w:element="PlaceName">
                <w:r>
                  <w:rPr>
                    <w:rStyle w:val="DefaultParagraphFont"/>
                    <w:sz w:val="18"/>
                    <w:szCs w:val="18"/>
                  </w:rPr>
                  <w:t>Homer</w:t>
                </w:r>
              </w:smartTag>
              <w:r>
                <w:rPr>
                  <w:rStyle w:val="DefaultParagraphFont"/>
                  <w:sz w:val="18"/>
                  <w:szCs w:val="18"/>
                </w:rPr>
                <w:t xml:space="preserve"> </w:t>
              </w:r>
              <w:smartTag w:uri="urn:schemas-microsoft-com:office:smarttags" w:element="PlaceName">
                <w:r>
                  <w:rPr>
                    <w:rStyle w:val="DefaultParagraphFont"/>
                    <w:sz w:val="18"/>
                    <w:szCs w:val="18"/>
                  </w:rPr>
                  <w:t>City</w:t>
                </w:r>
              </w:smartTag>
            </w:smartTag>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West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100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Allegheny 8&amp;9</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37</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BCLP</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PJM Proxy Bus</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80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LEA (</w:t>
            </w:r>
            <w:smartTag w:uri="urn:schemas-microsoft-com:office:smarttags" w:element="place">
              <w:smartTag w:uri="urn:schemas-microsoft-com:office:smarttags" w:element="City">
                <w:r>
                  <w:rPr>
                    <w:rStyle w:val="DefaultParagraphFont"/>
                    <w:sz w:val="18"/>
                    <w:szCs w:val="18"/>
                  </w:rPr>
                  <w:t>Lockport</w:t>
                </w:r>
              </w:smartTag>
            </w:smartTag>
            <w:r>
              <w:rPr>
                <w:rStyle w:val="DefaultParagraphFont"/>
                <w:sz w:val="18"/>
                <w:szCs w:val="18"/>
              </w:rPr>
              <w:t>)</w:t>
            </w:r>
          </w:p>
        </w:tc>
        <w:tc>
          <w:tcPr>
            <w:tcW w:w="2250" w:type="dxa"/>
            <w:tcBorders>
              <w:top w:val="single" w:sz="4" w:space="0" w:color="auto"/>
              <w:left w:val="single" w:sz="4" w:space="0" w:color="auto"/>
              <w:bottom w:val="single" w:sz="4" w:space="0" w:color="auto"/>
              <w:right w:val="single" w:sz="4" w:space="0" w:color="auto"/>
            </w:tcBorders>
          </w:tcPr>
          <w:p w:rsidR="00E336CD" w:rsidP="00E336CD">
            <w:pPr>
              <w:pStyle w:val="Normal10"/>
              <w:jc w:val="center"/>
              <w:rPr>
                <w:rStyle w:val="DefaultParagraphFont"/>
                <w:sz w:val="18"/>
                <w:szCs w:val="18"/>
              </w:rPr>
            </w:pPr>
            <w:r>
              <w:rPr>
                <w:rStyle w:val="DefaultParagraphFont"/>
                <w:sz w:val="18"/>
                <w:szCs w:val="18"/>
              </w:rPr>
              <w:t>Gardenville</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Central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100</w:t>
            </w:r>
          </w:p>
        </w:tc>
      </w:tr>
      <w:tr w:rsidTr="001D1D60">
        <w:tblPrEx>
          <w:tblW w:w="0" w:type="auto"/>
          <w:tblInd w:w="1188" w:type="dxa"/>
          <w:tblLayout w:type="fixed"/>
          <w:tblLook w:val="0000"/>
        </w:tblPrEx>
        <w:tc>
          <w:tcPr>
            <w:tcW w:w="468" w:type="dxa"/>
            <w:tcBorders>
              <w:top w:val="single" w:sz="4" w:space="0" w:color="auto"/>
              <w:left w:val="single" w:sz="4" w:space="0" w:color="auto"/>
              <w:bottom w:val="single" w:sz="4" w:space="0" w:color="auto"/>
              <w:right w:val="single" w:sz="4" w:space="0" w:color="auto"/>
            </w:tcBorders>
          </w:tcPr>
          <w:p w:rsidR="00E336CD">
            <w:pPr>
              <w:pStyle w:val="Normal10"/>
              <w:jc w:val="right"/>
              <w:rPr>
                <w:rStyle w:val="DefaultParagraphFont"/>
                <w:sz w:val="18"/>
                <w:szCs w:val="18"/>
              </w:rPr>
            </w:pPr>
            <w:r>
              <w:rPr>
                <w:rStyle w:val="DefaultParagraphFont"/>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NYSEG</w:t>
            </w:r>
          </w:p>
        </w:tc>
        <w:tc>
          <w:tcPr>
            <w:tcW w:w="2892" w:type="dxa"/>
            <w:tcBorders>
              <w:top w:val="single" w:sz="4" w:space="0" w:color="auto"/>
              <w:left w:val="single" w:sz="4" w:space="0" w:color="auto"/>
              <w:bottom w:val="single" w:sz="4" w:space="0" w:color="auto"/>
              <w:right w:val="single" w:sz="4" w:space="0" w:color="auto"/>
            </w:tcBorders>
          </w:tcPr>
          <w:p w:rsidR="00E336CD">
            <w:pPr>
              <w:pStyle w:val="Normal10"/>
              <w:rPr>
                <w:rStyle w:val="DefaultParagraphFont"/>
                <w:sz w:val="18"/>
                <w:szCs w:val="18"/>
              </w:rPr>
            </w:pPr>
            <w:r>
              <w:rPr>
                <w:rStyle w:val="DefaultParagraphFont"/>
                <w:sz w:val="18"/>
                <w:szCs w:val="18"/>
              </w:rPr>
              <w:t>Native Load - Gilboa</w:t>
            </w:r>
          </w:p>
        </w:tc>
        <w:tc>
          <w:tcPr>
            <w:tcW w:w="22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Gilboa</w:t>
            </w:r>
          </w:p>
        </w:tc>
        <w:tc>
          <w:tcPr>
            <w:tcW w:w="171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Capital Zone</w:t>
            </w:r>
          </w:p>
        </w:tc>
        <w:tc>
          <w:tcPr>
            <w:tcW w:w="3150" w:type="dxa"/>
            <w:tcBorders>
              <w:top w:val="single" w:sz="4" w:space="0" w:color="auto"/>
              <w:left w:val="single" w:sz="4" w:space="0" w:color="auto"/>
              <w:bottom w:val="single" w:sz="4" w:space="0" w:color="auto"/>
              <w:right w:val="single" w:sz="4" w:space="0" w:color="auto"/>
            </w:tcBorders>
          </w:tcPr>
          <w:p w:rsidR="00E336CD">
            <w:pPr>
              <w:pStyle w:val="Normal10"/>
              <w:jc w:val="center"/>
              <w:rPr>
                <w:rStyle w:val="DefaultParagraphFont"/>
                <w:sz w:val="18"/>
                <w:szCs w:val="18"/>
              </w:rPr>
            </w:pPr>
            <w:r>
              <w:rPr>
                <w:rStyle w:val="DefaultParagraphFont"/>
                <w:sz w:val="18"/>
                <w:szCs w:val="18"/>
              </w:rPr>
              <w:t>99</w:t>
            </w:r>
          </w:p>
        </w:tc>
      </w:tr>
    </w:tbl>
    <w:p w:rsidR="00E336CD">
      <w:pPr>
        <w:pStyle w:val="Normal10"/>
        <w:tabs>
          <w:tab w:val="right" w:pos="9360"/>
        </w:tabs>
        <w:rPr>
          <w:rStyle w:val="DefaultParagraphFont"/>
        </w:rPr>
      </w:pPr>
    </w:p>
    <w:p w:rsidR="00E336CD">
      <w:pPr>
        <w:pStyle w:val="Normal10"/>
        <w:tabs>
          <w:tab w:val="left" w:pos="1080"/>
          <w:tab w:val="left" w:pos="3600"/>
        </w:tabs>
        <w:ind w:left="720" w:hanging="720"/>
        <w:rPr>
          <w:rStyle w:val="DefaultParagraphFont"/>
          <w:sz w:val="16"/>
          <w:szCs w:val="16"/>
        </w:rPr>
      </w:pPr>
    </w:p>
    <w:p w:rsidR="00E336CD" w:rsidP="00E336CD">
      <w:pPr>
        <w:pStyle w:val="Normal10"/>
        <w:tabs>
          <w:tab w:val="left" w:pos="1440"/>
        </w:tabs>
        <w:rPr>
          <w:rStyle w:val="DefaultParagraphFont"/>
        </w:rPr>
      </w:pPr>
    </w:p>
    <w:p w:rsidR="00E336CD" w:rsidRPr="004C6682" w:rsidP="00E336CD">
      <w:pPr>
        <w:pStyle w:val="Normal10"/>
        <w:tabs>
          <w:tab w:val="left" w:pos="1440"/>
        </w:tabs>
        <w:rPr>
          <w:rStyle w:val="DefaultParagraphFont"/>
          <w:strike/>
        </w:rPr>
      </w:pPr>
    </w:p>
    <w:p w:rsidR="00E336CD" w:rsidRPr="004C6682" w:rsidP="00E336CD">
      <w:pPr>
        <w:pStyle w:val="Normal10"/>
        <w:tabs>
          <w:tab w:val="left" w:pos="1440"/>
        </w:tabs>
        <w:rPr>
          <w:rStyle w:val="DefaultParagraphFont"/>
          <w:strike/>
        </w:rPr>
      </w:pPr>
    </w:p>
    <w:p w:rsidR="00E336CD" w:rsidRPr="004C6682" w:rsidP="00E336CD">
      <w:pPr>
        <w:pStyle w:val="Normal10"/>
        <w:tabs>
          <w:tab w:val="left" w:pos="1440"/>
        </w:tabs>
        <w:rPr>
          <w:rStyle w:val="DefaultParagraphFont"/>
          <w:u w:val="double"/>
        </w:rPr>
      </w:pPr>
    </w:p>
    <w:tbl>
      <w:tblPr>
        <w:tblStyle w:val="TableNormal"/>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Tr="00E336CD">
        <w:tblPrEx>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gridSpan w:val="4"/>
            <w:shd w:val="clear" w:color="auto" w:fill="E6E6E6"/>
          </w:tcPr>
          <w:p w:rsidR="00E336CD" w:rsidRPr="006811D5" w:rsidP="00E336CD">
            <w:pPr>
              <w:pStyle w:val="Normal10"/>
              <w:jc w:val="center"/>
              <w:rPr>
                <w:rStyle w:val="DefaultParagraphFont"/>
                <w:b/>
                <w:bCs/>
              </w:rPr>
            </w:pPr>
            <w:r w:rsidRPr="006811D5">
              <w:rPr>
                <w:rStyle w:val="DefaultParagraphFont"/>
                <w:b/>
                <w:bCs/>
              </w:rPr>
              <w:t>TABLE 3- LIST OF ORIGINAL RESIDUAL TCCS</w:t>
            </w:r>
          </w:p>
        </w:tc>
      </w:tr>
      <w:tr w:rsidTr="00E336CD">
        <w:tblPrEx>
          <w:tblW w:w="4805" w:type="pct"/>
          <w:jc w:val="center"/>
          <w:tblLook w:val="0000"/>
        </w:tblPrEx>
        <w:trPr>
          <w:jc w:val="center"/>
        </w:trPr>
        <w:tc>
          <w:tcPr>
            <w:tcW w:w="1250" w:type="pct"/>
            <w:shd w:val="clear" w:color="auto" w:fill="E6E6E6"/>
          </w:tcPr>
          <w:p w:rsidR="00E336CD" w:rsidRPr="006811D5" w:rsidP="00E336CD">
            <w:pPr>
              <w:pStyle w:val="Normal10"/>
              <w:jc w:val="center"/>
              <w:rPr>
                <w:rStyle w:val="DefaultParagraphFont"/>
                <w:b/>
                <w:bCs/>
                <w:sz w:val="18"/>
              </w:rPr>
            </w:pPr>
            <w:r w:rsidRPr="006811D5">
              <w:rPr>
                <w:rStyle w:val="DefaultParagraphFont"/>
                <w:b/>
                <w:bCs/>
                <w:sz w:val="18"/>
              </w:rPr>
              <w:t>Primary Holder of Original Residual TCCs</w:t>
            </w:r>
          </w:p>
        </w:tc>
        <w:tc>
          <w:tcPr>
            <w:tcW w:w="1250" w:type="pct"/>
            <w:shd w:val="clear" w:color="auto" w:fill="E6E6E6"/>
            <w:vAlign w:val="center"/>
          </w:tcPr>
          <w:p w:rsidR="00E336CD" w:rsidRPr="006811D5" w:rsidP="00E336CD">
            <w:pPr>
              <w:pStyle w:val="Normal10"/>
              <w:jc w:val="center"/>
              <w:rPr>
                <w:rStyle w:val="DefaultParagraphFont"/>
                <w:b/>
                <w:bCs/>
                <w:sz w:val="18"/>
              </w:rPr>
            </w:pPr>
            <w:r w:rsidRPr="006811D5">
              <w:rPr>
                <w:rStyle w:val="DefaultParagraphFont"/>
                <w:b/>
                <w:bCs/>
                <w:sz w:val="18"/>
              </w:rPr>
              <w:t xml:space="preserve">Point of Injection </w:t>
            </w:r>
          </w:p>
        </w:tc>
        <w:tc>
          <w:tcPr>
            <w:tcW w:w="1250" w:type="pct"/>
            <w:shd w:val="clear" w:color="auto" w:fill="E6E6E6"/>
            <w:vAlign w:val="center"/>
          </w:tcPr>
          <w:p w:rsidR="00E336CD" w:rsidRPr="006811D5" w:rsidP="00E336CD">
            <w:pPr>
              <w:pStyle w:val="Normal10"/>
              <w:jc w:val="center"/>
              <w:rPr>
                <w:rStyle w:val="DefaultParagraphFont"/>
                <w:b/>
                <w:bCs/>
                <w:sz w:val="18"/>
              </w:rPr>
            </w:pPr>
            <w:r w:rsidRPr="006811D5">
              <w:rPr>
                <w:rStyle w:val="DefaultParagraphFont"/>
                <w:b/>
                <w:bCs/>
                <w:sz w:val="18"/>
              </w:rPr>
              <w:t>Point of Withdrawal</w:t>
            </w:r>
          </w:p>
        </w:tc>
        <w:tc>
          <w:tcPr>
            <w:tcW w:w="1250" w:type="pct"/>
            <w:shd w:val="clear" w:color="auto" w:fill="E6E6E6"/>
            <w:vAlign w:val="center"/>
          </w:tcPr>
          <w:p w:rsidR="00E336CD" w:rsidRPr="006811D5" w:rsidP="00E336CD">
            <w:pPr>
              <w:pStyle w:val="Normal10"/>
              <w:jc w:val="center"/>
              <w:rPr>
                <w:rStyle w:val="DefaultParagraphFont"/>
                <w:b/>
                <w:bCs/>
                <w:sz w:val="18"/>
              </w:rPr>
            </w:pPr>
            <w:r w:rsidRPr="006811D5">
              <w:rPr>
                <w:rStyle w:val="DefaultParagraphFont"/>
                <w:b/>
                <w:bCs/>
                <w:sz w:val="18"/>
              </w:rPr>
              <w:t>Number of Original Residual TCCs</w:t>
            </w:r>
          </w:p>
        </w:tc>
      </w:tr>
      <w:tr w:rsidTr="00E336CD">
        <w:tblPrEx>
          <w:tblW w:w="4805" w:type="pct"/>
          <w:jc w:val="center"/>
          <w:tblLook w:val="0000"/>
        </w:tblPrEx>
        <w:trPr>
          <w:jc w:val="center"/>
        </w:trPr>
        <w:tc>
          <w:tcPr>
            <w:tcW w:w="1250" w:type="pct"/>
          </w:tcPr>
          <w:p w:rsidR="00E336CD" w:rsidRPr="006811D5" w:rsidP="00E336CD">
            <w:pPr>
              <w:pStyle w:val="Normal10"/>
              <w:jc w:val="center"/>
              <w:rPr>
                <w:rStyle w:val="DefaultParagraphFont"/>
                <w:sz w:val="18"/>
              </w:rPr>
            </w:pPr>
            <w:r w:rsidRPr="006811D5">
              <w:rPr>
                <w:rStyle w:val="DefaultParagraphFont"/>
                <w:sz w:val="18"/>
              </w:rPr>
              <w:t>NYSEG</w:t>
            </w:r>
          </w:p>
        </w:tc>
        <w:tc>
          <w:tcPr>
            <w:tcW w:w="1250" w:type="pct"/>
          </w:tcPr>
          <w:p w:rsidR="00E336CD" w:rsidRPr="006811D5" w:rsidP="00E336CD">
            <w:pPr>
              <w:pStyle w:val="Normal10"/>
              <w:jc w:val="center"/>
              <w:rPr>
                <w:rStyle w:val="DefaultParagraphFont"/>
                <w:sz w:val="18"/>
              </w:rPr>
            </w:pPr>
            <w:r w:rsidRPr="006811D5">
              <w:rPr>
                <w:rStyle w:val="DefaultParagraphFont"/>
                <w:sz w:val="18"/>
              </w:rPr>
              <w:t>West</w:t>
            </w:r>
          </w:p>
        </w:tc>
        <w:tc>
          <w:tcPr>
            <w:tcW w:w="1250" w:type="pct"/>
          </w:tcPr>
          <w:p w:rsidR="00E336CD" w:rsidRPr="006811D5" w:rsidP="00E336CD">
            <w:pPr>
              <w:pStyle w:val="Normal10"/>
              <w:jc w:val="center"/>
              <w:rPr>
                <w:rStyle w:val="DefaultParagraphFont"/>
                <w:sz w:val="18"/>
              </w:rPr>
            </w:pPr>
            <w:smartTag w:uri="urn:schemas-microsoft-com:office:smarttags" w:element="place">
              <w:r w:rsidRPr="006811D5">
                <w:rPr>
                  <w:rStyle w:val="DefaultParagraphFont"/>
                  <w:sz w:val="18"/>
                </w:rPr>
                <w:t>Genesee</w:t>
              </w:r>
            </w:smartTag>
          </w:p>
        </w:tc>
        <w:tc>
          <w:tcPr>
            <w:tcW w:w="1250" w:type="pct"/>
          </w:tcPr>
          <w:p w:rsidR="00E336CD" w:rsidRPr="006811D5" w:rsidP="00E336CD">
            <w:pPr>
              <w:pStyle w:val="Normal10"/>
              <w:jc w:val="center"/>
              <w:rPr>
                <w:rStyle w:val="DefaultParagraphFont"/>
                <w:sz w:val="18"/>
              </w:rPr>
            </w:pPr>
            <w:r w:rsidRPr="006811D5">
              <w:rPr>
                <w:rStyle w:val="DefaultParagraphFont"/>
                <w:sz w:val="18"/>
              </w:rPr>
              <w:t>16</w:t>
            </w:r>
          </w:p>
        </w:tc>
      </w:tr>
      <w:tr w:rsidTr="00E336CD">
        <w:tblPrEx>
          <w:tblW w:w="4805" w:type="pct"/>
          <w:jc w:val="center"/>
          <w:tblLook w:val="0000"/>
        </w:tblPrEx>
        <w:trPr>
          <w:jc w:val="center"/>
        </w:trPr>
        <w:tc>
          <w:tcPr>
            <w:tcW w:w="1250" w:type="pct"/>
          </w:tcPr>
          <w:p w:rsidR="00E336CD" w:rsidRPr="006811D5" w:rsidP="00E336CD">
            <w:pPr>
              <w:pStyle w:val="Normal10"/>
              <w:jc w:val="center"/>
              <w:rPr>
                <w:rStyle w:val="DefaultParagraphFont"/>
                <w:sz w:val="18"/>
              </w:rPr>
            </w:pPr>
            <w:r w:rsidRPr="006811D5">
              <w:rPr>
                <w:rStyle w:val="DefaultParagraphFont"/>
                <w:sz w:val="18"/>
              </w:rPr>
              <w:t>NMPC</w:t>
            </w:r>
          </w:p>
        </w:tc>
        <w:tc>
          <w:tcPr>
            <w:tcW w:w="1250" w:type="pct"/>
          </w:tcPr>
          <w:p w:rsidR="00E336CD" w:rsidRPr="006811D5" w:rsidP="00E336CD">
            <w:pPr>
              <w:pStyle w:val="Normal10"/>
              <w:jc w:val="center"/>
              <w:rPr>
                <w:rStyle w:val="DefaultParagraphFont"/>
                <w:sz w:val="18"/>
              </w:rPr>
            </w:pPr>
            <w:r w:rsidRPr="006811D5">
              <w:rPr>
                <w:rStyle w:val="DefaultParagraphFont"/>
                <w:sz w:val="18"/>
              </w:rPr>
              <w:t>West</w:t>
            </w:r>
          </w:p>
        </w:tc>
        <w:tc>
          <w:tcPr>
            <w:tcW w:w="1250" w:type="pct"/>
          </w:tcPr>
          <w:p w:rsidR="00E336CD" w:rsidRPr="006811D5" w:rsidP="00E336CD">
            <w:pPr>
              <w:pStyle w:val="Normal10"/>
              <w:jc w:val="center"/>
              <w:rPr>
                <w:rStyle w:val="DefaultParagraphFont"/>
                <w:sz w:val="18"/>
              </w:rPr>
            </w:pPr>
            <w:smartTag w:uri="urn:schemas-microsoft-com:office:smarttags" w:element="place">
              <w:r w:rsidRPr="006811D5">
                <w:rPr>
                  <w:rStyle w:val="DefaultParagraphFont"/>
                  <w:sz w:val="18"/>
                </w:rPr>
                <w:t>Genesee</w:t>
              </w:r>
            </w:smartTag>
          </w:p>
        </w:tc>
        <w:tc>
          <w:tcPr>
            <w:tcW w:w="1250" w:type="pct"/>
          </w:tcPr>
          <w:p w:rsidR="00E336CD" w:rsidRPr="006811D5" w:rsidP="00E336CD">
            <w:pPr>
              <w:pStyle w:val="Normal10"/>
              <w:jc w:val="center"/>
              <w:rPr>
                <w:rStyle w:val="DefaultParagraphFont"/>
                <w:sz w:val="18"/>
              </w:rPr>
            </w:pPr>
            <w:r w:rsidRPr="006811D5">
              <w:rPr>
                <w:rStyle w:val="DefaultParagraphFont"/>
                <w:sz w:val="18"/>
              </w:rPr>
              <w:t>23</w:t>
            </w:r>
          </w:p>
        </w:tc>
      </w:tr>
      <w:tr w:rsidTr="00E336CD">
        <w:tblPrEx>
          <w:tblW w:w="4805" w:type="pct"/>
          <w:jc w:val="center"/>
          <w:tblLook w:val="0000"/>
        </w:tblPrEx>
        <w:trPr>
          <w:jc w:val="center"/>
        </w:trPr>
        <w:tc>
          <w:tcPr>
            <w:tcW w:w="1250" w:type="pct"/>
          </w:tcPr>
          <w:p w:rsidR="00E336CD" w:rsidRPr="006811D5" w:rsidP="00E336CD">
            <w:pPr>
              <w:pStyle w:val="Normal10"/>
              <w:jc w:val="center"/>
              <w:rPr>
                <w:rStyle w:val="DefaultParagraphFont"/>
                <w:sz w:val="18"/>
              </w:rPr>
            </w:pPr>
            <w:r w:rsidRPr="006811D5">
              <w:rPr>
                <w:rStyle w:val="DefaultParagraphFont"/>
                <w:sz w:val="18"/>
              </w:rPr>
              <w:t>NYPA</w:t>
            </w:r>
          </w:p>
        </w:tc>
        <w:tc>
          <w:tcPr>
            <w:tcW w:w="1250" w:type="pct"/>
          </w:tcPr>
          <w:p w:rsidR="00E336CD" w:rsidRPr="006811D5" w:rsidP="00E336CD">
            <w:pPr>
              <w:pStyle w:val="Normal10"/>
              <w:jc w:val="center"/>
              <w:rPr>
                <w:rStyle w:val="DefaultParagraphFont"/>
                <w:sz w:val="18"/>
              </w:rPr>
            </w:pPr>
            <w:r w:rsidRPr="006811D5">
              <w:rPr>
                <w:rStyle w:val="DefaultParagraphFont"/>
                <w:sz w:val="18"/>
              </w:rPr>
              <w:t>West</w:t>
            </w:r>
          </w:p>
        </w:tc>
        <w:tc>
          <w:tcPr>
            <w:tcW w:w="1250" w:type="pct"/>
          </w:tcPr>
          <w:p w:rsidR="00E336CD" w:rsidRPr="006811D5" w:rsidP="00E336CD">
            <w:pPr>
              <w:pStyle w:val="Normal10"/>
              <w:jc w:val="center"/>
              <w:rPr>
                <w:rStyle w:val="DefaultParagraphFont"/>
                <w:sz w:val="18"/>
              </w:rPr>
            </w:pPr>
            <w:smartTag w:uri="urn:schemas-microsoft-com:office:smarttags" w:element="place">
              <w:r w:rsidRPr="006811D5">
                <w:rPr>
                  <w:rStyle w:val="DefaultParagraphFont"/>
                  <w:sz w:val="18"/>
                </w:rPr>
                <w:t>Genesee</w:t>
              </w:r>
            </w:smartTag>
          </w:p>
        </w:tc>
        <w:tc>
          <w:tcPr>
            <w:tcW w:w="1250" w:type="pct"/>
          </w:tcPr>
          <w:p w:rsidR="00E336CD" w:rsidRPr="006811D5" w:rsidP="00E336CD">
            <w:pPr>
              <w:pStyle w:val="Normal10"/>
              <w:jc w:val="center"/>
              <w:rPr>
                <w:rStyle w:val="DefaultParagraphFont"/>
                <w:sz w:val="18"/>
              </w:rPr>
            </w:pPr>
            <w:r w:rsidRPr="006811D5">
              <w:rPr>
                <w:rStyle w:val="DefaultParagraphFont"/>
                <w:sz w:val="18"/>
              </w:rPr>
              <w:t>28</w:t>
            </w:r>
          </w:p>
        </w:tc>
      </w:tr>
      <w:tr w:rsidTr="00E336CD">
        <w:tblPrEx>
          <w:tblW w:w="4805" w:type="pct"/>
          <w:jc w:val="center"/>
          <w:tblLook w:val="0000"/>
        </w:tblPrEx>
        <w:trPr>
          <w:jc w:val="center"/>
        </w:trPr>
        <w:tc>
          <w:tcPr>
            <w:tcW w:w="1250" w:type="pct"/>
          </w:tcPr>
          <w:p w:rsidR="00E336CD" w:rsidRPr="006811D5" w:rsidP="00E336CD">
            <w:pPr>
              <w:pStyle w:val="Normal10"/>
              <w:jc w:val="center"/>
              <w:rPr>
                <w:rStyle w:val="DefaultParagraphFont"/>
                <w:sz w:val="18"/>
              </w:rPr>
            </w:pPr>
            <w:r w:rsidRPr="006811D5">
              <w:rPr>
                <w:rStyle w:val="DefaultParagraphFont"/>
                <w:sz w:val="18"/>
              </w:rPr>
              <w:t>RG&amp;E</w:t>
            </w:r>
          </w:p>
        </w:tc>
        <w:tc>
          <w:tcPr>
            <w:tcW w:w="1250" w:type="pct"/>
          </w:tcPr>
          <w:p w:rsidR="00E336CD" w:rsidRPr="006811D5" w:rsidP="00E336CD">
            <w:pPr>
              <w:pStyle w:val="Normal10"/>
              <w:jc w:val="center"/>
              <w:rPr>
                <w:rStyle w:val="DefaultParagraphFont"/>
                <w:sz w:val="18"/>
              </w:rPr>
            </w:pPr>
            <w:r w:rsidRPr="006811D5">
              <w:rPr>
                <w:rStyle w:val="DefaultParagraphFont"/>
                <w:sz w:val="18"/>
              </w:rPr>
              <w:t>West</w:t>
            </w:r>
          </w:p>
        </w:tc>
        <w:tc>
          <w:tcPr>
            <w:tcW w:w="1250" w:type="pct"/>
          </w:tcPr>
          <w:p w:rsidR="00E336CD" w:rsidRPr="006811D5" w:rsidP="00E336CD">
            <w:pPr>
              <w:pStyle w:val="Normal10"/>
              <w:jc w:val="center"/>
              <w:rPr>
                <w:rStyle w:val="DefaultParagraphFont"/>
                <w:sz w:val="18"/>
              </w:rPr>
            </w:pPr>
            <w:smartTag w:uri="urn:schemas-microsoft-com:office:smarttags" w:element="place">
              <w:r w:rsidRPr="006811D5">
                <w:rPr>
                  <w:rStyle w:val="DefaultParagraphFont"/>
                  <w:sz w:val="18"/>
                </w:rPr>
                <w:t>Genesee</w:t>
              </w:r>
            </w:smartTag>
          </w:p>
        </w:tc>
        <w:tc>
          <w:tcPr>
            <w:tcW w:w="1250" w:type="pct"/>
          </w:tcPr>
          <w:p w:rsidR="00E336CD" w:rsidRPr="006811D5" w:rsidP="00E336CD">
            <w:pPr>
              <w:pStyle w:val="Normal10"/>
              <w:jc w:val="center"/>
              <w:rPr>
                <w:rStyle w:val="DefaultParagraphFont"/>
                <w:sz w:val="18"/>
              </w:rPr>
            </w:pPr>
            <w:r w:rsidRPr="006811D5">
              <w:rPr>
                <w:rStyle w:val="DefaultParagraphFont"/>
                <w:sz w:val="18"/>
              </w:rPr>
              <w:t>3</w:t>
            </w:r>
          </w:p>
        </w:tc>
      </w:tr>
    </w:tbl>
    <w:p w:rsidR="00E336CD" w:rsidP="00E336CD">
      <w:pPr>
        <w:pStyle w:val="Normal10"/>
        <w:tabs>
          <w:tab w:val="left" w:pos="1440"/>
        </w:tabs>
        <w:jc w:val="center"/>
        <w:rPr>
          <w:rStyle w:val="DefaultParagraphFont"/>
        </w:rPr>
      </w:pPr>
    </w:p>
    <w:sectPr w:rsidSect="00E336CD">
      <w:headerReference w:type="even" r:id="rId77"/>
      <w:headerReference w:type="default" r:id="rId78"/>
      <w:footerReference w:type="even" r:id="rId79"/>
      <w:footerReference w:type="default" r:id="rId80"/>
      <w:headerReference w:type="first" r:id="rId81"/>
      <w:footerReference w:type="first" r:id="rId82"/>
      <w:pgSz w:w="15840" w:h="12240" w:orient="landscape" w:code="1"/>
      <w:pgMar w:top="1440" w:right="720" w:bottom="1440" w:left="72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8/6/2021 - Docket #: ER21-486-001 -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8/6/2021 - Docket #: ER21-486-001 -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 xml:space="preserve">Effective Date: 8/6/2021 - Docket #: ER21-486-001 - </w:t>
    </w:r>
    <w:r>
      <w:rPr>
        <w:rStyle w:val="DefaultParagraphFont"/>
        <w:rFonts w:ascii="Arial" w:eastAsia="Arial" w:hAnsi="Arial" w:cs="Arial"/>
        <w:color w:val="000000"/>
        <w:sz w:val="16"/>
        <w:lang w:val="en-US" w:eastAsia="en-US" w:bidi="ar-SA"/>
      </w:rPr>
      <w:t xml:space="preserve">Page </w:t>
    </w:r>
    <w:r>
      <w:rPr>
        <w:rStyle w:val="DefaultParagraphFont"/>
        <w:rFonts w:ascii="Arial" w:eastAsia="Arial" w:hAnsi="Arial" w:cs="Arial"/>
        <w:color w:val="000000"/>
        <w:sz w:val="16"/>
        <w:lang w:val="en-US" w:eastAsia="en-US" w:bidi="ar-SA"/>
      </w:rPr>
      <w:fldChar w:fldCharType="begin"/>
    </w:r>
    <w:r>
      <w:rPr>
        <w:rStyle w:val="DefaultParagraphFont"/>
        <w:rFonts w:ascii="Arial" w:eastAsia="Arial" w:hAnsi="Arial" w:cs="Arial"/>
        <w:color w:val="000000"/>
        <w:sz w:val="16"/>
        <w:lang w:val="en-US" w:eastAsia="en-US" w:bidi="ar-SA"/>
      </w:rPr>
      <w:instrText>PAGE</w:instrText>
    </w:r>
    <w:r>
      <w:rPr>
        <w:rStyle w:val="DefaultParagraphFont"/>
        <w:rFonts w:ascii="Arial" w:eastAsia="Arial" w:hAnsi="Arial" w:cs="Arial"/>
        <w:color w:val="000000"/>
        <w:sz w:val="16"/>
        <w:lang w:val="en-US" w:eastAsia="en-US" w:bidi="ar-SA"/>
      </w:rPr>
      <w:fldChar w:fldCharType="separate"/>
    </w:r>
    <w:r>
      <w:rPr>
        <w:rStyle w:val="DefaultParagraphFont"/>
        <w:rFonts w:ascii="Arial" w:eastAsia="Arial" w:hAnsi="Arial" w:cs="Arial"/>
        <w:color w:val="000000"/>
        <w:sz w:val="16"/>
        <w:lang w:val="en-US" w:eastAsia="en-US" w:bidi="ar-SA"/>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8/6/2021 - Docket #: ER21-486-001 -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8/1/2017 - Docket #: ER17-1167-002 -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6/30/2010 -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9/19/2018 - Docket #: ER18-2048-000 -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- 19.2 OATT Att M Award of TCCs Other Than Through TCC Auction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- 19.3 OATT Att M Allocation of Residual Transmission Capacity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- 19.3 OATT Att M Allocation of Residual Transmission Capacity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- 19.3 OATT Att M Allocation of Residual Transmission Capacity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- 19.4 OATT Att M Reservation of Transmission Capacity in a Ce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- 19.4 OATT Att M Reservation of Transmission Capacity in a Ce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- 19.4 OATT Att M Reservation of Transmission Capacity in a Ce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- 19.5 OATT Att M Reservation of Transmission Capacity in a 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- 19.5 OATT Att M Reservation of Transmission Capacity in a Ce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- 19.5 OATT Att M Reservation of Transmission Capacity in a Ce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- 19.6 OATT Att M Direct Sale of TCCs by Transmission Owners 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- 19.6 OATT Att M Direct Sale of TCCs by Transmission Owners 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- 19.6 OATT Att M Direct Sale of TCCs by Transmission Owners 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- 19.7 OATT Att M Primary Holders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- 19.7 OATT Att M Primary Holders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- 19.7 OATT Att M Primary Holders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Tariffs - Open Access Transmission Tariff (OATT) - 19 OATT Attachment M - Sale And Award Of Transmission Conges - 19.8 OATT Att M Auctions for TCCs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Tariffs - Open Access Transmission Tariff (OATT) - 19 OATT Attachment M - Sale And Award Of Transmission Conges - 19.8 OATT Att M Auctions for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Fonts w:ascii="Times New Roman" w:eastAsia="Times New Roman" w:hAnsi="Times New Roman" w:cs="Times New Roman"/>
        <w:lang w:val="en-US" w:eastAsia="en-US" w:bidi="ar-SA"/>
      </w:rPr>
    </w:pPr>
    <w:r>
      <w:rPr>
        <w:rStyle w:val="DefaultParagraphFont"/>
        <w:rFonts w:ascii="Arial" w:eastAsia="Arial" w:hAnsi="Arial" w:cs="Arial"/>
        <w:color w:val="000000"/>
        <w:sz w:val="16"/>
        <w:lang w:val="en-US" w:eastAsia="en-US" w:bidi="ar-SA"/>
      </w:rPr>
      <w:t>New York Independent System Operator, Inc. - NYISO Tariffs - Open Access Transmission Tariff (OATT) - 19 OATT Attachment M - Sale And Award Of Transmission Conges - 19.8 OATT Att M Auctions for TCCs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- 19.9 OATT Att M Procedures for Sales of TCCs in Each Auction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- 19.9 OATT Att M Procedures for Sales of TCCs in Each Auction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- 19.9 OATT Att M Procedures for Sales of TCCs in Each Auction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- 19.10 OATT Att M End-State Auctions for TCCs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Open Access Transmission Tariff (OATT) - 19 OATT Attachment M - Sale And Award Of Transmission Conges - 19.1 OATT Att M Overview of the Sales of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17EE44F2"/>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 w:type="paragraph" w:customStyle="1" w:styleId="Heading10">
    <w:name w:val="Heading 1_0"/>
    <w:basedOn w:val="Normal0"/>
    <w:next w:val="Normal0"/>
    <w:link w:val="Heading1Char"/>
    <w:qFormat/>
    <w:rsid w:val="002922D3"/>
    <w:pPr>
      <w:keepNext/>
      <w:spacing w:before="240" w:after="240"/>
      <w:ind w:left="720" w:hanging="720"/>
      <w:outlineLvl w:val="0"/>
    </w:pPr>
    <w:rPr>
      <w:b/>
    </w:rPr>
  </w:style>
  <w:style w:type="paragraph" w:customStyle="1" w:styleId="Normal0">
    <w:name w:val="Normal_0"/>
    <w:qFormat/>
    <w:rsid w:val="002922D3"/>
    <w:pPr>
      <w:widowControl w:val="0"/>
    </w:pPr>
    <w:rPr>
      <w:snapToGrid w:val="0"/>
      <w:sz w:val="24"/>
    </w:rPr>
  </w:style>
  <w:style w:type="character" w:customStyle="1" w:styleId="Heading1Char">
    <w:name w:val="Heading 1 Char"/>
    <w:basedOn w:val="DefaultParagraphFont"/>
    <w:link w:val="Heading10"/>
    <w:rsid w:val="002922D3"/>
    <w:rPr>
      <w:b/>
      <w:snapToGrid w:val="0"/>
      <w:sz w:val="24"/>
    </w:rPr>
  </w:style>
  <w:style w:type="paragraph" w:customStyle="1" w:styleId="Heading20">
    <w:name w:val="Heading 2_0"/>
    <w:basedOn w:val="Normal1"/>
    <w:next w:val="Normal1"/>
    <w:link w:val="Heading2Char"/>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
    <w:name w:val="Heading 2 Char"/>
    <w:basedOn w:val="DefaultParagraphFont"/>
    <w:link w:val="Heading20"/>
    <w:uiPriority w:val="99"/>
    <w:locked/>
    <w:rPr>
      <w:b/>
      <w:sz w:val="24"/>
      <w:szCs w:val="24"/>
    </w:rPr>
  </w:style>
  <w:style w:type="paragraph" w:customStyle="1" w:styleId="Bodypara">
    <w:name w:val="Body para"/>
    <w:basedOn w:val="Normal1"/>
    <w:uiPriority w:val="99"/>
    <w:pPr>
      <w:spacing w:line="480" w:lineRule="auto"/>
      <w:ind w:firstLine="720"/>
    </w:pPr>
  </w:style>
  <w:style w:type="paragraph" w:customStyle="1" w:styleId="Heading30">
    <w:name w:val="Heading 3_0"/>
    <w:basedOn w:val="Normal1"/>
    <w:next w:val="Normal1"/>
    <w:link w:val="Heading3Char"/>
    <w:uiPriority w:val="99"/>
    <w:qFormat/>
    <w:pPr>
      <w:keepNext/>
      <w:keepLines/>
      <w:tabs>
        <w:tab w:val="left" w:pos="1080"/>
      </w:tabs>
      <w:spacing w:before="240" w:after="240"/>
      <w:ind w:left="1080" w:right="634" w:hanging="1080"/>
      <w:outlineLvl w:val="2"/>
    </w:pPr>
    <w:rPr>
      <w:b/>
    </w:rPr>
  </w:style>
  <w:style w:type="character" w:customStyle="1" w:styleId="Heading3Char">
    <w:name w:val="Heading 3 Char"/>
    <w:basedOn w:val="DefaultParagraphFont"/>
    <w:link w:val="Heading30"/>
    <w:uiPriority w:val="99"/>
    <w:rPr>
      <w:b/>
      <w:sz w:val="24"/>
      <w:szCs w:val="24"/>
    </w:rPr>
  </w:style>
  <w:style w:type="paragraph" w:customStyle="1" w:styleId="Heading21">
    <w:name w:val="Heading 2_1"/>
    <w:basedOn w:val="Normal2"/>
    <w:next w:val="Normal2"/>
    <w:link w:val="Heading2Char0"/>
    <w:uiPriority w:val="99"/>
    <w:qFormat/>
    <w:rsid w:val="001C1D64"/>
    <w:pPr>
      <w:keepNext/>
      <w:pageBreakBefore/>
      <w:tabs>
        <w:tab w:val="left" w:pos="1080"/>
      </w:tabs>
      <w:spacing w:before="240" w:after="240"/>
      <w:ind w:left="1080" w:right="14" w:hanging="1080"/>
      <w:outlineLvl w:val="1"/>
    </w:pPr>
    <w:rPr>
      <w:b/>
    </w:rPr>
  </w:style>
  <w:style w:type="paragraph" w:customStyle="1" w:styleId="Normal2">
    <w:name w:val="Normal_2"/>
    <w:qFormat/>
    <w:rsid w:val="001C1D64"/>
    <w:rPr>
      <w:sz w:val="24"/>
      <w:szCs w:val="24"/>
    </w:rPr>
  </w:style>
  <w:style w:type="character" w:customStyle="1" w:styleId="Heading2Char0">
    <w:name w:val="Heading 2 Char_0"/>
    <w:basedOn w:val="DefaultParagraphFont"/>
    <w:link w:val="Heading21"/>
    <w:uiPriority w:val="99"/>
    <w:locked/>
    <w:rsid w:val="001C1D64"/>
    <w:rPr>
      <w:b/>
      <w:sz w:val="24"/>
      <w:szCs w:val="24"/>
    </w:rPr>
  </w:style>
  <w:style w:type="paragraph" w:customStyle="1" w:styleId="Heading31">
    <w:name w:val="Heading 3_1"/>
    <w:basedOn w:val="Normal2"/>
    <w:next w:val="Normal2"/>
    <w:link w:val="Heading3Char0"/>
    <w:uiPriority w:val="99"/>
    <w:qFormat/>
    <w:rsid w:val="001C1D64"/>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sid w:val="001C1D64"/>
    <w:rPr>
      <w:b/>
      <w:sz w:val="24"/>
      <w:szCs w:val="24"/>
    </w:rPr>
  </w:style>
  <w:style w:type="paragraph" w:customStyle="1" w:styleId="Bodypara0">
    <w:name w:val="Body para_0"/>
    <w:basedOn w:val="Normal2"/>
    <w:uiPriority w:val="99"/>
    <w:rsid w:val="001C1D64"/>
    <w:pPr>
      <w:spacing w:line="480" w:lineRule="auto"/>
      <w:ind w:firstLine="720"/>
    </w:pPr>
  </w:style>
  <w:style w:type="paragraph" w:customStyle="1" w:styleId="Heading40">
    <w:name w:val="Heading 4_0"/>
    <w:basedOn w:val="Normal2"/>
    <w:next w:val="Normal2"/>
    <w:link w:val="Heading4Char"/>
    <w:uiPriority w:val="99"/>
    <w:qFormat/>
    <w:rsid w:val="001C1D64"/>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1C1D64"/>
    <w:rPr>
      <w:b/>
      <w:sz w:val="24"/>
      <w:szCs w:val="24"/>
    </w:rPr>
  </w:style>
  <w:style w:type="paragraph" w:customStyle="1" w:styleId="subhead">
    <w:name w:val="subhead"/>
    <w:basedOn w:val="Normal2"/>
    <w:uiPriority w:val="99"/>
    <w:rsid w:val="00183520"/>
    <w:pPr>
      <w:keepNext/>
      <w:spacing w:before="240" w:after="240"/>
      <w:ind w:left="2160" w:hanging="1440"/>
    </w:pPr>
    <w:rPr>
      <w:b/>
    </w:rPr>
  </w:style>
  <w:style w:type="paragraph" w:customStyle="1" w:styleId="alphapara">
    <w:name w:val="alpha para"/>
    <w:basedOn w:val="Bodypara0"/>
    <w:link w:val="alphaparaChar"/>
    <w:uiPriority w:val="99"/>
    <w:rsid w:val="001C1D64"/>
    <w:pPr>
      <w:ind w:left="1440" w:hanging="720"/>
    </w:pPr>
  </w:style>
  <w:style w:type="character" w:customStyle="1" w:styleId="alphaparaChar">
    <w:name w:val="alpha para Char"/>
    <w:basedOn w:val="DefaultParagraphFont"/>
    <w:link w:val="alphapara"/>
    <w:uiPriority w:val="99"/>
    <w:locked/>
    <w:rsid w:val="001C1D64"/>
    <w:rPr>
      <w:sz w:val="24"/>
      <w:szCs w:val="24"/>
    </w:rPr>
  </w:style>
  <w:style w:type="paragraph" w:customStyle="1" w:styleId="Bulletpara">
    <w:name w:val="Bullet para"/>
    <w:basedOn w:val="Normal2"/>
    <w:uiPriority w:val="99"/>
    <w:rsid w:val="001C1D64"/>
    <w:pPr>
      <w:numPr>
        <w:numId w:val="22"/>
      </w:numPr>
      <w:tabs>
        <w:tab w:val="left" w:pos="900"/>
      </w:tabs>
      <w:spacing w:before="120" w:after="120"/>
    </w:pPr>
  </w:style>
  <w:style w:type="paragraph" w:customStyle="1" w:styleId="Heading22">
    <w:name w:val="Heading 2_2"/>
    <w:basedOn w:val="Normal3"/>
    <w:next w:val="Normal3"/>
    <w:qFormat/>
    <w:rsid w:val="00A33195"/>
    <w:pPr>
      <w:keepNext/>
      <w:tabs>
        <w:tab w:val="left" w:pos="1080"/>
      </w:tabs>
      <w:spacing w:before="240" w:after="240"/>
      <w:ind w:left="1080" w:right="14" w:hanging="1080"/>
      <w:outlineLvl w:val="1"/>
    </w:pPr>
    <w:rPr>
      <w:b/>
    </w:rPr>
  </w:style>
  <w:style w:type="paragraph" w:customStyle="1" w:styleId="Normal3">
    <w:name w:val="Normal_3"/>
    <w:qFormat/>
    <w:rsid w:val="00A33195"/>
    <w:pPr>
      <w:widowControl w:val="0"/>
    </w:pPr>
    <w:rPr>
      <w:snapToGrid w:val="0"/>
      <w:sz w:val="24"/>
    </w:rPr>
  </w:style>
  <w:style w:type="paragraph" w:customStyle="1" w:styleId="Bodypara1">
    <w:name w:val="Body para_1"/>
    <w:basedOn w:val="Normal3"/>
    <w:link w:val="BodyparaChar"/>
    <w:rsid w:val="00A33195"/>
    <w:pPr>
      <w:spacing w:line="480" w:lineRule="auto"/>
      <w:ind w:firstLine="720"/>
    </w:pPr>
  </w:style>
  <w:style w:type="character" w:customStyle="1" w:styleId="BodyparaChar">
    <w:name w:val="Body para Char"/>
    <w:basedOn w:val="DefaultParagraphFont"/>
    <w:link w:val="Bodypara1"/>
    <w:rsid w:val="00A33195"/>
    <w:rPr>
      <w:snapToGrid w:val="0"/>
      <w:sz w:val="24"/>
    </w:rPr>
  </w:style>
  <w:style w:type="paragraph" w:customStyle="1" w:styleId="Heading23">
    <w:name w:val="Heading 2_3"/>
    <w:basedOn w:val="Normal4"/>
    <w:next w:val="Normal4"/>
    <w:qFormat/>
    <w:rsid w:val="00235BAE"/>
    <w:pPr>
      <w:keepNext/>
      <w:tabs>
        <w:tab w:val="left" w:pos="1080"/>
      </w:tabs>
      <w:spacing w:before="240" w:after="240"/>
      <w:ind w:left="1080" w:right="14" w:hanging="1080"/>
      <w:outlineLvl w:val="1"/>
    </w:pPr>
    <w:rPr>
      <w:b/>
    </w:rPr>
  </w:style>
  <w:style w:type="paragraph" w:customStyle="1" w:styleId="Normal4">
    <w:name w:val="Normal_4"/>
    <w:qFormat/>
    <w:rsid w:val="00235BAE"/>
    <w:pPr>
      <w:widowControl w:val="0"/>
    </w:pPr>
    <w:rPr>
      <w:snapToGrid w:val="0"/>
      <w:sz w:val="24"/>
    </w:rPr>
  </w:style>
  <w:style w:type="character" w:customStyle="1" w:styleId="romannumeralparaChar">
    <w:name w:val="roman numeral para Char"/>
    <w:link w:val="romannumeralpara"/>
    <w:rsid w:val="00D66E9F"/>
    <w:rPr>
      <w:snapToGrid w:val="0"/>
      <w:sz w:val="24"/>
    </w:rPr>
  </w:style>
  <w:style w:type="paragraph" w:customStyle="1" w:styleId="romannumeralpara">
    <w:name w:val="roman numeral para"/>
    <w:basedOn w:val="Normal4"/>
    <w:link w:val="romannumeralparaChar"/>
    <w:rsid w:val="00235BAE"/>
    <w:pPr>
      <w:spacing w:line="480" w:lineRule="auto"/>
      <w:ind w:left="1440" w:hanging="720"/>
    </w:pPr>
  </w:style>
  <w:style w:type="paragraph" w:customStyle="1" w:styleId="Bodypara2">
    <w:name w:val="Body para_2"/>
    <w:basedOn w:val="Normal4"/>
    <w:link w:val="BodyparaChar0"/>
    <w:rsid w:val="00235BAE"/>
    <w:pPr>
      <w:spacing w:line="480" w:lineRule="auto"/>
      <w:ind w:firstLine="720"/>
    </w:pPr>
  </w:style>
  <w:style w:type="character" w:customStyle="1" w:styleId="BodyparaChar0">
    <w:name w:val="Body para Char_0"/>
    <w:link w:val="Bodypara2"/>
    <w:rsid w:val="00235BAE"/>
    <w:rPr>
      <w:snapToGrid w:val="0"/>
      <w:sz w:val="24"/>
    </w:rPr>
  </w:style>
  <w:style w:type="paragraph" w:customStyle="1" w:styleId="Heading24">
    <w:name w:val="Heading 2_4"/>
    <w:basedOn w:val="Normal5"/>
    <w:next w:val="Normal5"/>
    <w:qFormat/>
    <w:rsid w:val="00842708"/>
    <w:pPr>
      <w:keepNext/>
      <w:tabs>
        <w:tab w:val="left" w:pos="1080"/>
      </w:tabs>
      <w:spacing w:before="240" w:after="240"/>
      <w:ind w:left="1080" w:right="14" w:hanging="1080"/>
      <w:outlineLvl w:val="1"/>
    </w:pPr>
    <w:rPr>
      <w:b/>
    </w:rPr>
  </w:style>
  <w:style w:type="paragraph" w:customStyle="1" w:styleId="Normal5">
    <w:name w:val="Normal_5"/>
    <w:qFormat/>
    <w:rsid w:val="00842708"/>
    <w:pPr>
      <w:widowControl w:val="0"/>
    </w:pPr>
    <w:rPr>
      <w:snapToGrid w:val="0"/>
      <w:sz w:val="24"/>
    </w:rPr>
  </w:style>
  <w:style w:type="paragraph" w:customStyle="1" w:styleId="Bodypara3">
    <w:name w:val="Body para_3"/>
    <w:basedOn w:val="Normal5"/>
    <w:link w:val="BodyparaChar1"/>
    <w:rsid w:val="00842708"/>
    <w:pPr>
      <w:spacing w:line="480" w:lineRule="auto"/>
      <w:ind w:firstLine="720"/>
    </w:pPr>
  </w:style>
  <w:style w:type="character" w:customStyle="1" w:styleId="BodyparaChar1">
    <w:name w:val="Body para Char_1"/>
    <w:basedOn w:val="DefaultParagraphFont"/>
    <w:link w:val="Bodypara3"/>
    <w:rsid w:val="00842708"/>
    <w:rPr>
      <w:snapToGrid w:val="0"/>
      <w:sz w:val="24"/>
    </w:rPr>
  </w:style>
  <w:style w:type="table" w:customStyle="1" w:styleId="TableGrid1">
    <w:name w:val="Table Grid1"/>
    <w:basedOn w:val="TableNormal"/>
    <w:next w:val="TableGrid0"/>
    <w:uiPriority w:val="59"/>
    <w:rsid w:val="00E93E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842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5">
    <w:name w:val="Heading 2_5"/>
    <w:basedOn w:val="Normal6"/>
    <w:next w:val="Normal6"/>
    <w:qFormat/>
    <w:rsid w:val="00D94707"/>
    <w:pPr>
      <w:keepNext/>
      <w:tabs>
        <w:tab w:val="left" w:pos="1080"/>
      </w:tabs>
      <w:spacing w:before="240" w:after="240"/>
      <w:ind w:left="1080" w:right="14" w:hanging="1080"/>
      <w:outlineLvl w:val="1"/>
    </w:pPr>
    <w:rPr>
      <w:b/>
    </w:rPr>
  </w:style>
  <w:style w:type="paragraph" w:customStyle="1" w:styleId="Normal6">
    <w:name w:val="Normal_6"/>
    <w:qFormat/>
    <w:rsid w:val="00D436C7"/>
    <w:pPr>
      <w:spacing w:after="200" w:line="276" w:lineRule="auto"/>
    </w:pPr>
    <w:rPr>
      <w:rFonts w:asciiTheme="minorHAnsi" w:eastAsiaTheme="minorHAnsi" w:hAnsiTheme="minorHAnsi" w:cstheme="minorBidi"/>
      <w:sz w:val="22"/>
      <w:szCs w:val="22"/>
    </w:rPr>
  </w:style>
  <w:style w:type="paragraph" w:customStyle="1" w:styleId="Heading32">
    <w:name w:val="Heading 3_2"/>
    <w:basedOn w:val="Normal6"/>
    <w:next w:val="Normal6"/>
    <w:link w:val="Heading3Char1"/>
    <w:qFormat/>
    <w:rsid w:val="00D94707"/>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2"/>
    <w:rsid w:val="00D94707"/>
    <w:rPr>
      <w:b/>
      <w:snapToGrid w:val="0"/>
      <w:sz w:val="24"/>
      <w:lang w:val="en-US" w:eastAsia="en-US" w:bidi="ar-SA"/>
    </w:rPr>
  </w:style>
  <w:style w:type="paragraph" w:customStyle="1" w:styleId="Bodypara4">
    <w:name w:val="Body para_4"/>
    <w:basedOn w:val="Normal6"/>
    <w:rsid w:val="00D94707"/>
    <w:pPr>
      <w:spacing w:line="480" w:lineRule="auto"/>
      <w:ind w:firstLine="720"/>
    </w:pPr>
  </w:style>
  <w:style w:type="paragraph" w:customStyle="1" w:styleId="Heading26">
    <w:name w:val="Heading 2_6"/>
    <w:basedOn w:val="Normal7"/>
    <w:next w:val="Normal7"/>
    <w:link w:val="Heading2Char1"/>
    <w:uiPriority w:val="99"/>
    <w:qFormat/>
    <w:rsid w:val="003F1725"/>
    <w:pPr>
      <w:keepNext/>
      <w:pageBreakBefore/>
      <w:tabs>
        <w:tab w:val="left" w:pos="1080"/>
      </w:tabs>
      <w:spacing w:before="240" w:after="240"/>
      <w:ind w:left="1080" w:right="14" w:hanging="1080"/>
      <w:outlineLvl w:val="1"/>
    </w:pPr>
    <w:rPr>
      <w:b/>
    </w:rPr>
  </w:style>
  <w:style w:type="paragraph" w:customStyle="1" w:styleId="Normal7">
    <w:name w:val="Normal_7"/>
    <w:qFormat/>
    <w:rsid w:val="003F1725"/>
    <w:rPr>
      <w:sz w:val="24"/>
      <w:szCs w:val="24"/>
    </w:rPr>
  </w:style>
  <w:style w:type="character" w:customStyle="1" w:styleId="Heading2Char1">
    <w:name w:val="Heading 2 Char_1"/>
    <w:basedOn w:val="DefaultParagraphFont"/>
    <w:link w:val="Heading26"/>
    <w:uiPriority w:val="99"/>
    <w:locked/>
    <w:rsid w:val="003F1725"/>
    <w:rPr>
      <w:b/>
      <w:sz w:val="24"/>
      <w:szCs w:val="24"/>
    </w:rPr>
  </w:style>
  <w:style w:type="paragraph" w:customStyle="1" w:styleId="Bodypara5">
    <w:name w:val="Body para_5"/>
    <w:basedOn w:val="Normal7"/>
    <w:uiPriority w:val="99"/>
    <w:rsid w:val="003F1725"/>
    <w:pPr>
      <w:spacing w:line="480" w:lineRule="auto"/>
      <w:ind w:firstLine="720"/>
    </w:pPr>
  </w:style>
  <w:style w:type="paragraph" w:customStyle="1" w:styleId="Heading27">
    <w:name w:val="Heading 2_7"/>
    <w:basedOn w:val="Normal8"/>
    <w:next w:val="Normal8"/>
    <w:link w:val="Heading2Char2"/>
    <w:uiPriority w:val="99"/>
    <w:qFormat/>
    <w:rsid w:val="001B06ED"/>
    <w:pPr>
      <w:keepNext/>
      <w:pageBreakBefore/>
      <w:tabs>
        <w:tab w:val="left" w:pos="1080"/>
      </w:tabs>
      <w:spacing w:before="240" w:after="240"/>
      <w:ind w:left="1080" w:right="14" w:hanging="1080"/>
      <w:outlineLvl w:val="1"/>
    </w:pPr>
    <w:rPr>
      <w:b/>
    </w:rPr>
  </w:style>
  <w:style w:type="paragraph" w:customStyle="1" w:styleId="Normal8">
    <w:name w:val="Normal_8"/>
    <w:qFormat/>
    <w:rsid w:val="001B06ED"/>
    <w:pPr>
      <w:spacing w:after="0" w:line="240" w:lineRule="auto"/>
    </w:pPr>
    <w:rPr>
      <w:sz w:val="24"/>
      <w:szCs w:val="24"/>
    </w:rPr>
  </w:style>
  <w:style w:type="character" w:customStyle="1" w:styleId="Heading2Char2">
    <w:name w:val="Heading 2 Char_2"/>
    <w:basedOn w:val="DefaultParagraphFont"/>
    <w:link w:val="Heading27"/>
    <w:uiPriority w:val="99"/>
    <w:locked/>
    <w:rsid w:val="001B06ED"/>
    <w:rPr>
      <w:rFonts w:cs="Times New Roman"/>
      <w:b/>
      <w:sz w:val="24"/>
      <w:szCs w:val="24"/>
    </w:rPr>
  </w:style>
  <w:style w:type="paragraph" w:customStyle="1" w:styleId="Heading33">
    <w:name w:val="Heading 3_3"/>
    <w:basedOn w:val="Normal8"/>
    <w:next w:val="Normal8"/>
    <w:link w:val="Heading3Char2"/>
    <w:uiPriority w:val="99"/>
    <w:qFormat/>
    <w:rsid w:val="001B06E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3"/>
    <w:uiPriority w:val="99"/>
    <w:locked/>
    <w:rsid w:val="001B06ED"/>
    <w:rPr>
      <w:rFonts w:cs="Times New Roman"/>
      <w:b/>
      <w:sz w:val="24"/>
      <w:szCs w:val="24"/>
    </w:rPr>
  </w:style>
  <w:style w:type="paragraph" w:customStyle="1" w:styleId="Bodypara6">
    <w:name w:val="Body para_6"/>
    <w:basedOn w:val="Normal8"/>
    <w:uiPriority w:val="99"/>
    <w:rsid w:val="001B06ED"/>
    <w:pPr>
      <w:spacing w:line="480" w:lineRule="auto"/>
      <w:ind w:firstLine="720"/>
    </w:pPr>
  </w:style>
  <w:style w:type="paragraph" w:customStyle="1" w:styleId="Header0">
    <w:name w:val="Header_0"/>
    <w:basedOn w:val="Normal8"/>
    <w:link w:val="HeaderChar"/>
    <w:uiPriority w:val="99"/>
    <w:rsid w:val="001B06ED"/>
    <w:pPr>
      <w:tabs>
        <w:tab w:val="center" w:pos="4680"/>
        <w:tab w:val="right" w:pos="9360"/>
      </w:tabs>
    </w:pPr>
  </w:style>
  <w:style w:type="character" w:customStyle="1" w:styleId="HeaderChar">
    <w:name w:val="Header Char"/>
    <w:basedOn w:val="DefaultParagraphFont"/>
    <w:link w:val="Header0"/>
    <w:uiPriority w:val="99"/>
    <w:locked/>
    <w:rsid w:val="001B06ED"/>
    <w:rPr>
      <w:rFonts w:cs="Times New Roman"/>
      <w:sz w:val="24"/>
      <w:szCs w:val="24"/>
    </w:rPr>
  </w:style>
  <w:style w:type="paragraph" w:customStyle="1" w:styleId="romannumeralpara0">
    <w:name w:val="roman numeral para_0"/>
    <w:basedOn w:val="Normal8"/>
    <w:uiPriority w:val="99"/>
    <w:rsid w:val="001B06ED"/>
    <w:pPr>
      <w:spacing w:line="480" w:lineRule="auto"/>
      <w:ind w:left="1440" w:hanging="720"/>
    </w:pPr>
  </w:style>
  <w:style w:type="paragraph" w:customStyle="1" w:styleId="Heading28">
    <w:name w:val="Heading 2_8"/>
    <w:basedOn w:val="Normal9"/>
    <w:next w:val="Normal9"/>
    <w:link w:val="Heading2Char3"/>
    <w:uiPriority w:val="99"/>
    <w:qFormat/>
    <w:rsid w:val="001B08F0"/>
    <w:pPr>
      <w:keepNext/>
      <w:pageBreakBefore/>
      <w:tabs>
        <w:tab w:val="left" w:pos="1080"/>
      </w:tabs>
      <w:spacing w:before="240" w:after="240"/>
      <w:ind w:left="1080" w:right="14" w:hanging="1080"/>
      <w:outlineLvl w:val="1"/>
    </w:pPr>
    <w:rPr>
      <w:b/>
    </w:rPr>
  </w:style>
  <w:style w:type="paragraph" w:customStyle="1" w:styleId="Normal9">
    <w:name w:val="Normal_9"/>
    <w:qFormat/>
    <w:rsid w:val="001B08F0"/>
    <w:rPr>
      <w:sz w:val="24"/>
      <w:szCs w:val="24"/>
    </w:rPr>
  </w:style>
  <w:style w:type="character" w:customStyle="1" w:styleId="Heading2Char3">
    <w:name w:val="Heading 2 Char_3"/>
    <w:basedOn w:val="DefaultParagraphFont"/>
    <w:link w:val="Heading28"/>
    <w:uiPriority w:val="99"/>
    <w:locked/>
    <w:rsid w:val="001B08F0"/>
    <w:rPr>
      <w:b/>
      <w:sz w:val="24"/>
      <w:szCs w:val="24"/>
    </w:rPr>
  </w:style>
  <w:style w:type="paragraph" w:customStyle="1" w:styleId="Heading34">
    <w:name w:val="Heading 3_4"/>
    <w:basedOn w:val="Normal9"/>
    <w:next w:val="Normal9"/>
    <w:link w:val="Heading3Char3"/>
    <w:uiPriority w:val="99"/>
    <w:qFormat/>
    <w:rsid w:val="001B08F0"/>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4"/>
    <w:uiPriority w:val="99"/>
    <w:rsid w:val="001B08F0"/>
    <w:rPr>
      <w:b/>
      <w:sz w:val="24"/>
      <w:szCs w:val="24"/>
    </w:rPr>
  </w:style>
  <w:style w:type="paragraph" w:customStyle="1" w:styleId="Bodypara7">
    <w:name w:val="Body para_7"/>
    <w:basedOn w:val="Normal9"/>
    <w:uiPriority w:val="99"/>
    <w:rsid w:val="001B08F0"/>
    <w:pPr>
      <w:spacing w:line="480" w:lineRule="auto"/>
      <w:ind w:firstLine="720"/>
    </w:pPr>
  </w:style>
  <w:style w:type="paragraph" w:customStyle="1" w:styleId="Heading41">
    <w:name w:val="Heading 4_1"/>
    <w:basedOn w:val="Normal9"/>
    <w:next w:val="Normal9"/>
    <w:link w:val="Heading4Char0"/>
    <w:uiPriority w:val="99"/>
    <w:qFormat/>
    <w:rsid w:val="001B08F0"/>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1"/>
    <w:uiPriority w:val="99"/>
    <w:locked/>
    <w:rsid w:val="001B08F0"/>
    <w:rPr>
      <w:b/>
      <w:sz w:val="24"/>
      <w:szCs w:val="24"/>
    </w:rPr>
  </w:style>
  <w:style w:type="paragraph" w:customStyle="1" w:styleId="romannumeralpara1">
    <w:name w:val="roman numeral para_1"/>
    <w:basedOn w:val="Normal9"/>
    <w:uiPriority w:val="99"/>
    <w:rsid w:val="001B08F0"/>
    <w:pPr>
      <w:spacing w:line="480" w:lineRule="auto"/>
      <w:ind w:left="1440" w:hanging="720"/>
    </w:pPr>
  </w:style>
  <w:style w:type="paragraph" w:customStyle="1" w:styleId="Heading29">
    <w:name w:val="Heading 2_9"/>
    <w:basedOn w:val="Normal10"/>
    <w:next w:val="Normal10"/>
    <w:qFormat/>
    <w:rsid w:val="00FD757C"/>
    <w:pPr>
      <w:keepNext/>
      <w:tabs>
        <w:tab w:val="left" w:pos="1080"/>
      </w:tabs>
      <w:spacing w:before="240" w:after="240"/>
      <w:ind w:left="1080" w:right="14" w:hanging="1080"/>
      <w:outlineLvl w:val="1"/>
    </w:pPr>
    <w:rPr>
      <w:b/>
    </w:rPr>
  </w:style>
  <w:style w:type="paragraph" w:customStyle="1" w:styleId="Normal10">
    <w:name w:val="Normal_10"/>
    <w:qFormat/>
    <w:rsid w:val="00FD757C"/>
    <w:pPr>
      <w:widowControl w:val="0"/>
    </w:pPr>
    <w:rPr>
      <w:snapToGrid w:val="0"/>
      <w:sz w:val="24"/>
    </w:rPr>
  </w:style>
  <w:style w:type="paragraph" w:customStyle="1" w:styleId="Bodypara8">
    <w:name w:val="Body para_8"/>
    <w:basedOn w:val="Normal10"/>
    <w:link w:val="BodyparaChar2"/>
    <w:rsid w:val="00FD757C"/>
    <w:pPr>
      <w:spacing w:line="480" w:lineRule="auto"/>
      <w:ind w:firstLine="720"/>
    </w:pPr>
  </w:style>
  <w:style w:type="character" w:customStyle="1" w:styleId="BodyparaChar2">
    <w:name w:val="Body para Char_2"/>
    <w:basedOn w:val="DefaultParagraphFont"/>
    <w:link w:val="Bodypara8"/>
    <w:rsid w:val="00FD757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13.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header" Target="header17.xml" /><Relationship Id="rId37" Type="http://schemas.openxmlformats.org/officeDocument/2006/relationships/footer" Target="footer16.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header" Target="header20.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header" Target="header23.xml" /><Relationship Id="rId49" Type="http://schemas.openxmlformats.org/officeDocument/2006/relationships/footer" Target="footer22.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header" Target="header26.xml" /><Relationship Id="rId55" Type="http://schemas.openxmlformats.org/officeDocument/2006/relationships/footer" Target="footer25.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header" Target="header29.xml" /><Relationship Id="rId61" Type="http://schemas.openxmlformats.org/officeDocument/2006/relationships/footer" Target="footer28.xml" /><Relationship Id="rId62" Type="http://schemas.openxmlformats.org/officeDocument/2006/relationships/footer" Target="footer29.xml" /><Relationship Id="rId63" Type="http://schemas.openxmlformats.org/officeDocument/2006/relationships/header" Target="header30.xml" /><Relationship Id="rId64" Type="http://schemas.openxmlformats.org/officeDocument/2006/relationships/footer" Target="footer30.xml" /><Relationship Id="rId65" Type="http://schemas.openxmlformats.org/officeDocument/2006/relationships/header" Target="header31.xml" /><Relationship Id="rId66" Type="http://schemas.openxmlformats.org/officeDocument/2006/relationships/header" Target="header32.xml" /><Relationship Id="rId67" Type="http://schemas.openxmlformats.org/officeDocument/2006/relationships/footer" Target="footer31.xml" /><Relationship Id="rId68" Type="http://schemas.openxmlformats.org/officeDocument/2006/relationships/footer" Target="footer32.xml" /><Relationship Id="rId69" Type="http://schemas.openxmlformats.org/officeDocument/2006/relationships/header" Target="header33.xml" /><Relationship Id="rId7" Type="http://schemas.openxmlformats.org/officeDocument/2006/relationships/footer" Target="footer1.xml" /><Relationship Id="rId70" Type="http://schemas.openxmlformats.org/officeDocument/2006/relationships/footer" Target="footer33.xml" /><Relationship Id="rId71" Type="http://schemas.openxmlformats.org/officeDocument/2006/relationships/header" Target="header34.xml" /><Relationship Id="rId72" Type="http://schemas.openxmlformats.org/officeDocument/2006/relationships/header" Target="header35.xml" /><Relationship Id="rId73" Type="http://schemas.openxmlformats.org/officeDocument/2006/relationships/footer" Target="footer34.xml" /><Relationship Id="rId74" Type="http://schemas.openxmlformats.org/officeDocument/2006/relationships/footer" Target="footer35.xml" /><Relationship Id="rId75" Type="http://schemas.openxmlformats.org/officeDocument/2006/relationships/header" Target="header36.xml" /><Relationship Id="rId76" Type="http://schemas.openxmlformats.org/officeDocument/2006/relationships/footer" Target="footer36.xml" /><Relationship Id="rId77" Type="http://schemas.openxmlformats.org/officeDocument/2006/relationships/header" Target="header37.xml" /><Relationship Id="rId78" Type="http://schemas.openxmlformats.org/officeDocument/2006/relationships/header" Target="header38.xml" /><Relationship Id="rId79" Type="http://schemas.openxmlformats.org/officeDocument/2006/relationships/footer" Target="footer37.xml" /><Relationship Id="rId8" Type="http://schemas.openxmlformats.org/officeDocument/2006/relationships/footer" Target="footer2.xml" /><Relationship Id="rId80" Type="http://schemas.openxmlformats.org/officeDocument/2006/relationships/footer" Target="footer38.xml" /><Relationship Id="rId81" Type="http://schemas.openxmlformats.org/officeDocument/2006/relationships/header" Target="header39.xml" /><Relationship Id="rId82" Type="http://schemas.openxmlformats.org/officeDocument/2006/relationships/footer" Target="footer39.xml" /><Relationship Id="rId83" Type="http://schemas.openxmlformats.org/officeDocument/2006/relationships/theme" Target="theme/theme1.xml" /><Relationship Id="rId84" Type="http://schemas.openxmlformats.org/officeDocument/2006/relationships/numbering" Target="numbering.xml" /><Relationship Id="rId85" Type="http://schemas.openxmlformats.org/officeDocument/2006/relationships/styles" Target="styles.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F8DA2-B9E7-44B5-A963-31DAB969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2022-08-11T17:17:00Z</dcterms:created>
  <dcterms:modified xsi:type="dcterms:W3CDTF">2022-08-11T17:17:00Z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-1845228784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Termination of Table 1A Contract No. 59.1 - Initial Draft FERC filing</vt:lpwstr>
  </property>
  <property fmtid="{D5CDD505-2E9C-101B-9397-08002B2CF9AE}" pid="10" name="_NewReviewCycle">
    <vt:lpwstr/>
  </property>
  <property fmtid="{D5CDD505-2E9C-101B-9397-08002B2CF9AE}" pid="11" name="_PreviousAdHocReviewCycleID">
    <vt:i4>-255602718</vt:i4>
  </property>
  <property fmtid="{D5CDD505-2E9C-101B-9397-08002B2CF9AE}" pid="12" name="_ReviewingToolsShownOnce">
    <vt:lpwstr/>
  </property>
</Properties>
</file>