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7C" w:rsidRPr="001C0EB9" w:rsidRDefault="00DF7A4D" w:rsidP="003B277C">
      <w:pPr>
        <w:pStyle w:val="Heading2"/>
      </w:pPr>
      <w:bookmarkStart w:id="0" w:name="_Toc263333575"/>
      <w:bookmarkStart w:id="1" w:name="_GoBack"/>
      <w:bookmarkEnd w:id="1"/>
      <w:r w:rsidRPr="001C0EB9">
        <w:t>19.5</w:t>
      </w:r>
      <w:r w:rsidRPr="001C0EB9">
        <w:tab/>
        <w:t>Reservation of Transmission Capacity in a Centralized TCC Auction through RCRR TCCs</w:t>
      </w:r>
      <w:bookmarkEnd w:id="0"/>
    </w:p>
    <w:p w:rsidR="003B277C" w:rsidRDefault="00DF7A4D" w:rsidP="003B277C">
      <w:pPr>
        <w:pStyle w:val="Bodypara"/>
      </w:pPr>
      <w:r w:rsidRPr="001C0EB9">
        <w:rPr>
          <w:b/>
        </w:rPr>
        <w:t>19.</w:t>
      </w:r>
      <w:r w:rsidRPr="001C0EB9">
        <w:rPr>
          <w:b/>
          <w:bCs/>
        </w:rPr>
        <w:t>5.1</w:t>
      </w:r>
      <w:r w:rsidRPr="001C0EB9">
        <w:tab/>
        <w:t xml:space="preserve">Before each Centralized TCC Auction, the ISO shall, subsequent to performing the reduction process pursuant to Section 19.8.2 of this Attachment M, determine </w:t>
      </w:r>
      <w:r w:rsidRPr="001C0EB9">
        <w:t>the number of RCRRs between each of the following contiguous pairs of Load Zones within the NYCA that the ISO shall allocate to Transmission Owners: West –</w:t>
      </w:r>
      <w:r>
        <w:t xml:space="preserve"> Genesee; Genesee – Central; North – Mohawk Valley; Central - Mohawk Valley; Mohawk Valley – Capital;</w:t>
      </w:r>
      <w:r>
        <w:t xml:space="preserve"> Capital - Hudson Valley; Hudson Valley – Millwood; Millwood – Dunwoodie; Dunwoodie - New York City; Dunwoodie - </w:t>
      </w:r>
      <w:smartTag w:uri="urn:schemas-microsoft-com:office:smarttags" w:element="place">
        <w:r>
          <w:t>Long Island</w:t>
        </w:r>
      </w:smartTag>
      <w:r>
        <w:t>.</w:t>
      </w:r>
    </w:p>
    <w:p w:rsidR="003B277C" w:rsidRPr="001C0EB9" w:rsidRDefault="00DF7A4D" w:rsidP="003B277C">
      <w:pPr>
        <w:pStyle w:val="Bodypara"/>
      </w:pPr>
      <w:r w:rsidRPr="001C0EB9">
        <w:t>The ISO shall determine the number of RCRRs that the ISO shall allocate for each of these Load Zone pairs by maximizing the number</w:t>
      </w:r>
      <w:r w:rsidRPr="001C0EB9">
        <w:t xml:space="preserve"> of RCRRs between each Load Zone pair that are simultaneously feasible with all TCCs and Grandfathered Rights listed in Section 19.8.2 (i), and Table 1 ETCNL/TCCs that remain</w:t>
      </w:r>
      <w:r w:rsidRPr="001C0EB9">
        <w:rPr>
          <w:strike/>
        </w:rPr>
        <w:t>s</w:t>
      </w:r>
      <w:r w:rsidRPr="001C0EB9">
        <w:t xml:space="preserve"> after reduction pursuant to Section 19.8.2 of this Attachment M.  </w:t>
      </w:r>
    </w:p>
    <w:p w:rsidR="003B277C" w:rsidRPr="001C0EB9" w:rsidRDefault="00DF7A4D" w:rsidP="003B277C">
      <w:pPr>
        <w:pStyle w:val="Bodypara"/>
      </w:pPr>
      <w:r>
        <w:t>To do so, the</w:t>
      </w:r>
      <w:r>
        <w:t xml:space="preserve"> ISO will use the same optimization model that is used in determining the </w:t>
      </w:r>
      <w:r w:rsidRPr="001C0EB9">
        <w:t>award of TCCs in a Centralized TCC Auction, and will represent each TCC and Grandfathered Right listed in Section 19.8.2 (i), Table 1 ETCNL/TCCs remaining after reduction pursuant to</w:t>
      </w:r>
      <w:r w:rsidRPr="001C0EB9">
        <w:t xml:space="preserve"> Section 19.8.2, and a large number of RCRRs in the model as fixed injections and withdrawals.  The Centralized TCC Auction software will determine the maximum number of RCRRs for each Load Zone pair by maximizing the area under the bid curve Bids</w:t>
      </w:r>
      <w:r w:rsidRPr="001C0EB9">
        <w:rPr>
          <w:vertAlign w:val="subscript"/>
        </w:rPr>
        <w:t>j</w:t>
      </w:r>
      <w:r w:rsidRPr="001C0EB9">
        <w:t xml:space="preserve"> as expr</w:t>
      </w:r>
      <w:r w:rsidRPr="001C0EB9">
        <w:t>essed by the following formula, subject to the constraint that the injections and withdrawals corresponding to the TCCs, Grandfathered Rights listed in Section 19.8.2 (i) and</w:t>
      </w:r>
      <w:r w:rsidRPr="00DC2229">
        <w:t xml:space="preserve"> </w:t>
      </w:r>
      <w:r w:rsidRPr="001C0EB9">
        <w:t>Table 1 ETCNL/TCCs remaining after reduction pursuant to Section 19.8.2, and pote</w:t>
      </w:r>
      <w:r w:rsidRPr="001C0EB9">
        <w:t>ntial RCRRs must correspond to a simultaneously feasible Power Flow:</w:t>
      </w:r>
    </w:p>
    <w:p w:rsidR="003B277C" w:rsidRDefault="00DF7A4D" w:rsidP="003B277C">
      <w:pPr>
        <w:ind w:left="1526" w:firstLine="1714"/>
      </w:pPr>
    </w:p>
    <w:p w:rsidR="003B277C" w:rsidRDefault="00DF7A4D">
      <w:pPr>
        <w:ind w:firstLine="4"/>
      </w:pPr>
      <m:oMathPara>
        <m:oMath>
          <m:nary>
            <m:naryPr>
              <m:chr m:val="∑"/>
              <m:limLoc m:val="undOvr"/>
              <m:supHide m:val="1"/>
              <m:ctrlPr>
                <w:rPr>
                  <w:rFonts w:ascii="Cambria Math" w:hAnsi="Cambria Math"/>
                  <w:i/>
                </w:rPr>
              </m:ctrlPr>
            </m:naryPr>
            <m:sub>
              <m:r>
                <w:rPr>
                  <w:rFonts w:ascii="Cambria Math" w:hAnsi="Cambria Math"/>
                </w:rPr>
                <m:t>j</m:t>
              </m:r>
              <m:r>
                <w:rPr>
                  <w:rFonts w:ascii="Cambria Math" w:hAnsi="Cambria Math"/>
                </w:rPr>
                <m:t>∈</m:t>
              </m:r>
              <m:r>
                <w:rPr>
                  <w:rFonts w:ascii="Cambria Math" w:hAnsi="Cambria Math"/>
                </w:rPr>
                <m:t>N</m:t>
              </m:r>
            </m:sub>
            <m:sup/>
            <m:e>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A</m:t>
                      </m:r>
                    </m:e>
                    <m:sub>
                      <m:r>
                        <w:rPr>
                          <w:rFonts w:ascii="Cambria Math" w:hAnsi="Cambria Math"/>
                        </w:rPr>
                        <m:t>j</m:t>
                      </m:r>
                    </m:sub>
                  </m:sSub>
                </m:sup>
                <m:e>
                  <m:sSub>
                    <m:sSubPr>
                      <m:ctrlPr>
                        <w:rPr>
                          <w:rFonts w:ascii="Cambria Math" w:hAnsi="Cambria Math"/>
                          <w:i/>
                        </w:rPr>
                      </m:ctrlPr>
                    </m:sSubPr>
                    <m:e>
                      <m:r>
                        <w:rPr>
                          <w:rFonts w:ascii="Cambria Math" w:hAnsi="Cambria Math"/>
                        </w:rPr>
                        <m:t xml:space="preserve"> </m:t>
                      </m:r>
                      <m:r>
                        <w:rPr>
                          <w:rFonts w:ascii="Cambria Math" w:hAnsi="Cambria Math"/>
                        </w:rPr>
                        <m:t>Bids</m:t>
                      </m:r>
                    </m:e>
                    <m:sub>
                      <m:r>
                        <w:rPr>
                          <w:rFonts w:ascii="Cambria Math" w:hAnsi="Cambria Math"/>
                        </w:rPr>
                        <m:t>j</m:t>
                      </m:r>
                    </m:sub>
                  </m:sSub>
                </m:e>
              </m:nary>
            </m:e>
          </m:nary>
        </m:oMath>
      </m:oMathPara>
    </w:p>
    <w:p w:rsidR="003B277C" w:rsidRDefault="00DF7A4D" w:rsidP="003B277C">
      <w:pPr>
        <w:keepNext/>
        <w:spacing w:before="120"/>
        <w:ind w:left="2160" w:hanging="720"/>
      </w:pPr>
    </w:p>
    <w:p w:rsidR="003B277C" w:rsidRDefault="00DF7A4D" w:rsidP="008D2015">
      <w:pPr>
        <w:keepNext/>
        <w:spacing w:before="120"/>
        <w:ind w:firstLine="720"/>
      </w:pPr>
      <w:r>
        <w:t>Where,</w:t>
      </w:r>
    </w:p>
    <w:p w:rsidR="003B277C" w:rsidRDefault="00DF7A4D" w:rsidP="003B277C">
      <w:pPr>
        <w:keepNext/>
        <w:spacing w:before="120"/>
        <w:ind w:left="2160" w:hanging="720"/>
      </w:pPr>
      <w:r>
        <w:t>j =</w:t>
      </w:r>
      <w:r>
        <w:tab/>
        <w:t>A Load Zone pair</w:t>
      </w:r>
    </w:p>
    <w:p w:rsidR="003B277C" w:rsidRDefault="00DF7A4D" w:rsidP="003B277C">
      <w:pPr>
        <w:keepNext/>
        <w:spacing w:before="120"/>
        <w:ind w:left="2160" w:hanging="720"/>
      </w:pPr>
      <w:r>
        <w:t>N =</w:t>
      </w:r>
      <w:r>
        <w:tab/>
        <w:t>The set of all Load Zone pairs for which the ISO shall calculate RCRRs</w:t>
      </w:r>
    </w:p>
    <w:p w:rsidR="003B277C" w:rsidRDefault="00DF7A4D" w:rsidP="003B277C">
      <w:pPr>
        <w:keepNext/>
        <w:spacing w:before="120"/>
        <w:ind w:left="2160" w:hanging="720"/>
      </w:pPr>
      <w:r>
        <w:t>A</w:t>
      </w:r>
      <w:r>
        <w:rPr>
          <w:vertAlign w:val="subscript"/>
        </w:rPr>
        <w:t>j</w:t>
      </w:r>
      <w:r>
        <w:t xml:space="preserve"> =</w:t>
      </w:r>
      <w:r>
        <w:tab/>
        <w:t xml:space="preserve">The number of RCRRs defined between Load Zone pair </w:t>
      </w:r>
      <w:r>
        <w:rPr>
          <w:i/>
          <w:iCs/>
        </w:rPr>
        <w:t>j</w:t>
      </w:r>
    </w:p>
    <w:p w:rsidR="003B277C" w:rsidRDefault="00DF7A4D" w:rsidP="003B277C">
      <w:pPr>
        <w:spacing w:before="120"/>
        <w:ind w:left="2160" w:hanging="720"/>
      </w:pPr>
      <w:r>
        <w:t>Bids</w:t>
      </w:r>
      <w:r>
        <w:rPr>
          <w:vertAlign w:val="subscript"/>
        </w:rPr>
        <w:t>j</w:t>
      </w:r>
      <w:r>
        <w:t xml:space="preserve"> =</w:t>
      </w:r>
      <w:r>
        <w:tab/>
        <w:t xml:space="preserve">The line that intersects the y-axis at $1/TCC and which intersects the x-axis at 1 MW, as illustrated in the bid curve illustrated below.  </w:t>
      </w:r>
    </w:p>
    <w:p w:rsidR="003B277C" w:rsidRDefault="00DF7A4D" w:rsidP="003B277C">
      <w:pPr>
        <w:spacing w:before="120"/>
        <w:ind w:left="2160" w:hanging="720"/>
      </w:pPr>
    </w:p>
    <w:p w:rsidR="003B277C" w:rsidRDefault="00DF7A4D" w:rsidP="003C7DD5">
      <w:pPr>
        <w:keepNext/>
        <w:spacing w:after="120"/>
        <w:jc w:val="center"/>
        <w:rPr>
          <w:sz w:val="32"/>
          <w:vertAlign w:val="subscript"/>
        </w:rPr>
      </w:pPr>
      <w:r>
        <w:rPr>
          <w:noProof/>
        </w:rPr>
        <w:pict>
          <v:line id="_x0000_s1042" style="position:absolute;left:0;text-align:left;z-index:251658240;mso-position-horizontal-relative:margin;mso-position-vertical-relative:margin" from="67.05pt,813.8pt" to="333.5pt,813.85pt" strokeweight="1pt">
            <v:stroke startarrowwidth="narrow" endarrowwidth="narrow"/>
            <w10:wrap anchorx="margin" anchory="margin"/>
          </v:line>
        </w:pict>
      </w:r>
      <w:r>
        <w:rPr>
          <w:sz w:val="32"/>
        </w:rPr>
        <w:t>Bid Curve Bids</w:t>
      </w:r>
      <w:r>
        <w:rPr>
          <w:sz w:val="32"/>
          <w:vertAlign w:val="subscript"/>
        </w:rPr>
        <w:t>j</w:t>
      </w:r>
      <w:r>
        <w:rPr>
          <w:sz w:val="32"/>
        </w:rPr>
        <w:t xml:space="preserve"> for RCRR</w:t>
      </w:r>
      <w:r>
        <w:rPr>
          <w:sz w:val="32"/>
          <w:vertAlign w:val="subscript"/>
        </w:rPr>
        <w:t>j</w:t>
      </w:r>
    </w:p>
    <w:p w:rsidR="009323D0" w:rsidRDefault="00DF7A4D" w:rsidP="003C7DD5">
      <w:pPr>
        <w:pStyle w:val="Bodypara"/>
        <w:ind w:firstLine="0"/>
        <w:jc w:val="center"/>
      </w:pPr>
      <w:r>
        <w:pict>
          <v:group id="_x0000_s1026" style="width:215.55pt;height:152.55pt;mso-position-horizontal-relative:char;mso-position-vertical-relative:line" coordorigin="4808,6000" coordsize="4311,3051">
            <v:group id="_x0000_s1027" style="position:absolute;left:5340;top:6000;width:3578;height:2682" coordorigin="5340,6000" coordsize="3578,2682">
              <v:shapetype id="_x0000_t32" coordsize="21600,21600" o:spt="32" o:oned="t" path="m,l21600,21600e" filled="f">
                <v:path arrowok="t" fillok="f" o:connecttype="none"/>
                <o:lock v:ext="edit" shapetype="t"/>
              </v:shapetype>
              <v:shape id="_x0000_s1028" type="#_x0000_t32" style="position:absolute;left:6923;top:7403;width:457;height:322;flip:x" o:connectortype="straight">
                <v:stroke endarrow="classic"/>
              </v:shape>
              <v:group id="_x0000_s1029" style="position:absolute;left:5340;top:6000;width:3578;height:2682" coordorigin="5340,6000" coordsize="3578,2682">
                <v:shape id="_x0000_s1030" style="position:absolute;left:5340;top:6263;width:1170;height:2419" coordsize="1170,2419" path="m,l,2419r1170,l1170,1180,,xe" fillcolor="#d8d8d8" stroked="f">
                  <v:path arrowok="t"/>
                </v:shape>
                <v:shape id="_x0000_s1031" type="#_x0000_t32" style="position:absolute;left:5340;top:6000;width:0;height:2678" o:connectortype="straight"/>
                <v:shape id="_x0000_s1032" type="#_x0000_t32" style="position:absolute;left:5340;top:8678;width:3578;height:4;flip:x" o:connectortype="straight"/>
                <v:shape id="_x0000_s1033" type="#_x0000_t32" style="position:absolute;left:5340;top:6263;width:2422;height:2415" o:connectortype="straight"/>
                <v:shape id="_x0000_s1034" type="#_x0000_t32" style="position:absolute;left:6510;top:7443;width:0;height:1235;flip:y" o:connectortype="straight"/>
              </v:group>
            </v:group>
            <v:group id="_x0000_s1035" style="position:absolute;left:4808;top:6108;width:4311;height:2943" coordorigin="4808,6108" coordsize="4311,2943">
              <v:shapetype id="_x0000_t202" coordsize="21600,21600" o:spt="202" path="m,l,21600r21600,l21600,xe">
                <v:stroke joinstyle="miter"/>
                <v:path gradientshapeok="t" o:connecttype="rect"/>
              </v:shapetype>
              <v:shape id="_x0000_s1036" type="#_x0000_t202" style="position:absolute;left:8280;top:8662;width:839;height:332" filled="f" stroked="f">
                <v:textbox>
                  <w:txbxContent>
                    <w:p w:rsidR="009323D0" w:rsidRPr="0018623D" w:rsidRDefault="00DF7A4D" w:rsidP="009323D0">
                      <w:pPr>
                        <w:rPr>
                          <w:sz w:val="18"/>
                          <w:szCs w:val="18"/>
                        </w:rPr>
                      </w:pPr>
                      <w:r w:rsidRPr="0018623D">
                        <w:rPr>
                          <w:sz w:val="18"/>
                          <w:szCs w:val="18"/>
                        </w:rPr>
                        <w:t>RCRRs</w:t>
                      </w:r>
                    </w:p>
                  </w:txbxContent>
                </v:textbox>
              </v:shape>
              <v:shape id="_x0000_s1037" type="#_x0000_t202" style="position:absolute;left:7565;top:8666;width:388;height:332" filled="f" stroked="f">
                <v:textbox>
                  <w:txbxContent>
                    <w:p w:rsidR="0018623D" w:rsidRPr="0018623D" w:rsidRDefault="00DF7A4D" w:rsidP="0018623D">
                      <w:pPr>
                        <w:rPr>
                          <w:sz w:val="18"/>
                          <w:szCs w:val="18"/>
                        </w:rPr>
                      </w:pPr>
                      <w:r w:rsidRPr="0018623D">
                        <w:rPr>
                          <w:sz w:val="18"/>
                          <w:szCs w:val="18"/>
                        </w:rPr>
                        <w:t>1</w:t>
                      </w:r>
                    </w:p>
                  </w:txbxContent>
                </v:textbox>
              </v:shape>
              <v:shape id="_x0000_s1038" type="#_x0000_t202" style="position:absolute;left:4940;top:8508;width:388;height:332" filled="f" stroked="f">
                <v:textbox>
                  <w:txbxContent>
                    <w:p w:rsidR="0018623D" w:rsidRPr="0018623D" w:rsidRDefault="00DF7A4D" w:rsidP="0018623D">
                      <w:pPr>
                        <w:jc w:val="right"/>
                        <w:rPr>
                          <w:sz w:val="18"/>
                          <w:szCs w:val="18"/>
                        </w:rPr>
                      </w:pPr>
                      <w:r w:rsidRPr="0018623D">
                        <w:rPr>
                          <w:sz w:val="18"/>
                          <w:szCs w:val="18"/>
                        </w:rPr>
                        <w:t>0</w:t>
                      </w:r>
                    </w:p>
                    <w:p w:rsidR="0018623D" w:rsidRDefault="00DF7A4D" w:rsidP="0018623D">
                      <w:pPr>
                        <w:jc w:val="right"/>
                      </w:pPr>
                    </w:p>
                  </w:txbxContent>
                </v:textbox>
              </v:shape>
              <v:shape id="_x0000_s1039" type="#_x0000_t202" style="position:absolute;left:4808;top:6108;width:512;height:332" filled="f" stroked="f">
                <v:textbox>
                  <w:txbxContent>
                    <w:p w:rsidR="0018623D" w:rsidRPr="0018623D" w:rsidRDefault="00DF7A4D" w:rsidP="0018623D">
                      <w:pPr>
                        <w:jc w:val="right"/>
                        <w:rPr>
                          <w:sz w:val="18"/>
                          <w:szCs w:val="18"/>
                        </w:rPr>
                      </w:pPr>
                      <w:r w:rsidRPr="0018623D">
                        <w:rPr>
                          <w:sz w:val="18"/>
                          <w:szCs w:val="18"/>
                        </w:rPr>
                        <w:t>$1</w:t>
                      </w:r>
                    </w:p>
                  </w:txbxContent>
                </v:textbox>
              </v:shape>
              <v:shape id="_x0000_s1040" type="#_x0000_t202" style="position:absolute;left:7112;top:7111;width:1050;height:332" filled="f" stroked="f">
                <v:textbox>
                  <w:txbxContent>
                    <w:p w:rsidR="0018623D" w:rsidRPr="0018623D" w:rsidRDefault="00DF7A4D" w:rsidP="0018623D">
                      <w:pPr>
                        <w:rPr>
                          <w:sz w:val="18"/>
                          <w:szCs w:val="18"/>
                        </w:rPr>
                      </w:pPr>
                      <w:r w:rsidRPr="0018623D">
                        <w:rPr>
                          <w:sz w:val="18"/>
                          <w:szCs w:val="18"/>
                        </w:rPr>
                        <w:t>Slope = -1</w:t>
                      </w:r>
                    </w:p>
                  </w:txbxContent>
                </v:textbox>
              </v:shape>
              <v:shape id="_x0000_s1041" type="#_x0000_t202" style="position:absolute;left:6270;top:8662;width:479;height:389" filled="f" stroked="f">
                <v:textbox>
                  <w:txbxContent>
                    <w:p w:rsidR="00EC7C0E" w:rsidRPr="0018623D" w:rsidRDefault="00DF7A4D" w:rsidP="00EC7C0E">
                      <w:pPr>
                        <w:jc w:val="center"/>
                        <w:rPr>
                          <w:sz w:val="18"/>
                          <w:szCs w:val="18"/>
                        </w:rPr>
                      </w:pPr>
                      <w:r>
                        <w:rPr>
                          <w:sz w:val="18"/>
                          <w:szCs w:val="18"/>
                        </w:rPr>
                        <w:t>A</w:t>
                      </w:r>
                      <w:r w:rsidRPr="00EC7C0E">
                        <w:rPr>
                          <w:sz w:val="18"/>
                          <w:szCs w:val="18"/>
                          <w:vertAlign w:val="subscript"/>
                        </w:rPr>
                        <w:t>j</w:t>
                      </w:r>
                    </w:p>
                  </w:txbxContent>
                </v:textbox>
              </v:shape>
            </v:group>
            <w10:wrap type="none"/>
            <w10:anchorlock/>
          </v:group>
        </w:pict>
      </w:r>
    </w:p>
    <w:p w:rsidR="003B277C" w:rsidRDefault="00DF7A4D" w:rsidP="003B277C">
      <w:pPr>
        <w:pStyle w:val="Bodypara"/>
      </w:pPr>
      <w:r>
        <w:t>The ISO shall determine the POI and POW of each RCRR by assigning the POI and POW that the ISO expects, based on the ISO’s review of historical and other information available to the ISO, to produce positive Congesti</w:t>
      </w:r>
      <w:r>
        <w:t>on payments to a Transmission Owner that converts the RCRR into an RCRR TCC for the majority of the duration, in hours, of the longest duration TCCs to be sold in the relevant Centralized TCC Auction.</w:t>
      </w:r>
    </w:p>
    <w:p w:rsidR="003B277C" w:rsidRDefault="00DF7A4D" w:rsidP="003B277C">
      <w:pPr>
        <w:pStyle w:val="Bodypara"/>
      </w:pPr>
      <w:r w:rsidRPr="0039666F">
        <w:rPr>
          <w:b/>
        </w:rPr>
        <w:t>19.</w:t>
      </w:r>
      <w:r w:rsidRPr="0039666F">
        <w:rPr>
          <w:b/>
          <w:bCs/>
        </w:rPr>
        <w:t>5.</w:t>
      </w:r>
      <w:r w:rsidRPr="00377646">
        <w:rPr>
          <w:b/>
          <w:bCs/>
        </w:rPr>
        <w:t>2</w:t>
      </w:r>
      <w:r>
        <w:tab/>
        <w:t>The ISO shall allocate RCRRs between each Load Z</w:t>
      </w:r>
      <w:r>
        <w:t>one pair to each Transmission Owner in an amount equal to the product of (i) the number of RCRRs between the Load Zone pair for the Centralized TCC Auction as calculated pursuant to Section 19.</w:t>
      </w:r>
      <w:r w:rsidRPr="00334B71">
        <w:t>5.</w:t>
      </w:r>
      <w:r>
        <w:t>1 of this Attachment M, and (ii) the Transmission Owner’s all</w:t>
      </w:r>
      <w:r>
        <w:t>ocation factor for that Load Zone pair, which shall be calculated pursuant to the following formula:</w:t>
      </w:r>
    </w:p>
    <w:tbl>
      <w:tblPr>
        <w:tblStyle w:val="TableGrid1"/>
        <w:tblpPr w:leftFromText="180" w:rightFromText="180" w:vertAnchor="text" w:horzAnchor="page" w:tblpXSpec="center" w:tblpY="113"/>
        <w:tblW w:w="0" w:type="auto"/>
        <w:jc w:val="center"/>
        <w:tblBorders>
          <w:top w:val="nil"/>
          <w:left w:val="nil"/>
          <w:bottom w:val="nil"/>
          <w:right w:val="nil"/>
        </w:tblBorders>
        <w:tblLayout w:type="fixed"/>
        <w:tblLook w:val="04A0" w:firstRow="1" w:lastRow="0" w:firstColumn="1" w:lastColumn="0" w:noHBand="0" w:noVBand="1"/>
      </w:tblPr>
      <w:tblGrid>
        <w:gridCol w:w="2268"/>
        <w:gridCol w:w="2450"/>
      </w:tblGrid>
      <w:tr w:rsidR="007D29ED" w:rsidTr="00E93E69">
        <w:trPr>
          <w:trHeight w:val="350"/>
          <w:jc w:val="center"/>
        </w:trPr>
        <w:tc>
          <w:tcPr>
            <w:tcW w:w="2268" w:type="dxa"/>
            <w:vMerge w:val="restart"/>
            <w:tcBorders>
              <w:right w:val="nil"/>
            </w:tcBorders>
            <w:vAlign w:val="center"/>
          </w:tcPr>
          <w:p w:rsidR="00E93E69" w:rsidRPr="00E93E69" w:rsidRDefault="00DF7A4D" w:rsidP="00E93E69">
            <w:pPr>
              <w:widowControl/>
              <w:jc w:val="center"/>
              <w:rPr>
                <w:noProof/>
                <w:snapToGrid/>
                <w:szCs w:val="18"/>
              </w:rPr>
            </w:pPr>
            <m:oMathPara>
              <m:oMath>
                <m:sSub>
                  <m:sSubPr>
                    <m:ctrlPr>
                      <w:rPr>
                        <w:rFonts w:ascii="Cambria Math" w:hAnsi="Cambria Math"/>
                        <w:noProof/>
                        <w:snapToGrid/>
                        <w:szCs w:val="18"/>
                      </w:rPr>
                    </m:ctrlPr>
                  </m:sSubPr>
                  <m:e>
                    <m:r>
                      <m:rPr>
                        <m:sty m:val="p"/>
                      </m:rPr>
                      <w:rPr>
                        <w:rFonts w:ascii="Cambria Math" w:hAnsi="Cambria Math"/>
                        <w:noProof/>
                        <w:snapToGrid/>
                        <w:szCs w:val="18"/>
                      </w:rPr>
                      <m:t>Allocation Factor</m:t>
                    </m:r>
                  </m:e>
                  <m:sub>
                    <m:r>
                      <m:rPr>
                        <m:sty m:val="p"/>
                      </m:rPr>
                      <w:rPr>
                        <w:rFonts w:ascii="Cambria Math" w:hAnsi="Cambria Math"/>
                        <w:noProof/>
                        <w:snapToGrid/>
                        <w:szCs w:val="18"/>
                      </w:rPr>
                      <m:t>t,j</m:t>
                    </m:r>
                  </m:sub>
                </m:sSub>
                <m:r>
                  <m:rPr>
                    <m:sty m:val="p"/>
                  </m:rPr>
                  <w:rPr>
                    <w:rFonts w:ascii="Cambria Math" w:hAnsi="Cambria Math"/>
                    <w:noProof/>
                    <w:snapToGrid/>
                    <w:szCs w:val="18"/>
                  </w:rPr>
                  <m:t>=</m:t>
                </m:r>
              </m:oMath>
            </m:oMathPara>
          </w:p>
        </w:tc>
        <w:tc>
          <w:tcPr>
            <w:tcW w:w="2450" w:type="dxa"/>
            <w:tcBorders>
              <w:top w:val="nil"/>
              <w:left w:val="nil"/>
              <w:bottom w:val="single" w:sz="4" w:space="0" w:color="auto"/>
            </w:tcBorders>
            <w:vAlign w:val="center"/>
          </w:tcPr>
          <w:p w:rsidR="00E93E69" w:rsidRPr="00E93E69" w:rsidRDefault="00DF7A4D" w:rsidP="00E93E69">
            <w:pPr>
              <w:widowControl/>
              <w:tabs>
                <w:tab w:val="left" w:pos="450"/>
              </w:tabs>
              <w:jc w:val="center"/>
              <w:rPr>
                <w:rFonts w:ascii="Calibri" w:hAnsi="Calibri"/>
                <w:snapToGrid/>
                <w:sz w:val="18"/>
                <w:szCs w:val="18"/>
              </w:rPr>
            </w:pPr>
            <m:oMathPara>
              <m:oMath>
                <m:nary>
                  <m:naryPr>
                    <m:chr m:val="∑"/>
                    <m:limLoc m:val="undOvr"/>
                    <m:supHide m:val="1"/>
                    <m:ctrlPr>
                      <w:rPr>
                        <w:rFonts w:ascii="Cambria Math" w:hAnsi="Cambria Math"/>
                        <w:i/>
                        <w:snapToGrid/>
                        <w:sz w:val="18"/>
                        <w:szCs w:val="18"/>
                      </w:rPr>
                    </m:ctrlPr>
                  </m:naryPr>
                  <m:sub>
                    <m:r>
                      <w:rPr>
                        <w:rFonts w:ascii="Cambria Math" w:hAnsi="Cambria Math"/>
                        <w:snapToGrid/>
                        <w:sz w:val="18"/>
                        <w:szCs w:val="18"/>
                      </w:rPr>
                      <m:t>a</m:t>
                    </m:r>
                    <m:r>
                      <w:rPr>
                        <w:rFonts w:ascii="Cambria Math" w:hAnsi="Cambria Math"/>
                        <w:snapToGrid/>
                        <w:sz w:val="18"/>
                        <w:szCs w:val="18"/>
                      </w:rPr>
                      <m:t>∈</m:t>
                    </m:r>
                    <m:r>
                      <w:rPr>
                        <w:rFonts w:ascii="Cambria Math" w:hAnsi="Cambria Math"/>
                        <w:snapToGrid/>
                        <w:sz w:val="18"/>
                        <w:szCs w:val="18"/>
                      </w:rPr>
                      <m:t>A</m:t>
                    </m: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m:t>
                            </m:r>
                            <m:r>
                              <w:rPr>
                                <w:rFonts w:ascii="Cambria Math" w:hAnsi="Cambria Math"/>
                                <w:snapToGrid/>
                                <w:sz w:val="18"/>
                                <w:szCs w:val="18"/>
                              </w:rPr>
                              <m:t xml:space="preserve">, </m:t>
                            </m:r>
                            <m:r>
                              <w:rPr>
                                <w:rFonts w:ascii="Cambria Math" w:hAnsi="Cambria Math"/>
                                <w:snapToGrid/>
                                <w:sz w:val="18"/>
                                <w:szCs w:val="18"/>
                              </w:rPr>
                              <m:t>j</m:t>
                            </m:r>
                            <m:r>
                              <w:rPr>
                                <w:rFonts w:ascii="Cambria Math" w:hAnsi="Cambria Math"/>
                                <w:snapToGrid/>
                                <w:sz w:val="18"/>
                                <w:szCs w:val="18"/>
                              </w:rPr>
                              <m:t xml:space="preserve">, </m:t>
                            </m:r>
                            <m:r>
                              <w:rPr>
                                <w:rFonts w:ascii="Cambria Math" w:hAnsi="Cambria Math"/>
                                <w:snapToGrid/>
                                <w:sz w:val="18"/>
                                <w:szCs w:val="18"/>
                              </w:rPr>
                              <m:t>a</m:t>
                            </m:r>
                          </m:sub>
                        </m:sSub>
                      </m:e>
                    </m:d>
                  </m:e>
                </m:nary>
              </m:oMath>
            </m:oMathPara>
          </w:p>
        </w:tc>
      </w:tr>
      <w:tr w:rsidR="007D29ED" w:rsidTr="00E93E69">
        <w:trPr>
          <w:jc w:val="center"/>
        </w:trPr>
        <w:tc>
          <w:tcPr>
            <w:tcW w:w="2268" w:type="dxa"/>
            <w:vMerge/>
            <w:tcBorders>
              <w:right w:val="nil"/>
            </w:tcBorders>
            <w:vAlign w:val="center"/>
          </w:tcPr>
          <w:p w:rsidR="00E93E69" w:rsidRPr="00E93E69" w:rsidRDefault="00DF7A4D" w:rsidP="00E93E69">
            <w:pPr>
              <w:widowControl/>
              <w:tabs>
                <w:tab w:val="left" w:pos="450"/>
              </w:tabs>
              <w:jc w:val="center"/>
              <w:rPr>
                <w:rFonts w:ascii="Calibri" w:hAnsi="Calibri"/>
                <w:snapToGrid/>
                <w:szCs w:val="18"/>
              </w:rPr>
            </w:pPr>
          </w:p>
        </w:tc>
        <w:tc>
          <w:tcPr>
            <w:tcW w:w="2450" w:type="dxa"/>
            <w:tcBorders>
              <w:top w:val="single" w:sz="4" w:space="0" w:color="auto"/>
              <w:left w:val="nil"/>
              <w:bottom w:val="nil"/>
            </w:tcBorders>
          </w:tcPr>
          <w:p w:rsidR="00E93E69" w:rsidRPr="00E93E69" w:rsidRDefault="00DF7A4D" w:rsidP="00E93E69">
            <w:pPr>
              <w:widowControl/>
              <w:tabs>
                <w:tab w:val="left" w:pos="450"/>
              </w:tabs>
              <w:rPr>
                <w:snapToGrid/>
                <w:sz w:val="18"/>
                <w:szCs w:val="18"/>
              </w:rPr>
            </w:pPr>
            <m:oMathPara>
              <m:oMath>
                <m:nary>
                  <m:naryPr>
                    <m:chr m:val="∑"/>
                    <m:limLoc m:val="undOvr"/>
                    <m:supHide m:val="1"/>
                    <m:ctrlPr>
                      <w:rPr>
                        <w:rFonts w:ascii="Cambria Math" w:hAnsi="Cambria Math"/>
                        <w:i/>
                        <w:snapToGrid/>
                        <w:sz w:val="18"/>
                        <w:szCs w:val="18"/>
                      </w:rPr>
                    </m:ctrlPr>
                  </m:naryPr>
                  <m:sub>
                    <m:eqArr>
                      <m:eqArrPr>
                        <m:ctrlPr>
                          <w:rPr>
                            <w:rFonts w:ascii="Cambria Math" w:hAnsi="Cambria Math"/>
                            <w:i/>
                            <w:snapToGrid/>
                            <w:sz w:val="18"/>
                            <w:szCs w:val="18"/>
                          </w:rPr>
                        </m:ctrlPr>
                      </m:eqArrPr>
                      <m:e>
                        <m:r>
                          <w:rPr>
                            <w:rFonts w:ascii="Cambria Math" w:hAnsi="Cambria Math"/>
                            <w:snapToGrid/>
                            <w:sz w:val="18"/>
                            <w:szCs w:val="18"/>
                          </w:rPr>
                          <m:t>t</m:t>
                        </m:r>
                        <m:r>
                          <w:rPr>
                            <w:rFonts w:ascii="Cambria Math" w:hAnsi="Cambria Math"/>
                            <w:snapToGrid/>
                            <w:sz w:val="18"/>
                            <w:szCs w:val="18"/>
                          </w:rPr>
                          <m:t>∈</m:t>
                        </m:r>
                        <m:r>
                          <w:rPr>
                            <w:rFonts w:ascii="Cambria Math" w:hAnsi="Cambria Math"/>
                            <w:snapToGrid/>
                            <w:sz w:val="18"/>
                            <w:szCs w:val="18"/>
                          </w:rPr>
                          <m:t>T</m:t>
                        </m:r>
                      </m:e>
                      <m:e>
                        <m:r>
                          <w:rPr>
                            <w:rFonts w:ascii="Cambria Math" w:hAnsi="Cambria Math"/>
                            <w:snapToGrid/>
                            <w:sz w:val="18"/>
                            <w:szCs w:val="18"/>
                          </w:rPr>
                          <m:t>a</m:t>
                        </m:r>
                        <m:r>
                          <w:rPr>
                            <w:rFonts w:ascii="Cambria Math" w:hAnsi="Cambria Math"/>
                            <w:snapToGrid/>
                            <w:sz w:val="18"/>
                            <w:szCs w:val="18"/>
                          </w:rPr>
                          <m:t>∈</m:t>
                        </m:r>
                        <m:r>
                          <w:rPr>
                            <w:rFonts w:ascii="Cambria Math" w:hAnsi="Cambria Math"/>
                            <w:snapToGrid/>
                            <w:sz w:val="18"/>
                            <w:szCs w:val="18"/>
                          </w:rPr>
                          <m:t>A</m:t>
                        </m:r>
                      </m:e>
                    </m:eqAr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m:t>
                            </m:r>
                            <m:r>
                              <w:rPr>
                                <w:rFonts w:ascii="Cambria Math" w:hAnsi="Cambria Math"/>
                                <w:snapToGrid/>
                                <w:sz w:val="18"/>
                                <w:szCs w:val="18"/>
                              </w:rPr>
                              <m:t xml:space="preserve">, </m:t>
                            </m:r>
                            <m:r>
                              <w:rPr>
                                <w:rFonts w:ascii="Cambria Math" w:hAnsi="Cambria Math"/>
                                <w:snapToGrid/>
                                <w:sz w:val="18"/>
                                <w:szCs w:val="18"/>
                              </w:rPr>
                              <m:t>j</m:t>
                            </m:r>
                            <m:r>
                              <w:rPr>
                                <w:rFonts w:ascii="Cambria Math" w:hAnsi="Cambria Math"/>
                                <w:snapToGrid/>
                                <w:sz w:val="18"/>
                                <w:szCs w:val="18"/>
                              </w:rPr>
                              <m:t xml:space="preserve">, </m:t>
                            </m:r>
                            <m:r>
                              <w:rPr>
                                <w:rFonts w:ascii="Cambria Math" w:hAnsi="Cambria Math"/>
                                <w:snapToGrid/>
                                <w:sz w:val="18"/>
                                <w:szCs w:val="18"/>
                              </w:rPr>
                              <m:t>a</m:t>
                            </m:r>
                          </m:sub>
                        </m:sSub>
                      </m:e>
                    </m:d>
                  </m:e>
                </m:nary>
              </m:oMath>
            </m:oMathPara>
          </w:p>
        </w:tc>
      </w:tr>
    </w:tbl>
    <w:p w:rsidR="00E93E69" w:rsidRDefault="00DF7A4D" w:rsidP="003B277C">
      <w:pPr>
        <w:keepNext/>
        <w:spacing w:before="120"/>
        <w:ind w:left="1440"/>
      </w:pPr>
    </w:p>
    <w:p w:rsidR="00E93E69" w:rsidRDefault="00DF7A4D" w:rsidP="003B277C">
      <w:pPr>
        <w:keepNext/>
        <w:spacing w:before="120"/>
        <w:ind w:left="1440"/>
      </w:pPr>
    </w:p>
    <w:p w:rsidR="00E93E69" w:rsidRDefault="00DF7A4D" w:rsidP="003B277C">
      <w:pPr>
        <w:keepNext/>
        <w:spacing w:before="120"/>
        <w:ind w:left="3600" w:hanging="2160"/>
      </w:pPr>
    </w:p>
    <w:p w:rsidR="003B277C" w:rsidRDefault="00DF7A4D" w:rsidP="008D2015">
      <w:pPr>
        <w:keepNext/>
        <w:spacing w:before="120"/>
      </w:pPr>
      <w:r>
        <w:tab/>
        <w:t>Where,</w:t>
      </w:r>
    </w:p>
    <w:tbl>
      <w:tblPr>
        <w:tblW w:w="0" w:type="auto"/>
        <w:tblInd w:w="288" w:type="dxa"/>
        <w:tblLayout w:type="fixed"/>
        <w:tblLook w:val="0000" w:firstRow="0" w:lastRow="0" w:firstColumn="0" w:lastColumn="0" w:noHBand="0" w:noVBand="0"/>
      </w:tblPr>
      <w:tblGrid>
        <w:gridCol w:w="2520"/>
        <w:gridCol w:w="270"/>
        <w:gridCol w:w="6498"/>
      </w:tblGrid>
      <w:tr w:rsidR="007D29ED" w:rsidTr="00901AFB">
        <w:tc>
          <w:tcPr>
            <w:tcW w:w="2520" w:type="dxa"/>
          </w:tcPr>
          <w:p w:rsidR="003B277C" w:rsidRDefault="00DF7A4D" w:rsidP="003B277C">
            <w:pPr>
              <w:keepNext/>
              <w:spacing w:before="120"/>
            </w:pPr>
            <w:r>
              <w:t>Allocation Factor</w:t>
            </w:r>
            <w:r>
              <w:rPr>
                <w:vertAlign w:val="subscript"/>
              </w:rPr>
              <w:t>t,j</w:t>
            </w:r>
            <w:r>
              <w:t xml:space="preserve"> </w:t>
            </w:r>
          </w:p>
        </w:tc>
        <w:tc>
          <w:tcPr>
            <w:tcW w:w="270" w:type="dxa"/>
          </w:tcPr>
          <w:p w:rsidR="003B277C" w:rsidRDefault="00DF7A4D" w:rsidP="003B277C">
            <w:pPr>
              <w:keepNext/>
              <w:spacing w:before="120"/>
            </w:pPr>
            <w:r>
              <w:t>=</w:t>
            </w:r>
          </w:p>
        </w:tc>
        <w:tc>
          <w:tcPr>
            <w:tcW w:w="6498" w:type="dxa"/>
          </w:tcPr>
          <w:p w:rsidR="003B277C" w:rsidRDefault="00DF7A4D" w:rsidP="003B277C">
            <w:pPr>
              <w:keepNext/>
              <w:spacing w:before="120"/>
            </w:pPr>
            <w:r>
              <w:t xml:space="preserve">The allocation factor used by the ISO to allocate a share of RCRRs between Load Zone pair </w:t>
            </w:r>
            <w:r>
              <w:rPr>
                <w:i/>
                <w:iCs/>
              </w:rPr>
              <w:t>j</w:t>
            </w:r>
            <w:r>
              <w:t xml:space="preserve"> to Transmission Owner </w:t>
            </w:r>
            <w:r>
              <w:rPr>
                <w:i/>
                <w:iCs/>
              </w:rPr>
              <w:t xml:space="preserve">t </w:t>
            </w:r>
            <w:r>
              <w:t>for a Centralized TCC Auction</w:t>
            </w:r>
          </w:p>
        </w:tc>
      </w:tr>
      <w:tr w:rsidR="007D29ED" w:rsidTr="00901AFB">
        <w:tc>
          <w:tcPr>
            <w:tcW w:w="2520" w:type="dxa"/>
          </w:tcPr>
          <w:p w:rsidR="003B277C" w:rsidRDefault="00DF7A4D" w:rsidP="003B277C">
            <w:pPr>
              <w:spacing w:before="120"/>
              <w:rPr>
                <w:lang w:val="fr-FR"/>
              </w:rPr>
            </w:pPr>
            <w:r>
              <w:rPr>
                <w:lang w:val="fr-FR"/>
              </w:rPr>
              <w:t>Interface Revenue</w:t>
            </w:r>
            <w:r>
              <w:rPr>
                <w:vertAlign w:val="subscript"/>
                <w:lang w:val="fr-FR"/>
              </w:rPr>
              <w:t>t,j,a</w:t>
            </w:r>
            <w:r>
              <w:rPr>
                <w:lang w:val="fr-FR"/>
              </w:rPr>
              <w:t xml:space="preserve"> </w:t>
            </w:r>
          </w:p>
        </w:tc>
        <w:tc>
          <w:tcPr>
            <w:tcW w:w="270" w:type="dxa"/>
          </w:tcPr>
          <w:p w:rsidR="003B277C" w:rsidRDefault="00DF7A4D" w:rsidP="003B277C">
            <w:pPr>
              <w:spacing w:before="120"/>
            </w:pPr>
            <w:r>
              <w:t>=</w:t>
            </w:r>
          </w:p>
        </w:tc>
        <w:tc>
          <w:tcPr>
            <w:tcW w:w="6498" w:type="dxa"/>
          </w:tcPr>
          <w:p w:rsidR="003B277C" w:rsidRPr="00493CFC" w:rsidRDefault="00DF7A4D" w:rsidP="003B277C">
            <w:pPr>
              <w:spacing w:before="120"/>
            </w:pPr>
            <w:r w:rsidRPr="00493CFC">
              <w:t xml:space="preserve">The revenue from the sale of TCCs (excluding those TCCs for which revenue is allocated to a Transmission Owner pursuant to Sections </w:t>
            </w:r>
            <w:r>
              <w:t>20.</w:t>
            </w:r>
            <w:r w:rsidRPr="00493CFC">
              <w:t xml:space="preserve">3.3 through </w:t>
            </w:r>
            <w:r>
              <w:t>20.</w:t>
            </w:r>
            <w:r w:rsidRPr="00493CFC">
              <w:t xml:space="preserve">3.5 of Attachment N) associated with the Interface between Load Zone pair </w:t>
            </w:r>
            <w:r w:rsidRPr="00493CFC">
              <w:rPr>
                <w:i/>
                <w:iCs/>
              </w:rPr>
              <w:t xml:space="preserve">j </w:t>
            </w:r>
            <w:r w:rsidRPr="00493CFC">
              <w:t xml:space="preserve">in Centralized TCC Auction </w:t>
            </w:r>
            <w:r w:rsidRPr="00493CFC">
              <w:rPr>
                <w:i/>
                <w:iCs/>
              </w:rPr>
              <w:t>a</w:t>
            </w:r>
            <w:r w:rsidRPr="00493CFC">
              <w:t xml:space="preserve"> a</w:t>
            </w:r>
            <w:r w:rsidRPr="00493CFC">
              <w:t xml:space="preserve">ssigned to Transmission Owner </w:t>
            </w:r>
            <w:r w:rsidRPr="00493CFC">
              <w:rPr>
                <w:i/>
                <w:iCs/>
              </w:rPr>
              <w:t>t</w:t>
            </w:r>
          </w:p>
        </w:tc>
      </w:tr>
    </w:tbl>
    <w:p w:rsidR="003B277C" w:rsidRDefault="00DF7A4D" w:rsidP="003B277C"/>
    <w:p w:rsidR="003B277C" w:rsidRDefault="00DF7A4D" w:rsidP="003B277C"/>
    <w:tbl>
      <w:tblPr>
        <w:tblW w:w="0" w:type="auto"/>
        <w:tblInd w:w="1458" w:type="dxa"/>
        <w:tblLayout w:type="fixed"/>
        <w:tblLook w:val="0000" w:firstRow="0" w:lastRow="0" w:firstColumn="0" w:lastColumn="0" w:noHBand="0" w:noVBand="0"/>
      </w:tblPr>
      <w:tblGrid>
        <w:gridCol w:w="1260"/>
        <w:gridCol w:w="270"/>
        <w:gridCol w:w="6588"/>
      </w:tblGrid>
      <w:tr w:rsidR="007D29ED" w:rsidTr="003B277C">
        <w:tc>
          <w:tcPr>
            <w:tcW w:w="1260" w:type="dxa"/>
          </w:tcPr>
          <w:p w:rsidR="003B277C" w:rsidRDefault="00DF7A4D" w:rsidP="003B277C">
            <w:pPr>
              <w:spacing w:before="120"/>
            </w:pPr>
            <w:r>
              <w:t>t</w:t>
            </w:r>
          </w:p>
        </w:tc>
        <w:tc>
          <w:tcPr>
            <w:tcW w:w="270" w:type="dxa"/>
          </w:tcPr>
          <w:p w:rsidR="003B277C" w:rsidRDefault="00DF7A4D" w:rsidP="003B277C">
            <w:pPr>
              <w:spacing w:before="120"/>
            </w:pPr>
            <w:r>
              <w:t>=</w:t>
            </w:r>
          </w:p>
        </w:tc>
        <w:tc>
          <w:tcPr>
            <w:tcW w:w="6588" w:type="dxa"/>
          </w:tcPr>
          <w:p w:rsidR="003B277C" w:rsidRDefault="00DF7A4D" w:rsidP="003B277C">
            <w:pPr>
              <w:spacing w:before="120"/>
            </w:pPr>
            <w:r>
              <w:t>A Transmission Owner</w:t>
            </w:r>
          </w:p>
        </w:tc>
      </w:tr>
      <w:tr w:rsidR="007D29ED" w:rsidTr="003B277C">
        <w:tc>
          <w:tcPr>
            <w:tcW w:w="1260" w:type="dxa"/>
          </w:tcPr>
          <w:p w:rsidR="003B277C" w:rsidRDefault="00DF7A4D" w:rsidP="003B277C">
            <w:pPr>
              <w:spacing w:before="120"/>
            </w:pPr>
            <w:r>
              <w:t>T</w:t>
            </w:r>
          </w:p>
        </w:tc>
        <w:tc>
          <w:tcPr>
            <w:tcW w:w="270" w:type="dxa"/>
          </w:tcPr>
          <w:p w:rsidR="003B277C" w:rsidRDefault="00DF7A4D" w:rsidP="003B277C">
            <w:pPr>
              <w:spacing w:before="120"/>
            </w:pPr>
            <w:r>
              <w:t>=</w:t>
            </w:r>
          </w:p>
        </w:tc>
        <w:tc>
          <w:tcPr>
            <w:tcW w:w="6588" w:type="dxa"/>
          </w:tcPr>
          <w:p w:rsidR="003B277C" w:rsidRDefault="00DF7A4D" w:rsidP="003B277C">
            <w:pPr>
              <w:spacing w:before="120"/>
            </w:pPr>
            <w:r>
              <w:t>The set of all Transmission Owners</w:t>
            </w:r>
          </w:p>
        </w:tc>
      </w:tr>
      <w:tr w:rsidR="007D29ED" w:rsidTr="003B277C">
        <w:tc>
          <w:tcPr>
            <w:tcW w:w="1260" w:type="dxa"/>
          </w:tcPr>
          <w:p w:rsidR="003B277C" w:rsidRDefault="00DF7A4D" w:rsidP="003B277C">
            <w:pPr>
              <w:spacing w:before="120"/>
            </w:pPr>
            <w:r>
              <w:t>a</w:t>
            </w:r>
          </w:p>
        </w:tc>
        <w:tc>
          <w:tcPr>
            <w:tcW w:w="270" w:type="dxa"/>
          </w:tcPr>
          <w:p w:rsidR="003B277C" w:rsidRDefault="00DF7A4D" w:rsidP="003B277C">
            <w:pPr>
              <w:spacing w:before="120"/>
            </w:pPr>
            <w:r>
              <w:t>=</w:t>
            </w:r>
          </w:p>
        </w:tc>
        <w:tc>
          <w:tcPr>
            <w:tcW w:w="6588" w:type="dxa"/>
          </w:tcPr>
          <w:p w:rsidR="003B277C" w:rsidRDefault="00DF7A4D" w:rsidP="003B277C">
            <w:pPr>
              <w:spacing w:before="120"/>
            </w:pPr>
            <w:r>
              <w:t>A Centralized TCC Auction</w:t>
            </w:r>
          </w:p>
        </w:tc>
      </w:tr>
      <w:tr w:rsidR="007D29ED" w:rsidTr="003B277C">
        <w:tc>
          <w:tcPr>
            <w:tcW w:w="1260" w:type="dxa"/>
          </w:tcPr>
          <w:p w:rsidR="003B277C" w:rsidRDefault="00DF7A4D" w:rsidP="003B277C">
            <w:pPr>
              <w:spacing w:before="120"/>
            </w:pPr>
            <w:r>
              <w:t>A</w:t>
            </w:r>
          </w:p>
        </w:tc>
        <w:tc>
          <w:tcPr>
            <w:tcW w:w="270" w:type="dxa"/>
          </w:tcPr>
          <w:p w:rsidR="003B277C" w:rsidRDefault="00DF7A4D" w:rsidP="003B277C">
            <w:pPr>
              <w:spacing w:before="120"/>
            </w:pPr>
            <w:r>
              <w:t>=</w:t>
            </w:r>
          </w:p>
        </w:tc>
        <w:tc>
          <w:tcPr>
            <w:tcW w:w="6588" w:type="dxa"/>
          </w:tcPr>
          <w:p w:rsidR="003B277C" w:rsidRDefault="00DF7A4D" w:rsidP="003B277C">
            <w:pPr>
              <w:spacing w:before="120"/>
            </w:pPr>
            <w:r>
              <w:t xml:space="preserve">The set of Centralized TCC Auctions beginning with the Centralized TCC Auction held for the 2000 Summer Capability </w:t>
            </w:r>
            <w:r>
              <w:t>Period and ending with the Centralized TCC Auction held for the 2003-2004 Winter Capability Period</w:t>
            </w:r>
          </w:p>
        </w:tc>
      </w:tr>
      <w:tr w:rsidR="007D29ED" w:rsidTr="003B277C">
        <w:tc>
          <w:tcPr>
            <w:tcW w:w="1260" w:type="dxa"/>
          </w:tcPr>
          <w:p w:rsidR="003B277C" w:rsidRDefault="00DF7A4D" w:rsidP="003B277C">
            <w:pPr>
              <w:spacing w:before="120"/>
            </w:pPr>
            <w:r>
              <w:t>j</w:t>
            </w:r>
          </w:p>
        </w:tc>
        <w:tc>
          <w:tcPr>
            <w:tcW w:w="270" w:type="dxa"/>
          </w:tcPr>
          <w:p w:rsidR="003B277C" w:rsidRDefault="00DF7A4D" w:rsidP="003B277C">
            <w:pPr>
              <w:spacing w:before="120"/>
            </w:pPr>
            <w:r>
              <w:t>=</w:t>
            </w:r>
          </w:p>
        </w:tc>
        <w:tc>
          <w:tcPr>
            <w:tcW w:w="6588" w:type="dxa"/>
          </w:tcPr>
          <w:p w:rsidR="003B277C" w:rsidRDefault="00DF7A4D" w:rsidP="003B277C">
            <w:pPr>
              <w:spacing w:before="120"/>
            </w:pPr>
            <w:r>
              <w:t>A Load Zone pair.</w:t>
            </w:r>
          </w:p>
        </w:tc>
      </w:tr>
    </w:tbl>
    <w:p w:rsidR="003B277C" w:rsidRDefault="00DF7A4D" w:rsidP="003B277C">
      <w:pPr>
        <w:ind w:left="720" w:firstLine="720"/>
        <w:rPr>
          <w:bCs/>
        </w:rPr>
      </w:pPr>
    </w:p>
    <w:p w:rsidR="003B277C" w:rsidRPr="00334B71" w:rsidRDefault="00DF7A4D" w:rsidP="003B277C">
      <w:pPr>
        <w:pStyle w:val="Bodypara"/>
      </w:pPr>
      <w:r w:rsidRPr="00334B71">
        <w:rPr>
          <w:b/>
        </w:rPr>
        <w:t>19.</w:t>
      </w:r>
      <w:r w:rsidRPr="00334B71">
        <w:rPr>
          <w:b/>
          <w:bCs/>
        </w:rPr>
        <w:t>5.3</w:t>
      </w:r>
      <w:r w:rsidRPr="00334B71">
        <w:tab/>
        <w:t xml:space="preserve">Subject to the limitations set forth in Section 19.5.4 of this Attachment M, a Transmission Owner allocated an RCRR pursuant </w:t>
      </w:r>
      <w:r w:rsidRPr="00334B71">
        <w:t>to Section 19.5.2 of this Attachment M shall have a right prior to each Centralized TCC Auction to convert each RCRR into an RCRR TCC.  Each RCRR TCC will have a duration of 6 months and will have the same POW and POI as the RCRR from which it was converte</w:t>
      </w:r>
      <w:r w:rsidRPr="00334B71">
        <w:t xml:space="preserve">d.  If a Transmission Owner fails to exercise its right to convert an RCRR into an RCRR TCC in the manner and by the date specified in this Section </w:t>
      </w:r>
      <w:r w:rsidRPr="00334B71">
        <w:rPr>
          <w:bCs/>
        </w:rPr>
        <w:t>19.</w:t>
      </w:r>
      <w:r w:rsidRPr="00334B71">
        <w:t>5.0, the Transmission Owner shall forfeit the RCRR.  Each RCRR shall be valid only for the Centralized TC</w:t>
      </w:r>
      <w:r w:rsidRPr="00334B71">
        <w:t>C Auction for which it was allocated.</w:t>
      </w:r>
    </w:p>
    <w:p w:rsidR="003B277C" w:rsidRDefault="00DF7A4D" w:rsidP="003B277C">
      <w:pPr>
        <w:pStyle w:val="Bodypara"/>
      </w:pPr>
      <w:r w:rsidRPr="00334B71">
        <w:rPr>
          <w:b/>
        </w:rPr>
        <w:t>19.</w:t>
      </w:r>
      <w:r w:rsidRPr="00334B71">
        <w:rPr>
          <w:b/>
          <w:bCs/>
        </w:rPr>
        <w:t>5.4</w:t>
      </w:r>
      <w:r w:rsidRPr="00334B71">
        <w:tab/>
        <w:t>Notwithstanding any other provisions of this Section 19.5.0, a Transmission Owner shall not convert an amount greater than the Capacity Reservation Cap of the</w:t>
      </w:r>
      <w:r>
        <w:t xml:space="preserve"> Transmission Owner’s RCRRs into RCRR TCCs.</w:t>
      </w:r>
    </w:p>
    <w:p w:rsidR="003B277C" w:rsidRDefault="00DF7A4D" w:rsidP="003B277C">
      <w:pPr>
        <w:pStyle w:val="Bodypara"/>
      </w:pPr>
      <w:r>
        <w:t>RCRRs may</w:t>
      </w:r>
      <w:r>
        <w:t xml:space="preserve"> be converted only into whole RCRR TCCs.  If the Capacity Reservation Cap multiplied by the number of RCRR does not yield a whole number, then the number of RCRR TCCs that a Transmission Owner shall have a right to convert from RCRRs will be reduced to the</w:t>
      </w:r>
      <w:r>
        <w:t xml:space="preserve"> nearest integer and the number of RCRRs that a Transmission Owner shall not have a right to convert to RCRR TCCs will be increased to the nearest integer.</w:t>
      </w:r>
    </w:p>
    <w:p w:rsidR="003B277C" w:rsidRDefault="00DF7A4D" w:rsidP="003B277C">
      <w:pPr>
        <w:pStyle w:val="Bodypara"/>
      </w:pPr>
      <w:r w:rsidRPr="00E32D38">
        <w:rPr>
          <w:b/>
        </w:rPr>
        <w:t>19.</w:t>
      </w:r>
      <w:r w:rsidRPr="00334B71">
        <w:rPr>
          <w:b/>
          <w:bCs/>
        </w:rPr>
        <w:t>5.5</w:t>
      </w:r>
      <w:r w:rsidRPr="00334B71">
        <w:tab/>
        <w:t>Before each Centralized TCC Auction, the ISO shall, subsequent to performing the reduction pr</w:t>
      </w:r>
      <w:r w:rsidRPr="00334B71">
        <w:t>ocess pursuant to Section 19.8.2 of</w:t>
      </w:r>
      <w:r>
        <w:t xml:space="preserve"> this Attachment M, determine the number of RCRRs that each Transmission Owner shall have a right to convert to RCRR TCCs.  The ISO shall notify each Transmission Owner of the ISO’s determination with regard to its RCRRs </w:t>
      </w:r>
      <w:r>
        <w:t xml:space="preserve">in a written notice to be received by the Transmission Owner on or before the date specified in the timeline for the relevant Centralized TCC Auction posted on the ISO’s website, as that timeline may be revised from time to time.  </w:t>
      </w:r>
    </w:p>
    <w:p w:rsidR="003B277C" w:rsidRDefault="00DF7A4D" w:rsidP="003B277C">
      <w:pPr>
        <w:pStyle w:val="Bodypara"/>
      </w:pPr>
      <w:r w:rsidRPr="00AA446A">
        <w:rPr>
          <w:b/>
        </w:rPr>
        <w:t>19.</w:t>
      </w:r>
      <w:r w:rsidRPr="00334B71">
        <w:rPr>
          <w:b/>
          <w:bCs/>
        </w:rPr>
        <w:t>5.6</w:t>
      </w:r>
      <w:r w:rsidRPr="00334B71">
        <w:tab/>
        <w:t>A</w:t>
      </w:r>
      <w:r>
        <w:t xml:space="preserve"> Transmission Ow</w:t>
      </w:r>
      <w:r>
        <w:t xml:space="preserve">ner may exercise its right to convert its RCRRs into RCRR TCCs by notifying the ISO of the number of the Transmission Owner’s RCRRs that the Transmission Owner elects to convert to RCRR TCCs.  The Transmission Owner shall make the notification in a </w:t>
      </w:r>
      <w:r w:rsidRPr="00334B71">
        <w:t>written</w:t>
      </w:r>
      <w:r w:rsidRPr="00334B71">
        <w:t xml:space="preserve"> notice, in accordance with ISO Procedures, to be</w:t>
      </w:r>
      <w:r>
        <w:t xml:space="preserve"> received by the ISO on or before the date specified in the timeline for the relevant Centralized TCC Auction posted on the ISO’s website, as that timeline may be revised from time to time.  After receipt by</w:t>
      </w:r>
      <w:r>
        <w:t xml:space="preserve"> the ISO, the Transmission Owner’s notification shall not be modified or revoked, except by permission of the ISO.</w:t>
      </w:r>
    </w:p>
    <w:p w:rsidR="003B277C" w:rsidRDefault="00DF7A4D" w:rsidP="003B277C">
      <w:pPr>
        <w:pStyle w:val="Bodypara"/>
      </w:pPr>
      <w:r w:rsidRPr="00AA446A">
        <w:rPr>
          <w:b/>
        </w:rPr>
        <w:t>19.</w:t>
      </w:r>
      <w:r w:rsidRPr="00334B71">
        <w:rPr>
          <w:b/>
          <w:bCs/>
        </w:rPr>
        <w:t>5.7</w:t>
      </w:r>
      <w:r w:rsidRPr="00334B71">
        <w:tab/>
        <w:t>A Transmission Owner shall not transfer (by sale or otherwise) its RCRR TCC</w:t>
      </w:r>
      <w:r>
        <w:t xml:space="preserve"> except through a Centralized TCC Auction or Reconfiguratio</w:t>
      </w:r>
      <w:r>
        <w:t>n Auction, and shall not sell its RCRR TCC through Direct Sales or through Secondary Markets.</w:t>
      </w:r>
    </w:p>
    <w:sectPr w:rsidR="003B277C" w:rsidSect="003B27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7A4D">
      <w:r>
        <w:separator/>
      </w:r>
    </w:p>
  </w:endnote>
  <w:endnote w:type="continuationSeparator" w:id="0">
    <w:p w:rsidR="00000000" w:rsidRDefault="00DF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ED" w:rsidRDefault="00DF7A4D">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ED" w:rsidRDefault="00DF7A4D">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ED" w:rsidRDefault="00DF7A4D">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7A4D">
      <w:r>
        <w:separator/>
      </w:r>
    </w:p>
  </w:footnote>
  <w:footnote w:type="continuationSeparator" w:id="0">
    <w:p w:rsidR="00000000" w:rsidRDefault="00DF7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ED" w:rsidRDefault="00DF7A4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w:t>
    </w:r>
    <w:r>
      <w:rPr>
        <w:rFonts w:ascii="Arial" w:eastAsia="Arial" w:hAnsi="Arial" w:cs="Arial"/>
        <w:color w:val="000000"/>
        <w:sz w:val="16"/>
      </w:rPr>
      <w:t xml:space="preserve"> Award Of Transmission Conges --&gt; 19.5 OATT Att M Reservation of Transmission Capacity in a 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ED" w:rsidRDefault="00DF7A4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19.5 OATT Att M Reservation of Tran</w:t>
    </w:r>
    <w:r>
      <w:rPr>
        <w:rFonts w:ascii="Arial" w:eastAsia="Arial" w:hAnsi="Arial" w:cs="Arial"/>
        <w:color w:val="000000"/>
        <w:sz w:val="16"/>
      </w:rPr>
      <w:t>smission Capacity in a 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ED" w:rsidRDefault="00DF7A4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19.5 OATT Att M </w:t>
    </w:r>
    <w:r>
      <w:rPr>
        <w:rFonts w:ascii="Arial" w:eastAsia="Arial" w:hAnsi="Arial" w:cs="Arial"/>
        <w:color w:val="000000"/>
        <w:sz w:val="16"/>
      </w:rPr>
      <w:t>Reservation of Transmission Capacity in a 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EB9AF412">
      <w:start w:val="1"/>
      <w:numFmt w:val="bullet"/>
      <w:pStyle w:val="Bulletpara"/>
      <w:lvlText w:val=""/>
      <w:lvlJc w:val="left"/>
      <w:pPr>
        <w:tabs>
          <w:tab w:val="num" w:pos="720"/>
        </w:tabs>
        <w:ind w:left="720" w:hanging="360"/>
      </w:pPr>
      <w:rPr>
        <w:rFonts w:ascii="Symbol" w:hAnsi="Symbol" w:hint="default"/>
      </w:rPr>
    </w:lvl>
    <w:lvl w:ilvl="1" w:tplc="E2E6361A" w:tentative="1">
      <w:start w:val="1"/>
      <w:numFmt w:val="bullet"/>
      <w:lvlText w:val="o"/>
      <w:lvlJc w:val="left"/>
      <w:pPr>
        <w:tabs>
          <w:tab w:val="num" w:pos="1440"/>
        </w:tabs>
        <w:ind w:left="1440" w:hanging="360"/>
      </w:pPr>
      <w:rPr>
        <w:rFonts w:ascii="Courier New" w:hAnsi="Courier New" w:cs="Courier New" w:hint="default"/>
      </w:rPr>
    </w:lvl>
    <w:lvl w:ilvl="2" w:tplc="D954EE82" w:tentative="1">
      <w:start w:val="1"/>
      <w:numFmt w:val="bullet"/>
      <w:lvlText w:val=""/>
      <w:lvlJc w:val="left"/>
      <w:pPr>
        <w:tabs>
          <w:tab w:val="num" w:pos="2160"/>
        </w:tabs>
        <w:ind w:left="2160" w:hanging="360"/>
      </w:pPr>
      <w:rPr>
        <w:rFonts w:ascii="Wingdings" w:hAnsi="Wingdings" w:hint="default"/>
      </w:rPr>
    </w:lvl>
    <w:lvl w:ilvl="3" w:tplc="9D043FBE" w:tentative="1">
      <w:start w:val="1"/>
      <w:numFmt w:val="bullet"/>
      <w:lvlText w:val=""/>
      <w:lvlJc w:val="left"/>
      <w:pPr>
        <w:tabs>
          <w:tab w:val="num" w:pos="2880"/>
        </w:tabs>
        <w:ind w:left="2880" w:hanging="360"/>
      </w:pPr>
      <w:rPr>
        <w:rFonts w:ascii="Symbol" w:hAnsi="Symbol" w:hint="default"/>
      </w:rPr>
    </w:lvl>
    <w:lvl w:ilvl="4" w:tplc="B0B0D126" w:tentative="1">
      <w:start w:val="1"/>
      <w:numFmt w:val="bullet"/>
      <w:lvlText w:val="o"/>
      <w:lvlJc w:val="left"/>
      <w:pPr>
        <w:tabs>
          <w:tab w:val="num" w:pos="3600"/>
        </w:tabs>
        <w:ind w:left="3600" w:hanging="360"/>
      </w:pPr>
      <w:rPr>
        <w:rFonts w:ascii="Courier New" w:hAnsi="Courier New" w:cs="Courier New" w:hint="default"/>
      </w:rPr>
    </w:lvl>
    <w:lvl w:ilvl="5" w:tplc="447CD620" w:tentative="1">
      <w:start w:val="1"/>
      <w:numFmt w:val="bullet"/>
      <w:lvlText w:val=""/>
      <w:lvlJc w:val="left"/>
      <w:pPr>
        <w:tabs>
          <w:tab w:val="num" w:pos="4320"/>
        </w:tabs>
        <w:ind w:left="4320" w:hanging="360"/>
      </w:pPr>
      <w:rPr>
        <w:rFonts w:ascii="Wingdings" w:hAnsi="Wingdings" w:hint="default"/>
      </w:rPr>
    </w:lvl>
    <w:lvl w:ilvl="6" w:tplc="288832A2" w:tentative="1">
      <w:start w:val="1"/>
      <w:numFmt w:val="bullet"/>
      <w:lvlText w:val=""/>
      <w:lvlJc w:val="left"/>
      <w:pPr>
        <w:tabs>
          <w:tab w:val="num" w:pos="5040"/>
        </w:tabs>
        <w:ind w:left="5040" w:hanging="360"/>
      </w:pPr>
      <w:rPr>
        <w:rFonts w:ascii="Symbol" w:hAnsi="Symbol" w:hint="default"/>
      </w:rPr>
    </w:lvl>
    <w:lvl w:ilvl="7" w:tplc="F9E0B062" w:tentative="1">
      <w:start w:val="1"/>
      <w:numFmt w:val="bullet"/>
      <w:lvlText w:val="o"/>
      <w:lvlJc w:val="left"/>
      <w:pPr>
        <w:tabs>
          <w:tab w:val="num" w:pos="5760"/>
        </w:tabs>
        <w:ind w:left="5760" w:hanging="360"/>
      </w:pPr>
      <w:rPr>
        <w:rFonts w:ascii="Courier New" w:hAnsi="Courier New" w:cs="Courier New" w:hint="default"/>
      </w:rPr>
    </w:lvl>
    <w:lvl w:ilvl="8" w:tplc="1BFC0EE4"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97AC334C">
      <w:start w:val="1"/>
      <w:numFmt w:val="bullet"/>
      <w:lvlText w:val="­"/>
      <w:lvlJc w:val="left"/>
      <w:pPr>
        <w:tabs>
          <w:tab w:val="num" w:pos="720"/>
        </w:tabs>
        <w:ind w:left="720" w:hanging="360"/>
      </w:pPr>
      <w:rPr>
        <w:rFonts w:ascii="Courier New" w:hAnsi="Courier New" w:hint="default"/>
      </w:rPr>
    </w:lvl>
    <w:lvl w:ilvl="1" w:tplc="632E611A" w:tentative="1">
      <w:start w:val="1"/>
      <w:numFmt w:val="bullet"/>
      <w:lvlText w:val="o"/>
      <w:lvlJc w:val="left"/>
      <w:pPr>
        <w:tabs>
          <w:tab w:val="num" w:pos="1440"/>
        </w:tabs>
        <w:ind w:left="1440" w:hanging="360"/>
      </w:pPr>
      <w:rPr>
        <w:rFonts w:ascii="Courier New" w:hAnsi="Courier New" w:cs="Courier New" w:hint="default"/>
      </w:rPr>
    </w:lvl>
    <w:lvl w:ilvl="2" w:tplc="839678EE" w:tentative="1">
      <w:start w:val="1"/>
      <w:numFmt w:val="bullet"/>
      <w:lvlText w:val=""/>
      <w:lvlJc w:val="left"/>
      <w:pPr>
        <w:tabs>
          <w:tab w:val="num" w:pos="2160"/>
        </w:tabs>
        <w:ind w:left="2160" w:hanging="360"/>
      </w:pPr>
      <w:rPr>
        <w:rFonts w:ascii="Wingdings" w:hAnsi="Wingdings" w:hint="default"/>
      </w:rPr>
    </w:lvl>
    <w:lvl w:ilvl="3" w:tplc="D80CFB4A" w:tentative="1">
      <w:start w:val="1"/>
      <w:numFmt w:val="bullet"/>
      <w:lvlText w:val=""/>
      <w:lvlJc w:val="left"/>
      <w:pPr>
        <w:tabs>
          <w:tab w:val="num" w:pos="2880"/>
        </w:tabs>
        <w:ind w:left="2880" w:hanging="360"/>
      </w:pPr>
      <w:rPr>
        <w:rFonts w:ascii="Symbol" w:hAnsi="Symbol" w:hint="default"/>
      </w:rPr>
    </w:lvl>
    <w:lvl w:ilvl="4" w:tplc="F6B8B226" w:tentative="1">
      <w:start w:val="1"/>
      <w:numFmt w:val="bullet"/>
      <w:lvlText w:val="o"/>
      <w:lvlJc w:val="left"/>
      <w:pPr>
        <w:tabs>
          <w:tab w:val="num" w:pos="3600"/>
        </w:tabs>
        <w:ind w:left="3600" w:hanging="360"/>
      </w:pPr>
      <w:rPr>
        <w:rFonts w:ascii="Courier New" w:hAnsi="Courier New" w:cs="Courier New" w:hint="default"/>
      </w:rPr>
    </w:lvl>
    <w:lvl w:ilvl="5" w:tplc="0C4AAEC6" w:tentative="1">
      <w:start w:val="1"/>
      <w:numFmt w:val="bullet"/>
      <w:lvlText w:val=""/>
      <w:lvlJc w:val="left"/>
      <w:pPr>
        <w:tabs>
          <w:tab w:val="num" w:pos="4320"/>
        </w:tabs>
        <w:ind w:left="4320" w:hanging="360"/>
      </w:pPr>
      <w:rPr>
        <w:rFonts w:ascii="Wingdings" w:hAnsi="Wingdings" w:hint="default"/>
      </w:rPr>
    </w:lvl>
    <w:lvl w:ilvl="6" w:tplc="79260A36" w:tentative="1">
      <w:start w:val="1"/>
      <w:numFmt w:val="bullet"/>
      <w:lvlText w:val=""/>
      <w:lvlJc w:val="left"/>
      <w:pPr>
        <w:tabs>
          <w:tab w:val="num" w:pos="5040"/>
        </w:tabs>
        <w:ind w:left="5040" w:hanging="360"/>
      </w:pPr>
      <w:rPr>
        <w:rFonts w:ascii="Symbol" w:hAnsi="Symbol" w:hint="default"/>
      </w:rPr>
    </w:lvl>
    <w:lvl w:ilvl="7" w:tplc="3C1EB86A" w:tentative="1">
      <w:start w:val="1"/>
      <w:numFmt w:val="bullet"/>
      <w:lvlText w:val="o"/>
      <w:lvlJc w:val="left"/>
      <w:pPr>
        <w:tabs>
          <w:tab w:val="num" w:pos="5760"/>
        </w:tabs>
        <w:ind w:left="5760" w:hanging="360"/>
      </w:pPr>
      <w:rPr>
        <w:rFonts w:ascii="Courier New" w:hAnsi="Courier New" w:cs="Courier New" w:hint="default"/>
      </w:rPr>
    </w:lvl>
    <w:lvl w:ilvl="8" w:tplc="32703DAC"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B5DC4BE8">
      <w:start w:val="1"/>
      <w:numFmt w:val="lowerRoman"/>
      <w:lvlText w:val="(%1)"/>
      <w:lvlJc w:val="left"/>
      <w:pPr>
        <w:tabs>
          <w:tab w:val="num" w:pos="2448"/>
        </w:tabs>
        <w:ind w:left="2448" w:hanging="648"/>
      </w:pPr>
      <w:rPr>
        <w:rFonts w:hint="default"/>
        <w:b w:val="0"/>
        <w:i w:val="0"/>
        <w:u w:val="none"/>
      </w:rPr>
    </w:lvl>
    <w:lvl w:ilvl="1" w:tplc="787C999C" w:tentative="1">
      <w:start w:val="1"/>
      <w:numFmt w:val="lowerLetter"/>
      <w:lvlText w:val="%2."/>
      <w:lvlJc w:val="left"/>
      <w:pPr>
        <w:tabs>
          <w:tab w:val="num" w:pos="1440"/>
        </w:tabs>
        <w:ind w:left="1440" w:hanging="360"/>
      </w:pPr>
    </w:lvl>
    <w:lvl w:ilvl="2" w:tplc="A0A66BBE" w:tentative="1">
      <w:start w:val="1"/>
      <w:numFmt w:val="lowerRoman"/>
      <w:lvlText w:val="%3."/>
      <w:lvlJc w:val="right"/>
      <w:pPr>
        <w:tabs>
          <w:tab w:val="num" w:pos="2160"/>
        </w:tabs>
        <w:ind w:left="2160" w:hanging="180"/>
      </w:pPr>
    </w:lvl>
    <w:lvl w:ilvl="3" w:tplc="EFC86EC4" w:tentative="1">
      <w:start w:val="1"/>
      <w:numFmt w:val="decimal"/>
      <w:lvlText w:val="%4."/>
      <w:lvlJc w:val="left"/>
      <w:pPr>
        <w:tabs>
          <w:tab w:val="num" w:pos="2880"/>
        </w:tabs>
        <w:ind w:left="2880" w:hanging="360"/>
      </w:pPr>
    </w:lvl>
    <w:lvl w:ilvl="4" w:tplc="C2782CF2" w:tentative="1">
      <w:start w:val="1"/>
      <w:numFmt w:val="lowerLetter"/>
      <w:lvlText w:val="%5."/>
      <w:lvlJc w:val="left"/>
      <w:pPr>
        <w:tabs>
          <w:tab w:val="num" w:pos="3600"/>
        </w:tabs>
        <w:ind w:left="3600" w:hanging="360"/>
      </w:pPr>
    </w:lvl>
    <w:lvl w:ilvl="5" w:tplc="98B62E42" w:tentative="1">
      <w:start w:val="1"/>
      <w:numFmt w:val="lowerRoman"/>
      <w:lvlText w:val="%6."/>
      <w:lvlJc w:val="right"/>
      <w:pPr>
        <w:tabs>
          <w:tab w:val="num" w:pos="4320"/>
        </w:tabs>
        <w:ind w:left="4320" w:hanging="180"/>
      </w:pPr>
    </w:lvl>
    <w:lvl w:ilvl="6" w:tplc="F44EF5D6" w:tentative="1">
      <w:start w:val="1"/>
      <w:numFmt w:val="decimal"/>
      <w:lvlText w:val="%7."/>
      <w:lvlJc w:val="left"/>
      <w:pPr>
        <w:tabs>
          <w:tab w:val="num" w:pos="5040"/>
        </w:tabs>
        <w:ind w:left="5040" w:hanging="360"/>
      </w:pPr>
    </w:lvl>
    <w:lvl w:ilvl="7" w:tplc="A93CFD94" w:tentative="1">
      <w:start w:val="1"/>
      <w:numFmt w:val="lowerLetter"/>
      <w:lvlText w:val="%8."/>
      <w:lvlJc w:val="left"/>
      <w:pPr>
        <w:tabs>
          <w:tab w:val="num" w:pos="5760"/>
        </w:tabs>
        <w:ind w:left="5760" w:hanging="360"/>
      </w:pPr>
    </w:lvl>
    <w:lvl w:ilvl="8" w:tplc="9AF6750A"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A356940A">
      <w:start w:val="1"/>
      <w:numFmt w:val="bullet"/>
      <w:lvlText w:val=""/>
      <w:lvlJc w:val="left"/>
      <w:pPr>
        <w:tabs>
          <w:tab w:val="num" w:pos="2160"/>
        </w:tabs>
        <w:ind w:left="2160" w:hanging="360"/>
      </w:pPr>
      <w:rPr>
        <w:rFonts w:ascii="Symbol" w:hAnsi="Symbol" w:hint="default"/>
      </w:rPr>
    </w:lvl>
    <w:lvl w:ilvl="1" w:tplc="B642B4E2" w:tentative="1">
      <w:start w:val="1"/>
      <w:numFmt w:val="bullet"/>
      <w:lvlText w:val="o"/>
      <w:lvlJc w:val="left"/>
      <w:pPr>
        <w:tabs>
          <w:tab w:val="num" w:pos="2880"/>
        </w:tabs>
        <w:ind w:left="2880" w:hanging="360"/>
      </w:pPr>
      <w:rPr>
        <w:rFonts w:ascii="Courier New" w:hAnsi="Courier New" w:cs="Courier New" w:hint="default"/>
      </w:rPr>
    </w:lvl>
    <w:lvl w:ilvl="2" w:tplc="B33CA51E" w:tentative="1">
      <w:start w:val="1"/>
      <w:numFmt w:val="bullet"/>
      <w:lvlText w:val=""/>
      <w:lvlJc w:val="left"/>
      <w:pPr>
        <w:tabs>
          <w:tab w:val="num" w:pos="3600"/>
        </w:tabs>
        <w:ind w:left="3600" w:hanging="360"/>
      </w:pPr>
      <w:rPr>
        <w:rFonts w:ascii="Wingdings" w:hAnsi="Wingdings" w:hint="default"/>
      </w:rPr>
    </w:lvl>
    <w:lvl w:ilvl="3" w:tplc="20F4A726" w:tentative="1">
      <w:start w:val="1"/>
      <w:numFmt w:val="bullet"/>
      <w:lvlText w:val=""/>
      <w:lvlJc w:val="left"/>
      <w:pPr>
        <w:tabs>
          <w:tab w:val="num" w:pos="4320"/>
        </w:tabs>
        <w:ind w:left="4320" w:hanging="360"/>
      </w:pPr>
      <w:rPr>
        <w:rFonts w:ascii="Symbol" w:hAnsi="Symbol" w:hint="default"/>
      </w:rPr>
    </w:lvl>
    <w:lvl w:ilvl="4" w:tplc="EEEEE196" w:tentative="1">
      <w:start w:val="1"/>
      <w:numFmt w:val="bullet"/>
      <w:lvlText w:val="o"/>
      <w:lvlJc w:val="left"/>
      <w:pPr>
        <w:tabs>
          <w:tab w:val="num" w:pos="5040"/>
        </w:tabs>
        <w:ind w:left="5040" w:hanging="360"/>
      </w:pPr>
      <w:rPr>
        <w:rFonts w:ascii="Courier New" w:hAnsi="Courier New" w:cs="Courier New" w:hint="default"/>
      </w:rPr>
    </w:lvl>
    <w:lvl w:ilvl="5" w:tplc="DFA2D34A" w:tentative="1">
      <w:start w:val="1"/>
      <w:numFmt w:val="bullet"/>
      <w:lvlText w:val=""/>
      <w:lvlJc w:val="left"/>
      <w:pPr>
        <w:tabs>
          <w:tab w:val="num" w:pos="5760"/>
        </w:tabs>
        <w:ind w:left="5760" w:hanging="360"/>
      </w:pPr>
      <w:rPr>
        <w:rFonts w:ascii="Wingdings" w:hAnsi="Wingdings" w:hint="default"/>
      </w:rPr>
    </w:lvl>
    <w:lvl w:ilvl="6" w:tplc="5E38E932" w:tentative="1">
      <w:start w:val="1"/>
      <w:numFmt w:val="bullet"/>
      <w:lvlText w:val=""/>
      <w:lvlJc w:val="left"/>
      <w:pPr>
        <w:tabs>
          <w:tab w:val="num" w:pos="6480"/>
        </w:tabs>
        <w:ind w:left="6480" w:hanging="360"/>
      </w:pPr>
      <w:rPr>
        <w:rFonts w:ascii="Symbol" w:hAnsi="Symbol" w:hint="default"/>
      </w:rPr>
    </w:lvl>
    <w:lvl w:ilvl="7" w:tplc="D4E87E1A" w:tentative="1">
      <w:start w:val="1"/>
      <w:numFmt w:val="bullet"/>
      <w:lvlText w:val="o"/>
      <w:lvlJc w:val="left"/>
      <w:pPr>
        <w:tabs>
          <w:tab w:val="num" w:pos="7200"/>
        </w:tabs>
        <w:ind w:left="7200" w:hanging="360"/>
      </w:pPr>
      <w:rPr>
        <w:rFonts w:ascii="Courier New" w:hAnsi="Courier New" w:cs="Courier New" w:hint="default"/>
      </w:rPr>
    </w:lvl>
    <w:lvl w:ilvl="8" w:tplc="25AEF482"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75F6DCE2">
      <w:start w:val="1"/>
      <w:numFmt w:val="bullet"/>
      <w:lvlText w:val=""/>
      <w:lvlJc w:val="left"/>
      <w:pPr>
        <w:tabs>
          <w:tab w:val="num" w:pos="720"/>
        </w:tabs>
        <w:ind w:left="720" w:hanging="360"/>
      </w:pPr>
      <w:rPr>
        <w:rFonts w:ascii="Symbol" w:hAnsi="Symbol" w:hint="default"/>
      </w:rPr>
    </w:lvl>
    <w:lvl w:ilvl="1" w:tplc="5366FBBE" w:tentative="1">
      <w:start w:val="1"/>
      <w:numFmt w:val="bullet"/>
      <w:lvlText w:val="o"/>
      <w:lvlJc w:val="left"/>
      <w:pPr>
        <w:tabs>
          <w:tab w:val="num" w:pos="1440"/>
        </w:tabs>
        <w:ind w:left="1440" w:hanging="360"/>
      </w:pPr>
      <w:rPr>
        <w:rFonts w:ascii="Courier New" w:hAnsi="Courier New" w:cs="Courier New" w:hint="default"/>
      </w:rPr>
    </w:lvl>
    <w:lvl w:ilvl="2" w:tplc="42E80CB4" w:tentative="1">
      <w:start w:val="1"/>
      <w:numFmt w:val="bullet"/>
      <w:lvlText w:val=""/>
      <w:lvlJc w:val="left"/>
      <w:pPr>
        <w:tabs>
          <w:tab w:val="num" w:pos="2160"/>
        </w:tabs>
        <w:ind w:left="2160" w:hanging="360"/>
      </w:pPr>
      <w:rPr>
        <w:rFonts w:ascii="Wingdings" w:hAnsi="Wingdings" w:hint="default"/>
      </w:rPr>
    </w:lvl>
    <w:lvl w:ilvl="3" w:tplc="B99AF61C" w:tentative="1">
      <w:start w:val="1"/>
      <w:numFmt w:val="bullet"/>
      <w:lvlText w:val=""/>
      <w:lvlJc w:val="left"/>
      <w:pPr>
        <w:tabs>
          <w:tab w:val="num" w:pos="2880"/>
        </w:tabs>
        <w:ind w:left="2880" w:hanging="360"/>
      </w:pPr>
      <w:rPr>
        <w:rFonts w:ascii="Symbol" w:hAnsi="Symbol" w:hint="default"/>
      </w:rPr>
    </w:lvl>
    <w:lvl w:ilvl="4" w:tplc="4B603408" w:tentative="1">
      <w:start w:val="1"/>
      <w:numFmt w:val="bullet"/>
      <w:lvlText w:val="o"/>
      <w:lvlJc w:val="left"/>
      <w:pPr>
        <w:tabs>
          <w:tab w:val="num" w:pos="3600"/>
        </w:tabs>
        <w:ind w:left="3600" w:hanging="360"/>
      </w:pPr>
      <w:rPr>
        <w:rFonts w:ascii="Courier New" w:hAnsi="Courier New" w:cs="Courier New" w:hint="default"/>
      </w:rPr>
    </w:lvl>
    <w:lvl w:ilvl="5" w:tplc="A4106994" w:tentative="1">
      <w:start w:val="1"/>
      <w:numFmt w:val="bullet"/>
      <w:lvlText w:val=""/>
      <w:lvlJc w:val="left"/>
      <w:pPr>
        <w:tabs>
          <w:tab w:val="num" w:pos="4320"/>
        </w:tabs>
        <w:ind w:left="4320" w:hanging="360"/>
      </w:pPr>
      <w:rPr>
        <w:rFonts w:ascii="Wingdings" w:hAnsi="Wingdings" w:hint="default"/>
      </w:rPr>
    </w:lvl>
    <w:lvl w:ilvl="6" w:tplc="BCA21F66" w:tentative="1">
      <w:start w:val="1"/>
      <w:numFmt w:val="bullet"/>
      <w:lvlText w:val=""/>
      <w:lvlJc w:val="left"/>
      <w:pPr>
        <w:tabs>
          <w:tab w:val="num" w:pos="5040"/>
        </w:tabs>
        <w:ind w:left="5040" w:hanging="360"/>
      </w:pPr>
      <w:rPr>
        <w:rFonts w:ascii="Symbol" w:hAnsi="Symbol" w:hint="default"/>
      </w:rPr>
    </w:lvl>
    <w:lvl w:ilvl="7" w:tplc="1668F654" w:tentative="1">
      <w:start w:val="1"/>
      <w:numFmt w:val="bullet"/>
      <w:lvlText w:val="o"/>
      <w:lvlJc w:val="left"/>
      <w:pPr>
        <w:tabs>
          <w:tab w:val="num" w:pos="5760"/>
        </w:tabs>
        <w:ind w:left="5760" w:hanging="360"/>
      </w:pPr>
      <w:rPr>
        <w:rFonts w:ascii="Courier New" w:hAnsi="Courier New" w:cs="Courier New" w:hint="default"/>
      </w:rPr>
    </w:lvl>
    <w:lvl w:ilvl="8" w:tplc="7F58EA74"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9A7E7DC8">
      <w:start w:val="1"/>
      <w:numFmt w:val="bullet"/>
      <w:lvlText w:val=""/>
      <w:lvlJc w:val="left"/>
      <w:pPr>
        <w:tabs>
          <w:tab w:val="num" w:pos="5760"/>
        </w:tabs>
        <w:ind w:left="5760" w:hanging="360"/>
      </w:pPr>
      <w:rPr>
        <w:rFonts w:ascii="Symbol" w:hAnsi="Symbol" w:hint="default"/>
        <w:color w:val="auto"/>
        <w:u w:val="none"/>
      </w:rPr>
    </w:lvl>
    <w:lvl w:ilvl="1" w:tplc="C2DE3052" w:tentative="1">
      <w:start w:val="1"/>
      <w:numFmt w:val="bullet"/>
      <w:lvlText w:val="o"/>
      <w:lvlJc w:val="left"/>
      <w:pPr>
        <w:tabs>
          <w:tab w:val="num" w:pos="3600"/>
        </w:tabs>
        <w:ind w:left="3600" w:hanging="360"/>
      </w:pPr>
      <w:rPr>
        <w:rFonts w:ascii="Courier New" w:hAnsi="Courier New" w:hint="default"/>
      </w:rPr>
    </w:lvl>
    <w:lvl w:ilvl="2" w:tplc="318671B2" w:tentative="1">
      <w:start w:val="1"/>
      <w:numFmt w:val="bullet"/>
      <w:lvlText w:val=""/>
      <w:lvlJc w:val="left"/>
      <w:pPr>
        <w:tabs>
          <w:tab w:val="num" w:pos="4320"/>
        </w:tabs>
        <w:ind w:left="4320" w:hanging="360"/>
      </w:pPr>
      <w:rPr>
        <w:rFonts w:ascii="Wingdings" w:hAnsi="Wingdings" w:hint="default"/>
      </w:rPr>
    </w:lvl>
    <w:lvl w:ilvl="3" w:tplc="3328114E">
      <w:start w:val="1"/>
      <w:numFmt w:val="bullet"/>
      <w:lvlText w:val=""/>
      <w:lvlJc w:val="left"/>
      <w:pPr>
        <w:tabs>
          <w:tab w:val="num" w:pos="5040"/>
        </w:tabs>
        <w:ind w:left="5040" w:hanging="360"/>
      </w:pPr>
      <w:rPr>
        <w:rFonts w:ascii="Symbol" w:hAnsi="Symbol" w:hint="default"/>
      </w:rPr>
    </w:lvl>
    <w:lvl w:ilvl="4" w:tplc="3034B9F4" w:tentative="1">
      <w:start w:val="1"/>
      <w:numFmt w:val="bullet"/>
      <w:lvlText w:val="o"/>
      <w:lvlJc w:val="left"/>
      <w:pPr>
        <w:tabs>
          <w:tab w:val="num" w:pos="5760"/>
        </w:tabs>
        <w:ind w:left="5760" w:hanging="360"/>
      </w:pPr>
      <w:rPr>
        <w:rFonts w:ascii="Courier New" w:hAnsi="Courier New" w:hint="default"/>
      </w:rPr>
    </w:lvl>
    <w:lvl w:ilvl="5" w:tplc="33E2B0A8" w:tentative="1">
      <w:start w:val="1"/>
      <w:numFmt w:val="bullet"/>
      <w:lvlText w:val=""/>
      <w:lvlJc w:val="left"/>
      <w:pPr>
        <w:tabs>
          <w:tab w:val="num" w:pos="6480"/>
        </w:tabs>
        <w:ind w:left="6480" w:hanging="360"/>
      </w:pPr>
      <w:rPr>
        <w:rFonts w:ascii="Wingdings" w:hAnsi="Wingdings" w:hint="default"/>
      </w:rPr>
    </w:lvl>
    <w:lvl w:ilvl="6" w:tplc="8CE261C8" w:tentative="1">
      <w:start w:val="1"/>
      <w:numFmt w:val="bullet"/>
      <w:lvlText w:val=""/>
      <w:lvlJc w:val="left"/>
      <w:pPr>
        <w:tabs>
          <w:tab w:val="num" w:pos="7200"/>
        </w:tabs>
        <w:ind w:left="7200" w:hanging="360"/>
      </w:pPr>
      <w:rPr>
        <w:rFonts w:ascii="Symbol" w:hAnsi="Symbol" w:hint="default"/>
      </w:rPr>
    </w:lvl>
    <w:lvl w:ilvl="7" w:tplc="AEEAD020" w:tentative="1">
      <w:start w:val="1"/>
      <w:numFmt w:val="bullet"/>
      <w:lvlText w:val="o"/>
      <w:lvlJc w:val="left"/>
      <w:pPr>
        <w:tabs>
          <w:tab w:val="num" w:pos="7920"/>
        </w:tabs>
        <w:ind w:left="7920" w:hanging="360"/>
      </w:pPr>
      <w:rPr>
        <w:rFonts w:ascii="Courier New" w:hAnsi="Courier New" w:hint="default"/>
      </w:rPr>
    </w:lvl>
    <w:lvl w:ilvl="8" w:tplc="EEE68A80"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7D29ED"/>
    <w:rsid w:val="007D29ED"/>
    <w:rsid w:val="00DF7A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rules v:ext="edit">
        <o:r id="V:Rule1" type="connector" idref="#_x0000_s1028"/>
        <o:r id="V:Rule2" type="connector" idref="#_x0000_s1031"/>
        <o:r id="V:Rule3" type="connector" idref="#_x0000_s1032"/>
        <o:r id="V:Rule4" type="connector" idref="#_x0000_s1033"/>
        <o:r id="V:Rule5"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708"/>
    <w:pPr>
      <w:widowControl w:val="0"/>
    </w:pPr>
    <w:rPr>
      <w:snapToGrid w:val="0"/>
      <w:sz w:val="24"/>
    </w:rPr>
  </w:style>
  <w:style w:type="paragraph" w:styleId="Heading1">
    <w:name w:val="heading 1"/>
    <w:basedOn w:val="Normal"/>
    <w:next w:val="Normal"/>
    <w:link w:val="Heading1Char"/>
    <w:qFormat/>
    <w:rsid w:val="00842708"/>
    <w:pPr>
      <w:keepNext/>
      <w:spacing w:before="240" w:after="240"/>
      <w:ind w:left="720" w:hanging="720"/>
      <w:outlineLvl w:val="0"/>
    </w:pPr>
    <w:rPr>
      <w:b/>
    </w:rPr>
  </w:style>
  <w:style w:type="paragraph" w:styleId="Heading2">
    <w:name w:val="heading 2"/>
    <w:basedOn w:val="Normal"/>
    <w:next w:val="Normal"/>
    <w:qFormat/>
    <w:rsid w:val="0084270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4270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2708"/>
    <w:pPr>
      <w:keepNext/>
      <w:tabs>
        <w:tab w:val="left" w:pos="1800"/>
      </w:tabs>
      <w:spacing w:before="240" w:after="240"/>
      <w:ind w:left="1800" w:hanging="1080"/>
      <w:outlineLvl w:val="3"/>
    </w:pPr>
    <w:rPr>
      <w:b/>
    </w:rPr>
  </w:style>
  <w:style w:type="paragraph" w:styleId="Heading5">
    <w:name w:val="heading 5"/>
    <w:basedOn w:val="Normal"/>
    <w:next w:val="Normal"/>
    <w:qFormat/>
    <w:rsid w:val="00842708"/>
    <w:pPr>
      <w:keepNext/>
      <w:spacing w:line="480" w:lineRule="auto"/>
      <w:ind w:left="1440" w:right="-90" w:hanging="720"/>
      <w:outlineLvl w:val="4"/>
    </w:pPr>
    <w:rPr>
      <w:b/>
    </w:rPr>
  </w:style>
  <w:style w:type="paragraph" w:styleId="Heading6">
    <w:name w:val="heading 6"/>
    <w:basedOn w:val="Normal"/>
    <w:next w:val="Normal"/>
    <w:qFormat/>
    <w:rsid w:val="00842708"/>
    <w:pPr>
      <w:keepNext/>
      <w:spacing w:line="480" w:lineRule="auto"/>
      <w:ind w:left="1080" w:right="-90" w:hanging="360"/>
      <w:outlineLvl w:val="5"/>
    </w:pPr>
    <w:rPr>
      <w:b/>
    </w:rPr>
  </w:style>
  <w:style w:type="paragraph" w:styleId="Heading7">
    <w:name w:val="heading 7"/>
    <w:basedOn w:val="Normal"/>
    <w:next w:val="Normal"/>
    <w:qFormat/>
    <w:rsid w:val="00842708"/>
    <w:pPr>
      <w:keepNext/>
      <w:spacing w:line="480" w:lineRule="auto"/>
      <w:ind w:left="720" w:right="630"/>
      <w:outlineLvl w:val="6"/>
    </w:pPr>
    <w:rPr>
      <w:b/>
    </w:rPr>
  </w:style>
  <w:style w:type="paragraph" w:styleId="Heading8">
    <w:name w:val="heading 8"/>
    <w:basedOn w:val="Normal"/>
    <w:next w:val="Normal"/>
    <w:qFormat/>
    <w:rsid w:val="00842708"/>
    <w:pPr>
      <w:keepNext/>
      <w:spacing w:line="480" w:lineRule="auto"/>
      <w:ind w:left="720" w:right="-90"/>
      <w:outlineLvl w:val="7"/>
    </w:pPr>
    <w:rPr>
      <w:b/>
    </w:rPr>
  </w:style>
  <w:style w:type="paragraph" w:styleId="Heading9">
    <w:name w:val="heading 9"/>
    <w:basedOn w:val="Normal"/>
    <w:next w:val="Normal"/>
    <w:qFormat/>
    <w:rsid w:val="0084270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42708"/>
    <w:rPr>
      <w:b/>
      <w:snapToGrid w:val="0"/>
      <w:sz w:val="24"/>
      <w:lang w:val="en-US" w:eastAsia="en-US" w:bidi="ar-SA"/>
    </w:rPr>
  </w:style>
  <w:style w:type="paragraph" w:styleId="Header">
    <w:name w:val="header"/>
    <w:basedOn w:val="Normal"/>
    <w:rsid w:val="00842708"/>
    <w:pPr>
      <w:widowControl/>
      <w:tabs>
        <w:tab w:val="center" w:pos="4680"/>
        <w:tab w:val="right" w:pos="9360"/>
      </w:tabs>
    </w:pPr>
    <w:rPr>
      <w:snapToGrid/>
      <w:szCs w:val="24"/>
    </w:rPr>
  </w:style>
  <w:style w:type="paragraph" w:styleId="Footer">
    <w:name w:val="footer"/>
    <w:basedOn w:val="Normal"/>
    <w:rsid w:val="00842708"/>
    <w:pPr>
      <w:tabs>
        <w:tab w:val="center" w:pos="4320"/>
        <w:tab w:val="right" w:pos="8640"/>
      </w:tabs>
    </w:pPr>
  </w:style>
  <w:style w:type="character" w:styleId="FootnoteReference">
    <w:name w:val="footnote reference"/>
    <w:semiHidden/>
    <w:rsid w:val="00842708"/>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842708"/>
    <w:pPr>
      <w:widowControl/>
      <w:spacing w:before="240" w:after="240"/>
    </w:pPr>
  </w:style>
  <w:style w:type="paragraph" w:customStyle="1" w:styleId="Definitionindent">
    <w:name w:val="Definition indent"/>
    <w:basedOn w:val="Definition"/>
    <w:rsid w:val="00842708"/>
    <w:pPr>
      <w:spacing w:before="120" w:after="120"/>
      <w:ind w:left="720"/>
    </w:pPr>
  </w:style>
  <w:style w:type="paragraph" w:customStyle="1" w:styleId="Bodypara">
    <w:name w:val="Body para"/>
    <w:basedOn w:val="Normal"/>
    <w:link w:val="BodyparaChar"/>
    <w:rsid w:val="00842708"/>
    <w:pPr>
      <w:spacing w:line="480" w:lineRule="auto"/>
      <w:ind w:firstLine="720"/>
    </w:pPr>
  </w:style>
  <w:style w:type="paragraph" w:customStyle="1" w:styleId="alphapara">
    <w:name w:val="alpha para"/>
    <w:basedOn w:val="Bodypara"/>
    <w:rsid w:val="00842708"/>
    <w:pPr>
      <w:ind w:left="1440" w:hanging="720"/>
    </w:pPr>
  </w:style>
  <w:style w:type="paragraph" w:styleId="Date">
    <w:name w:val="Date"/>
    <w:basedOn w:val="Normal"/>
    <w:next w:val="Normal"/>
    <w:rsid w:val="00842708"/>
    <w:pPr>
      <w:widowControl/>
    </w:pPr>
  </w:style>
  <w:style w:type="paragraph" w:customStyle="1" w:styleId="TOCHeading1">
    <w:name w:val="TOC Heading1"/>
    <w:basedOn w:val="Normal"/>
    <w:rsid w:val="00842708"/>
    <w:pPr>
      <w:spacing w:before="240" w:after="240"/>
    </w:pPr>
    <w:rPr>
      <w:b/>
    </w:rPr>
  </w:style>
  <w:style w:type="paragraph" w:styleId="DocumentMap">
    <w:name w:val="Document Map"/>
    <w:basedOn w:val="Normal"/>
    <w:semiHidden/>
    <w:rsid w:val="00842708"/>
    <w:pPr>
      <w:shd w:val="clear" w:color="auto" w:fill="000080"/>
    </w:pPr>
    <w:rPr>
      <w:rFonts w:ascii="Tahoma" w:hAnsi="Tahoma" w:cs="Tahoma"/>
      <w:sz w:val="20"/>
    </w:rPr>
  </w:style>
  <w:style w:type="paragraph" w:styleId="BalloonText">
    <w:name w:val="Balloon Text"/>
    <w:basedOn w:val="Normal"/>
    <w:semiHidden/>
    <w:rsid w:val="00842708"/>
    <w:rPr>
      <w:rFonts w:ascii="Tahoma" w:hAnsi="Tahoma" w:cs="Tahoma"/>
      <w:sz w:val="16"/>
      <w:szCs w:val="16"/>
    </w:rPr>
  </w:style>
  <w:style w:type="paragraph" w:customStyle="1" w:styleId="Footers">
    <w:name w:val="Footers"/>
    <w:basedOn w:val="Heading1"/>
    <w:rsid w:val="00842708"/>
    <w:pPr>
      <w:tabs>
        <w:tab w:val="left" w:pos="1440"/>
        <w:tab w:val="left" w:pos="7020"/>
        <w:tab w:val="right" w:pos="9360"/>
      </w:tabs>
    </w:pPr>
    <w:rPr>
      <w:b w:val="0"/>
      <w:sz w:val="20"/>
    </w:rPr>
  </w:style>
  <w:style w:type="paragraph" w:customStyle="1" w:styleId="subhead">
    <w:name w:val="subhead"/>
    <w:basedOn w:val="Heading4"/>
    <w:rsid w:val="00842708"/>
    <w:pPr>
      <w:tabs>
        <w:tab w:val="clear" w:pos="1800"/>
      </w:tabs>
      <w:ind w:left="720" w:firstLine="0"/>
    </w:pPr>
  </w:style>
  <w:style w:type="paragraph" w:customStyle="1" w:styleId="alphaheading">
    <w:name w:val="alpha heading"/>
    <w:basedOn w:val="Normal"/>
    <w:rsid w:val="00842708"/>
    <w:pPr>
      <w:keepNext/>
      <w:tabs>
        <w:tab w:val="left" w:pos="1440"/>
      </w:tabs>
      <w:spacing w:before="240" w:after="240"/>
      <w:ind w:left="1440" w:hanging="720"/>
    </w:pPr>
    <w:rPr>
      <w:b/>
      <w:szCs w:val="24"/>
    </w:rPr>
  </w:style>
  <w:style w:type="paragraph" w:customStyle="1" w:styleId="romannumeralpara">
    <w:name w:val="roman numeral para"/>
    <w:basedOn w:val="Normal"/>
    <w:rsid w:val="00842708"/>
    <w:pPr>
      <w:spacing w:line="480" w:lineRule="auto"/>
      <w:ind w:left="1440" w:hanging="720"/>
    </w:pPr>
  </w:style>
  <w:style w:type="paragraph" w:customStyle="1" w:styleId="Bulletpara">
    <w:name w:val="Bullet para"/>
    <w:basedOn w:val="Normal"/>
    <w:rsid w:val="00842708"/>
    <w:pPr>
      <w:widowControl/>
      <w:numPr>
        <w:numId w:val="23"/>
      </w:numPr>
      <w:tabs>
        <w:tab w:val="left" w:pos="900"/>
      </w:tabs>
      <w:spacing w:before="120" w:after="120"/>
    </w:pPr>
    <w:rPr>
      <w:szCs w:val="24"/>
    </w:rPr>
  </w:style>
  <w:style w:type="paragraph" w:styleId="TOC1">
    <w:name w:val="toc 1"/>
    <w:basedOn w:val="Normal"/>
    <w:next w:val="Normal"/>
    <w:semiHidden/>
    <w:rsid w:val="00842708"/>
  </w:style>
  <w:style w:type="paragraph" w:customStyle="1" w:styleId="Tarifftitle">
    <w:name w:val="Tariff title"/>
    <w:basedOn w:val="Normal"/>
    <w:rsid w:val="00842708"/>
    <w:rPr>
      <w:b/>
      <w:sz w:val="28"/>
      <w:szCs w:val="28"/>
    </w:rPr>
  </w:style>
  <w:style w:type="paragraph" w:styleId="TOC2">
    <w:name w:val="toc 2"/>
    <w:basedOn w:val="Normal"/>
    <w:next w:val="Normal"/>
    <w:semiHidden/>
    <w:rsid w:val="00842708"/>
    <w:pPr>
      <w:ind w:left="240"/>
    </w:pPr>
  </w:style>
  <w:style w:type="character" w:styleId="Hyperlink">
    <w:name w:val="Hyperlink"/>
    <w:basedOn w:val="DefaultParagraphFont"/>
    <w:rsid w:val="00842708"/>
    <w:rPr>
      <w:color w:val="0000FF"/>
      <w:u w:val="single"/>
    </w:rPr>
  </w:style>
  <w:style w:type="paragraph" w:styleId="TOC3">
    <w:name w:val="toc 3"/>
    <w:basedOn w:val="Normal"/>
    <w:next w:val="Normal"/>
    <w:semiHidden/>
    <w:rsid w:val="00842708"/>
    <w:pPr>
      <w:ind w:left="480"/>
    </w:pPr>
  </w:style>
  <w:style w:type="paragraph" w:styleId="TOC4">
    <w:name w:val="toc 4"/>
    <w:basedOn w:val="Normal"/>
    <w:next w:val="Normal"/>
    <w:semiHidden/>
    <w:rsid w:val="00842708"/>
    <w:pPr>
      <w:ind w:left="720"/>
    </w:pPr>
  </w:style>
  <w:style w:type="character" w:customStyle="1" w:styleId="Heading1Char">
    <w:name w:val="Heading 1 Char"/>
    <w:basedOn w:val="DefaultParagraphFont"/>
    <w:link w:val="Heading1"/>
    <w:rsid w:val="00842708"/>
    <w:rPr>
      <w:b/>
      <w:snapToGrid w:val="0"/>
      <w:sz w:val="24"/>
    </w:rPr>
  </w:style>
  <w:style w:type="character" w:customStyle="1" w:styleId="Heading3Char1">
    <w:name w:val="Heading 3 Char1"/>
    <w:basedOn w:val="DefaultParagraphFont"/>
    <w:link w:val="Heading3"/>
    <w:rsid w:val="00842708"/>
    <w:rPr>
      <w:b/>
      <w:snapToGrid w:val="0"/>
      <w:sz w:val="24"/>
    </w:rPr>
  </w:style>
  <w:style w:type="paragraph" w:styleId="TOC5">
    <w:name w:val="toc 5"/>
    <w:basedOn w:val="Normal"/>
    <w:next w:val="Normal"/>
    <w:rsid w:val="00842708"/>
    <w:pPr>
      <w:widowControl/>
      <w:ind w:left="960"/>
    </w:pPr>
    <w:rPr>
      <w:snapToGrid/>
      <w:szCs w:val="24"/>
    </w:rPr>
  </w:style>
  <w:style w:type="paragraph" w:styleId="TOC6">
    <w:name w:val="toc 6"/>
    <w:basedOn w:val="Normal"/>
    <w:next w:val="Normal"/>
    <w:rsid w:val="00842708"/>
    <w:pPr>
      <w:widowControl/>
      <w:ind w:left="1200"/>
    </w:pPr>
    <w:rPr>
      <w:snapToGrid/>
      <w:szCs w:val="24"/>
    </w:rPr>
  </w:style>
  <w:style w:type="paragraph" w:styleId="TOC7">
    <w:name w:val="toc 7"/>
    <w:basedOn w:val="Normal"/>
    <w:next w:val="Normal"/>
    <w:rsid w:val="00842708"/>
    <w:pPr>
      <w:widowControl/>
      <w:ind w:left="1440"/>
    </w:pPr>
    <w:rPr>
      <w:snapToGrid/>
      <w:szCs w:val="24"/>
    </w:rPr>
  </w:style>
  <w:style w:type="paragraph" w:styleId="TOC8">
    <w:name w:val="toc 8"/>
    <w:basedOn w:val="Normal"/>
    <w:next w:val="Normal"/>
    <w:rsid w:val="00842708"/>
    <w:pPr>
      <w:widowControl/>
      <w:ind w:left="1680"/>
    </w:pPr>
    <w:rPr>
      <w:snapToGrid/>
      <w:szCs w:val="24"/>
    </w:rPr>
  </w:style>
  <w:style w:type="paragraph" w:styleId="TOC9">
    <w:name w:val="toc 9"/>
    <w:basedOn w:val="Normal"/>
    <w:next w:val="Normal"/>
    <w:rsid w:val="00842708"/>
    <w:pPr>
      <w:widowControl/>
      <w:ind w:left="1920"/>
    </w:pPr>
    <w:rPr>
      <w:snapToGrid/>
      <w:szCs w:val="24"/>
    </w:rPr>
  </w:style>
  <w:style w:type="paragraph" w:customStyle="1" w:styleId="a">
    <w:name w:val="_"/>
    <w:basedOn w:val="Normal"/>
    <w:rsid w:val="00842708"/>
    <w:pPr>
      <w:ind w:left="1800" w:hanging="630"/>
    </w:pPr>
  </w:style>
  <w:style w:type="character" w:styleId="CommentReference">
    <w:name w:val="annotation reference"/>
    <w:basedOn w:val="DefaultParagraphFont"/>
    <w:rsid w:val="00842708"/>
    <w:rPr>
      <w:sz w:val="16"/>
      <w:szCs w:val="16"/>
    </w:rPr>
  </w:style>
  <w:style w:type="paragraph" w:styleId="CommentText">
    <w:name w:val="annotation text"/>
    <w:basedOn w:val="Normal"/>
    <w:link w:val="CommentTextChar"/>
    <w:rsid w:val="00842708"/>
    <w:rPr>
      <w:sz w:val="20"/>
    </w:rPr>
  </w:style>
  <w:style w:type="character" w:customStyle="1" w:styleId="CommentTextChar">
    <w:name w:val="Comment Text Char"/>
    <w:basedOn w:val="DefaultParagraphFont"/>
    <w:link w:val="CommentText"/>
    <w:rsid w:val="00842708"/>
    <w:rPr>
      <w:snapToGrid w:val="0"/>
    </w:rPr>
  </w:style>
  <w:style w:type="paragraph" w:styleId="CommentSubject">
    <w:name w:val="annotation subject"/>
    <w:basedOn w:val="CommentText"/>
    <w:next w:val="CommentText"/>
    <w:link w:val="CommentSubjectChar"/>
    <w:rsid w:val="00842708"/>
    <w:rPr>
      <w:b/>
      <w:bCs/>
    </w:rPr>
  </w:style>
  <w:style w:type="character" w:customStyle="1" w:styleId="CommentSubjectChar">
    <w:name w:val="Comment Subject Char"/>
    <w:basedOn w:val="CommentTextChar"/>
    <w:link w:val="CommentSubject"/>
    <w:rsid w:val="00842708"/>
    <w:rPr>
      <w:b/>
      <w:bCs/>
      <w:snapToGrid w:val="0"/>
    </w:rPr>
  </w:style>
  <w:style w:type="character" w:styleId="PageNumber">
    <w:name w:val="page number"/>
    <w:basedOn w:val="DefaultParagraphFont"/>
    <w:rsid w:val="00842708"/>
  </w:style>
  <w:style w:type="paragraph" w:styleId="BodyTextIndent">
    <w:name w:val="Body Text Indent"/>
    <w:aliases w:val="bi"/>
    <w:basedOn w:val="Normal"/>
    <w:link w:val="BodyTextIndentChar"/>
    <w:rsid w:val="0084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42708"/>
    <w:rPr>
      <w:snapToGrid w:val="0"/>
      <w:sz w:val="24"/>
    </w:rPr>
  </w:style>
  <w:style w:type="character" w:customStyle="1" w:styleId="BodyparaChar">
    <w:name w:val="Body para Char"/>
    <w:basedOn w:val="DefaultParagraphFont"/>
    <w:link w:val="Bodypara"/>
    <w:rsid w:val="00842708"/>
    <w:rPr>
      <w:snapToGrid w:val="0"/>
      <w:sz w:val="24"/>
    </w:rPr>
  </w:style>
  <w:style w:type="table" w:styleId="TableGrid">
    <w:name w:val="Table Grid"/>
    <w:basedOn w:val="TableNormal"/>
    <w:rsid w:val="0084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77C"/>
    <w:rPr>
      <w:color w:val="808080"/>
    </w:rPr>
  </w:style>
  <w:style w:type="table" w:customStyle="1" w:styleId="TableGrid1">
    <w:name w:val="Table Grid1"/>
    <w:basedOn w:val="TableNormal"/>
    <w:next w:val="TableGrid"/>
    <w:uiPriority w:val="59"/>
    <w:rsid w:val="00E93E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2010-05-25T19:03:00Z</cp:lastPrinted>
  <dcterms:created xsi:type="dcterms:W3CDTF">2018-06-12T19:09:00Z</dcterms:created>
  <dcterms:modified xsi:type="dcterms:W3CDTF">2018-06-12T19:09:00Z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