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20052">
      <w:pPr>
        <w:pStyle w:val="Heading2"/>
      </w:pPr>
      <w:bookmarkStart w:id="0" w:name="_Toc115162737"/>
      <w:bookmarkStart w:id="1" w:name="_Toc260839845"/>
      <w:bookmarkStart w:id="2" w:name="_Toc311192603"/>
      <w:bookmarkStart w:id="3" w:name="_GoBack"/>
      <w:bookmarkEnd w:id="3"/>
      <w:r>
        <w:t>35.13</w:t>
      </w:r>
      <w:r>
        <w:tab/>
        <w:t>Joint Checkout Procedures</w:t>
      </w:r>
      <w:bookmarkEnd w:id="0"/>
      <w:bookmarkEnd w:id="1"/>
      <w:bookmarkEnd w:id="2"/>
      <w:r>
        <w:t xml:space="preserve"> </w:t>
      </w:r>
    </w:p>
    <w:p w:rsidR="00E20052" w:rsidRPr="00801080" w:rsidP="00801080">
      <w:pPr>
        <w:pStyle w:val="Heading3"/>
        <w:tabs>
          <w:tab w:val="left" w:pos="1080"/>
        </w:tabs>
        <w:spacing w:before="240" w:after="240"/>
        <w:ind w:left="1080" w:right="634" w:hanging="1080"/>
        <w:rPr>
          <w:rFonts w:ascii="Times New Roman" w:hAnsi="Times New Roman" w:cs="Times New Roman"/>
          <w:color w:val="auto"/>
        </w:rPr>
      </w:pPr>
      <w:bookmarkStart w:id="4" w:name="_Toc260839846"/>
      <w:bookmarkStart w:id="5" w:name="_Toc311192604"/>
      <w:r w:rsidRPr="00801080">
        <w:rPr>
          <w:rFonts w:ascii="Times New Roman" w:hAnsi="Times New Roman" w:cs="Times New Roman"/>
          <w:color w:val="auto"/>
        </w:rPr>
        <w:t>35.13.1</w:t>
      </w:r>
      <w:r w:rsidRPr="00801080">
        <w:rPr>
          <w:rFonts w:ascii="Times New Roman" w:hAnsi="Times New Roman" w:cs="Times New Roman"/>
          <w:color w:val="auto"/>
        </w:rPr>
        <w:tab/>
        <w:t>Scheduling Checkout Protocols</w:t>
      </w:r>
      <w:bookmarkEnd w:id="4"/>
      <w:bookmarkEnd w:id="5"/>
    </w:p>
    <w:p w:rsidR="00E20052">
      <w:pPr>
        <w:pStyle w:val="romannumeralpara"/>
      </w:pPr>
      <w:r>
        <w:t>35.13.1.1</w:t>
      </w:r>
      <w:r>
        <w:rPr>
          <w:b/>
        </w:rPr>
        <w:tab/>
      </w:r>
      <w:r>
        <w:t xml:space="preserve">Both Parties shall require all transaction schedules to be tagged in accord with the NERC tagging standard.  For reserve sharing and other emergency schedules that are not </w:t>
      </w:r>
      <w:r>
        <w:t>tagged, the Parties will enter manual schedules after the fact into their respective scheduling systems.</w:t>
      </w:r>
    </w:p>
    <w:p w:rsidR="00E20052">
      <w:pPr>
        <w:pStyle w:val="romannumeralpara"/>
      </w:pPr>
      <w:r>
        <w:t>35.13.1.2</w:t>
      </w:r>
      <w:r>
        <w:rPr>
          <w:b/>
        </w:rPr>
        <w:tab/>
      </w:r>
      <w:r>
        <w:t xml:space="preserve">When there is a transaction scheduling conflict, the Parties will work to modify the schedule as soon as practical.  </w:t>
      </w:r>
    </w:p>
    <w:p w:rsidR="00E20052">
      <w:pPr>
        <w:pStyle w:val="romannumeralpara"/>
      </w:pPr>
      <w:r>
        <w:t>35.13.1.3</w:t>
      </w:r>
      <w:r>
        <w:rPr>
          <w:b/>
        </w:rPr>
        <w:tab/>
      </w:r>
      <w:r>
        <w:t>The Parties w</w:t>
      </w:r>
      <w:r>
        <w:t>ill perform the following types of checkouts.  Checkouts will be consistent with 35.13.1.1 and 35.13.1.2.</w:t>
      </w:r>
    </w:p>
    <w:p w:rsidR="00E20052">
      <w:pPr>
        <w:pStyle w:val="romannumeralpara"/>
      </w:pPr>
      <w:r>
        <w:t>(a)</w:t>
      </w:r>
      <w:r>
        <w:tab/>
        <w:t>Day</w:t>
      </w:r>
      <w:r>
        <w:t>-</w:t>
      </w:r>
      <w:r>
        <w:t xml:space="preserve">ahead checkout shall be performed daily on the day before the transaction is to flow.  Day-ahead checkout includes the verification of import </w:t>
      </w:r>
      <w:r>
        <w:t xml:space="preserve">and export totals and individual transaction schedules. </w:t>
      </w:r>
    </w:p>
    <w:p w:rsidR="00E20052">
      <w:pPr>
        <w:pStyle w:val="alphapara"/>
      </w:pPr>
      <w:r>
        <w:t>(b)</w:t>
      </w:r>
      <w:r>
        <w:tab/>
        <w:t>Real</w:t>
      </w:r>
      <w:r>
        <w:t>-</w:t>
      </w:r>
      <w:r>
        <w:t>time checkout shall be performed hourly during the hour before the transaction is to flow.  Real</w:t>
      </w:r>
      <w:r>
        <w:t>-</w:t>
      </w:r>
      <w:r>
        <w:t>time checkout includes the verification of import and export totals and individual transactio</w:t>
      </w:r>
      <w:r>
        <w:t xml:space="preserve">n schedules.  </w:t>
      </w:r>
    </w:p>
    <w:p w:rsidR="00E20052">
      <w:pPr>
        <w:pStyle w:val="alphapara"/>
      </w:pPr>
      <w:r>
        <w:t>(c)</w:t>
      </w:r>
      <w:r>
        <w:tab/>
        <w:t>After-the-fact checkout of transactions shall be performed the next business day following the day of the transactions.</w:t>
      </w:r>
    </w:p>
    <w:p w:rsidR="00E20052">
      <w:pPr>
        <w:pStyle w:val="alphapara"/>
      </w:pPr>
      <w:r>
        <w:t>(d)</w:t>
      </w:r>
      <w:r>
        <w:tab/>
        <w:t>After-the-fact reporting of hourly scheduled energy interchanged and hourly actual energy interchanged shall be u</w:t>
      </w:r>
      <w:r>
        <w:t xml:space="preserve">pdated by each Party each day and exchanged with the other Party.  Each day, month to date data shall be exchanged.  Parties shall resolve discrepancies within ten (10) business days of the end of each month.  </w:t>
      </w:r>
    </w:p>
    <w:sectPr w:rsidSect="00E20052">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35.13 OATT Att CC Joint Checkout Procedures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35.13 OATT Att CC Joint Checkout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35.13 OATT Att CC Joint Checkout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oNotTrackMoves/>
  <w:defaultTabStop w:val="720"/>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80"/>
    <w:rsid w:val="001E7080"/>
    <w:rsid w:val="003B13BF"/>
    <w:rsid w:val="00801080"/>
    <w:rsid w:val="00E2005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C637A-CE8B-4529-9246-38DD55F74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2019-09-01T18:56:00Z</dcterms:created>
  <dcterms:modified xsi:type="dcterms:W3CDTF">2019-09-01T18:56:00Z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