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9B" w:rsidRPr="00D3156A" w:rsidRDefault="00514461"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r>
        <w:t>30.</w:t>
      </w:r>
      <w:r>
        <w:t>6</w:t>
      </w:r>
      <w:r w:rsidRPr="0066094B">
        <w:tab/>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D3156A" w:rsidRDefault="00514461" w:rsidP="003812A1">
      <w:pPr>
        <w:pStyle w:val="Heading3"/>
      </w:pPr>
      <w:bookmarkStart w:id="17" w:name="_Toc56827000"/>
      <w:bookmarkStart w:id="18" w:name="_Toc56827275"/>
      <w:bookmarkStart w:id="19" w:name="_Toc56827550"/>
      <w:bookmarkStart w:id="20" w:name="_Toc56830310"/>
      <w:bookmarkStart w:id="21" w:name="_Toc57111635"/>
      <w:bookmarkStart w:id="22" w:name="_Toc57111915"/>
      <w:bookmarkStart w:id="23" w:name="_Toc57365368"/>
      <w:bookmarkStart w:id="24" w:name="_Toc57365548"/>
      <w:bookmarkStart w:id="25" w:name="_Toc57366908"/>
      <w:bookmarkStart w:id="26" w:name="_Toc57367016"/>
      <w:bookmarkStart w:id="27" w:name="_Toc57483125"/>
      <w:bookmarkStart w:id="28" w:name="_Toc58968478"/>
      <w:bookmarkStart w:id="29" w:name="_Toc59813811"/>
      <w:bookmarkStart w:id="30" w:name="_Toc59967832"/>
      <w:bookmarkStart w:id="31" w:name="_Toc59970429"/>
      <w:bookmarkStart w:id="32" w:name="_Toc61695464"/>
      <w:bookmarkStart w:id="33" w:name="_Toc262657381"/>
      <w:r>
        <w:t>30.</w:t>
      </w:r>
      <w:r w:rsidRPr="00D3156A">
        <w:t>6.1</w:t>
      </w:r>
      <w:r w:rsidRPr="00D3156A">
        <w:tab/>
        <w:t>Interconnection Feasibility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514461" w:rsidP="00262390">
      <w:pPr>
        <w:pStyle w:val="Bodypara"/>
      </w:pPr>
      <w:r w:rsidRPr="00D3156A">
        <w:t xml:space="preserve">Simultaneously with the acknowledgement of a valid Interconnection Request the NYISO shall provide to Developer and Connecting Transmission Owner an Interconnection </w:t>
      </w:r>
      <w:r w:rsidRPr="00D3156A">
        <w:t>Feasibility Study Agreement in the form of Appendix 2.  The Interconnection Feasibility Study Agreement shall specify that Developer is responsible for the actual cost of the Interconnection Feasibility Study.  Within</w:t>
      </w:r>
      <w:r w:rsidRPr="00572BFF">
        <w:t xml:space="preserve"> five (5) Business Days following the S</w:t>
      </w:r>
      <w:r w:rsidRPr="00572BFF">
        <w:t xml:space="preserve">coping Meeting, Developer shall specify for inclusion in the attachment to the Interconnection Feasibility Study Agreement the Point(s) of Interconnection and any reasonable alternative Point(s) of Interconnection.  Within five (5) Business Days following </w:t>
      </w:r>
      <w:r w:rsidRPr="00572BFF">
        <w:t xml:space="preserve">the NYISO’s receipt of such designation, NYISO shall tender to Developer the Interconnection Feasibility Study Agreement, which includes a good faith estimate of the cost for completing the Interconnection Feasibility Study.  </w:t>
      </w:r>
      <w:r w:rsidRPr="00D3156A">
        <w:t>The Developer must provide a $</w:t>
      </w:r>
      <w:r w:rsidRPr="00D3156A">
        <w:t xml:space="preserve">30,000 study deposit, in addition to the $30,000 provided with the Interconnection Request, to the NYISO if the NYISO is responsible for performing the entire study.  If the Developer is hiring a third-party consultant to perform the analytical portion of </w:t>
      </w:r>
      <w:r w:rsidRPr="00D3156A">
        <w:t>the study, then no additional study deposit is required.  The Developer shall execute and deliver to the NYISO the Interconnection Feasibility Study Agreement along with a $30,000 deposit, if required, no later than thirty (30) Calendar Days after its rece</w:t>
      </w:r>
      <w:r w:rsidRPr="00D3156A">
        <w:t>ipt.  The NYISO and Transmission Owner shall execute the Interconnection Feasibility Study Agreement within thirty (30) Calendar Days of its receipt by Developer.</w:t>
      </w:r>
    </w:p>
    <w:p w:rsidR="00B7679B" w:rsidRDefault="00514461" w:rsidP="003812A1">
      <w:pPr>
        <w:pStyle w:val="Bodypara"/>
      </w:pPr>
      <w:r w:rsidRPr="00D3156A">
        <w:t>On or before the return of the executed Interconnection Feasibility Study Agreement to the NY</w:t>
      </w:r>
      <w:r w:rsidRPr="00D3156A">
        <w:t>ISO, the Developer shall provide the technical data called</w:t>
      </w:r>
      <w:r>
        <w:t xml:space="preserve"> for in Appendix 2, Attachment A.</w:t>
      </w:r>
    </w:p>
    <w:p w:rsidR="00B7679B" w:rsidRPr="00695980" w:rsidRDefault="00514461" w:rsidP="003812A1">
      <w:pPr>
        <w:pStyle w:val="Bodypara"/>
      </w:pPr>
      <w:r>
        <w:lastRenderedPageBreak/>
        <w:t xml:space="preserve">If the Interconnection Feasibility Study uncovers any unexpected result(s) not contemplated during the Scoping Meeting, a substitute Point of Interconnection </w:t>
      </w:r>
      <w:r w:rsidRPr="00695980">
        <w:t>identi</w:t>
      </w:r>
      <w:r w:rsidRPr="00695980">
        <w:t>fied by either Developer or Connecting Transmission Owner and NYISO,</w:t>
      </w:r>
      <w:r>
        <w:t xml:space="preserve"> and acceptable to the other Parties, such acceptance not to be unreasonably withheld, will be substituted for the designated Point of Interconnection specified above without loss of Queue</w:t>
      </w:r>
      <w:r>
        <w:t xml:space="preserve"> Position, and Re-studies shall be completed pursuant to Section </w:t>
      </w:r>
      <w:r>
        <w:t>30.</w:t>
      </w:r>
      <w:r>
        <w:t xml:space="preserve">6.4 as applicable.  For the purpose of this Section </w:t>
      </w:r>
      <w:r>
        <w:t>30.</w:t>
      </w:r>
      <w:r>
        <w:t xml:space="preserve">6.1, if the NYISO, </w:t>
      </w:r>
      <w:r w:rsidRPr="00695980">
        <w:t>Connecting Transmission Owner and Developer cannot agree on the substituted Point of Interconnection, then Develop</w:t>
      </w:r>
      <w:r w:rsidRPr="00695980">
        <w:t xml:space="preserve">er may direct that one of the alternatives as specified in the Interconnection Feasibility Study Agreement, as specified pursuant to Section </w:t>
      </w:r>
      <w:r>
        <w:t>30.</w:t>
      </w:r>
      <w:r w:rsidRPr="00695980">
        <w:t>3.3.4, shall be the substitute.</w:t>
      </w:r>
    </w:p>
    <w:p w:rsidR="00B7679B" w:rsidRPr="00D3156A" w:rsidRDefault="00514461" w:rsidP="003812A1">
      <w:pPr>
        <w:pStyle w:val="Bodypara"/>
      </w:pPr>
      <w:r w:rsidRPr="00695980">
        <w:t>If the NYISO, Connecting Transmission Owner and Developer agree to forego the In</w:t>
      </w:r>
      <w:r w:rsidRPr="00695980">
        <w:t>terconnection Feasibility Study,</w:t>
      </w:r>
      <w:r>
        <w:t xml:space="preserve"> the NYISO will initiate an Interconnection </w:t>
      </w:r>
      <w:r w:rsidRPr="00D3156A">
        <w:t xml:space="preserve">System Reliability Impact Study under Section </w:t>
      </w:r>
      <w:r>
        <w:t>30.</w:t>
      </w:r>
      <w:r w:rsidRPr="00D3156A">
        <w:t>7 of these Large Facility Interconnection Procedures and apply the $30,000 deposit provided with the Interconnection Request, towar</w:t>
      </w:r>
      <w:r w:rsidRPr="00D3156A">
        <w:t>ds the Interconnection System Reliability Impact Study.</w:t>
      </w:r>
    </w:p>
    <w:p w:rsidR="00581E33" w:rsidRPr="006C31F9" w:rsidRDefault="00514461" w:rsidP="003812A1">
      <w:pPr>
        <w:pStyle w:val="Heading3"/>
      </w:pPr>
      <w:bookmarkStart w:id="34" w:name="_Toc56827001"/>
      <w:bookmarkStart w:id="35" w:name="_Toc56827276"/>
      <w:bookmarkStart w:id="36" w:name="_Toc56827551"/>
      <w:bookmarkStart w:id="37" w:name="_Toc56830311"/>
      <w:bookmarkStart w:id="38" w:name="_Toc57111636"/>
      <w:bookmarkStart w:id="39" w:name="_Toc57111916"/>
      <w:bookmarkStart w:id="40" w:name="_Toc57365369"/>
      <w:bookmarkStart w:id="41" w:name="_Toc57365549"/>
      <w:bookmarkStart w:id="42" w:name="_Toc57366909"/>
      <w:bookmarkStart w:id="43" w:name="_Toc57367017"/>
      <w:bookmarkStart w:id="44" w:name="_Toc57483126"/>
      <w:bookmarkStart w:id="45" w:name="_Toc58968479"/>
      <w:bookmarkStart w:id="46" w:name="_Toc59813812"/>
      <w:bookmarkStart w:id="47" w:name="_Toc59967833"/>
      <w:bookmarkStart w:id="48" w:name="_Toc59970430"/>
      <w:bookmarkStart w:id="49" w:name="_Toc61695465"/>
      <w:bookmarkStart w:id="50" w:name="_Toc262657382"/>
      <w:r>
        <w:t>30.</w:t>
      </w:r>
      <w:r w:rsidRPr="006C31F9">
        <w:t>6.2</w:t>
      </w:r>
      <w:r w:rsidRPr="006C31F9">
        <w:tab/>
      </w:r>
      <w:r w:rsidRPr="006C31F9">
        <w:t>Scope of Interconnection Feasibility Study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514461" w:rsidP="003812A1">
      <w:pPr>
        <w:pStyle w:val="Bodypara"/>
      </w:pPr>
      <w:r>
        <w:t xml:space="preserve">The Interconnection Feasibility Study shall preliminarily evaluate the feasibility of the proposed interconnection to the New York State Transmission </w:t>
      </w:r>
      <w:r>
        <w:t xml:space="preserve">System.  </w:t>
      </w:r>
    </w:p>
    <w:p w:rsidR="00B7679B" w:rsidRDefault="00514461" w:rsidP="003812A1">
      <w:pPr>
        <w:pStyle w:val="Bodypara"/>
      </w:pPr>
      <w:r>
        <w:t>The Interconnection Feasibility Study shall be conducted in accordance with Applicable Reliability Standards.</w:t>
      </w:r>
    </w:p>
    <w:p w:rsidR="00B7679B" w:rsidRPr="00D3156A" w:rsidRDefault="00514461" w:rsidP="003812A1">
      <w:pPr>
        <w:pStyle w:val="Bodypara"/>
      </w:pPr>
      <w:r>
        <w:t xml:space="preserve">The Interconnection Feasibility Study will consider the Base Case and, if not </w:t>
      </w:r>
      <w:r w:rsidRPr="00695980">
        <w:t>already included in the Base Case, all generating and merc</w:t>
      </w:r>
      <w:r w:rsidRPr="00695980">
        <w:t xml:space="preserve">hant transmission facilities (and with respect to (iii), any identified System Upgrade Facilities and, if security or cash has been posted in </w:t>
      </w:r>
      <w:r w:rsidRPr="00695980">
        <w:lastRenderedPageBreak/>
        <w:t>accordance with Attachment S, System Deliverability Upgrades, except for Highway facility upgrades that have not y</w:t>
      </w:r>
      <w:r w:rsidRPr="00695980">
        <w:t xml:space="preserve">et been triggered under Section </w:t>
      </w:r>
      <w:r>
        <w:t>25.</w:t>
      </w:r>
      <w:r w:rsidRPr="00677507">
        <w:t>7.12</w:t>
      </w:r>
      <w:r>
        <w:t>.3.1</w:t>
      </w:r>
      <w:r w:rsidRPr="00695980">
        <w:t xml:space="preserve"> of Attachment S) that, on the date the</w:t>
      </w:r>
      <w:r>
        <w:t xml:space="preserve"> </w:t>
      </w:r>
      <w:r w:rsidRPr="00D3156A">
        <w:t>Interconnection Feasibility Study Agreement is fully executed: (i) are directly interconnected to the New York State Transmission System; (ii) are interconnected to Affected</w:t>
      </w:r>
      <w:r w:rsidRPr="00D3156A">
        <w:t xml:space="preserve"> Systems and may have an impact on the Interconnection Request; (iii) have accepted their cost allocation for System Upgrade Facilities and posted security for such System Upgrade Facilities in accordance with Attachment S; and (iv) have no Queue Position </w:t>
      </w:r>
      <w:r w:rsidRPr="00D3156A">
        <w:t>but have executed a Standard Large Generator Interconnection Agreement or requested that an unexecuted Standard Large Generator Interconnection Agreement be filed with FERC.  Certain changes have been made, effective January 17, 2010, to the Base Case requ</w:t>
      </w:r>
      <w:r w:rsidRPr="00D3156A">
        <w:t>irements for</w:t>
      </w:r>
      <w:r>
        <w:t xml:space="preserve"> </w:t>
      </w:r>
      <w:r w:rsidRPr="00D3156A">
        <w:t>Interconnection Feasibility Studies.  These changed requirements will be applied prospectively to projects with Interconnection Feasibility Study Agreements fully executed on or after that effective date; provided, however, that Developers wit</w:t>
      </w:r>
      <w:r w:rsidRPr="00D3156A">
        <w:t xml:space="preserve">h Interconnection Feasibility Studies in progress with Interconnection Feasibility Study Agreements fully executed prior to that effective date may elect, at their own expense, to modify the Base Case assumptions for that study consistent with the changed </w:t>
      </w:r>
      <w:r w:rsidRPr="00D3156A">
        <w:t>requirements.  Such an election will be memorialized in an amended</w:t>
      </w:r>
      <w:r w:rsidRPr="00AF0C99">
        <w:t xml:space="preserve"> </w:t>
      </w:r>
      <w:r w:rsidRPr="00D3156A">
        <w:t>Interconnection Feasibility Study Agreement.</w:t>
      </w:r>
    </w:p>
    <w:p w:rsidR="00B7679B" w:rsidRDefault="00514461" w:rsidP="003812A1">
      <w:pPr>
        <w:pStyle w:val="Bodypara"/>
      </w:pPr>
      <w:r>
        <w:t>The Interconnection Feasibility Study will consist of a power flow and short circuit analysis.  The Interconnection Feasibility Study will provi</w:t>
      </w:r>
      <w:r>
        <w:t>de a list of facilities and a non-binding good faith estimate of cost responsibility and a non-binding good faith estimated time to construct.</w:t>
      </w:r>
    </w:p>
    <w:p w:rsidR="00C52A12" w:rsidRPr="00C52A12" w:rsidRDefault="00514461" w:rsidP="003812A1">
      <w:pPr>
        <w:pStyle w:val="Heading3"/>
      </w:pPr>
      <w:bookmarkStart w:id="51" w:name="_Toc56827002"/>
      <w:bookmarkStart w:id="52" w:name="_Toc56827277"/>
      <w:bookmarkStart w:id="53" w:name="_Toc56827552"/>
      <w:bookmarkStart w:id="54" w:name="_Toc56830312"/>
      <w:bookmarkStart w:id="55" w:name="_Toc57111637"/>
      <w:bookmarkStart w:id="56" w:name="_Toc57111917"/>
      <w:bookmarkStart w:id="57" w:name="_Toc57365370"/>
      <w:bookmarkStart w:id="58" w:name="_Toc57365550"/>
      <w:bookmarkStart w:id="59" w:name="_Toc57366910"/>
      <w:bookmarkStart w:id="60" w:name="_Toc57367018"/>
      <w:bookmarkStart w:id="61" w:name="_Toc57483127"/>
      <w:bookmarkStart w:id="62" w:name="_Toc58968480"/>
      <w:bookmarkStart w:id="63" w:name="_Toc59813813"/>
      <w:bookmarkStart w:id="64" w:name="_Toc59967834"/>
      <w:bookmarkStart w:id="65" w:name="_Toc59970431"/>
      <w:bookmarkStart w:id="66" w:name="_Toc61695466"/>
      <w:bookmarkStart w:id="67" w:name="_Toc262657383"/>
      <w:r>
        <w:t>30.</w:t>
      </w:r>
      <w:r w:rsidRPr="00C52A12">
        <w:t>6.3</w:t>
      </w:r>
      <w:r w:rsidRPr="00C52A12">
        <w:tab/>
        <w:t>Interconnection Feasibility Study Procedures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52A12" w:rsidRPr="00C52A12" w:rsidRDefault="00514461" w:rsidP="003812A1">
      <w:pPr>
        <w:pStyle w:val="Bodypara"/>
      </w:pPr>
      <w:r w:rsidRPr="00C52A12">
        <w:t>The NYISO shall utilize existing studies to the extent practi</w:t>
      </w:r>
      <w:r w:rsidRPr="00C52A12">
        <w:t>cable when it performs the study.  The NYISO shall use Reasonable Efforts to complete the Interconnection Feasibility Study no later than forty-five (45) Calendar Days after the NYISO receives the fully executed Interconnection Feasibility Study Agreement.</w:t>
      </w:r>
      <w:r w:rsidRPr="00C52A12">
        <w:t xml:space="preserve">  At the request of the Developer or at any time the NYISO determines that it will not meet the required time frame for completing the Interconnection Feasibility Study, NYISO shall notify the Developer as to the schedule status of the Interconnection Feas</w:t>
      </w:r>
      <w:r w:rsidRPr="00C52A12">
        <w:t>ibility Study.  If the NYISO is unable to complete the Interconnection Feasibility Study within that time period, it shall notify the Developer and provide an estimated completion date with an explanation of the reasons why additional time is required.  Up</w:t>
      </w:r>
      <w:r w:rsidRPr="00C52A12">
        <w:t>on request, the NYISO shall provide the Developer supporting documentation, workpapers and relevant power flow, short circuit and stability databases for the Interconnection Feasibility Study, subject to confidentiality arrangements consistent with Section</w:t>
      </w:r>
      <w:r w:rsidRPr="00C52A12">
        <w:t xml:space="preserve"> </w:t>
      </w:r>
      <w:r>
        <w:t>30.</w:t>
      </w:r>
      <w:r w:rsidRPr="00C52A12">
        <w:t>13.1.</w:t>
      </w:r>
    </w:p>
    <w:p w:rsidR="00C52A12" w:rsidRPr="003812A1" w:rsidRDefault="00514461" w:rsidP="003812A1">
      <w:pPr>
        <w:pStyle w:val="Heading3"/>
      </w:pPr>
      <w:bookmarkStart w:id="68" w:name="_Toc56827003"/>
      <w:bookmarkStart w:id="69" w:name="_Toc56827278"/>
      <w:bookmarkStart w:id="70" w:name="_Toc56827553"/>
      <w:bookmarkStart w:id="71" w:name="_Toc56830313"/>
      <w:bookmarkStart w:id="72" w:name="_Toc57111638"/>
      <w:bookmarkStart w:id="73" w:name="_Toc57111918"/>
      <w:bookmarkStart w:id="74" w:name="_Toc57365371"/>
      <w:bookmarkStart w:id="75" w:name="_Toc57365551"/>
      <w:bookmarkStart w:id="76" w:name="_Toc57366911"/>
      <w:bookmarkStart w:id="77" w:name="_Toc262657384"/>
      <w:r>
        <w:t>30.</w:t>
      </w:r>
      <w:r w:rsidRPr="003812A1">
        <w:t>6.3.1</w:t>
      </w:r>
      <w:r w:rsidRPr="003812A1">
        <w:tab/>
        <w:t>Study Report Meeting</w:t>
      </w:r>
      <w:bookmarkEnd w:id="68"/>
      <w:bookmarkEnd w:id="69"/>
      <w:bookmarkEnd w:id="70"/>
      <w:bookmarkEnd w:id="71"/>
      <w:bookmarkEnd w:id="72"/>
      <w:bookmarkEnd w:id="73"/>
      <w:bookmarkEnd w:id="74"/>
      <w:bookmarkEnd w:id="75"/>
      <w:bookmarkEnd w:id="76"/>
      <w:bookmarkEnd w:id="77"/>
    </w:p>
    <w:p w:rsidR="00C52A12" w:rsidRPr="00C52A12" w:rsidRDefault="00514461" w:rsidP="003812A1">
      <w:pPr>
        <w:pStyle w:val="Bodypara"/>
      </w:pPr>
      <w:r w:rsidRPr="00C52A12">
        <w:t xml:space="preserve">Within ten (10) Business Days of providing an Interconnection </w:t>
      </w:r>
      <w:r w:rsidRPr="00695980">
        <w:t>Feasibility Study report to Developer, the NYISO and Connecting</w:t>
      </w:r>
      <w:r w:rsidRPr="00AF0C99">
        <w:t xml:space="preserve"> </w:t>
      </w:r>
      <w:r w:rsidRPr="00C52A12">
        <w:t>Transmission Owner shall meet with Developer to discuss the results of the Interconnection</w:t>
      </w:r>
      <w:r w:rsidRPr="00C52A12">
        <w:t xml:space="preserve"> Feasibility Study.</w:t>
      </w:r>
    </w:p>
    <w:p w:rsidR="00C52A12" w:rsidRPr="00C52A12" w:rsidRDefault="00514461" w:rsidP="003812A1">
      <w:pPr>
        <w:pStyle w:val="Heading3"/>
      </w:pPr>
      <w:bookmarkStart w:id="78" w:name="_Toc56827004"/>
      <w:bookmarkStart w:id="79" w:name="_Toc56827279"/>
      <w:bookmarkStart w:id="80" w:name="_Toc56827554"/>
      <w:bookmarkStart w:id="81" w:name="_Toc56830314"/>
      <w:bookmarkStart w:id="82" w:name="_Toc57111639"/>
      <w:bookmarkStart w:id="83" w:name="_Toc57111919"/>
      <w:bookmarkStart w:id="84" w:name="_Toc57365372"/>
      <w:bookmarkStart w:id="85" w:name="_Toc57365552"/>
      <w:bookmarkStart w:id="86" w:name="_Toc57366912"/>
      <w:bookmarkStart w:id="87" w:name="_Toc57367019"/>
      <w:bookmarkStart w:id="88" w:name="_Toc57483128"/>
      <w:bookmarkStart w:id="89" w:name="_Toc58968481"/>
      <w:bookmarkStart w:id="90" w:name="_Toc59813814"/>
      <w:bookmarkStart w:id="91" w:name="_Toc59967835"/>
      <w:bookmarkStart w:id="92" w:name="_Toc59970432"/>
      <w:bookmarkStart w:id="93" w:name="_Toc61695467"/>
      <w:bookmarkStart w:id="94" w:name="_Toc262657385"/>
      <w:r>
        <w:t>30.</w:t>
      </w:r>
      <w:r w:rsidRPr="00C52A12">
        <w:t>6.4</w:t>
      </w:r>
      <w:r w:rsidRPr="00C52A12">
        <w:tab/>
        <w:t>Re-Study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C52A12" w:rsidRPr="00C52A12" w:rsidRDefault="00514461" w:rsidP="003812A1">
      <w:pPr>
        <w:pStyle w:val="Bodypara"/>
      </w:pPr>
      <w:r w:rsidRPr="00C52A12">
        <w:t xml:space="preserve">If the NYISO determines that re-study of the Interconnection Feasibility Study is required due to a higher queued project dropping out of the queue, or a modification of a higher queued project subject to Section </w:t>
      </w:r>
      <w:r>
        <w:t>30.</w:t>
      </w:r>
      <w:r w:rsidRPr="00C52A12">
        <w:t>4.4,</w:t>
      </w:r>
      <w:r w:rsidRPr="00C52A12">
        <w:t xml:space="preserve"> or re-designation of the Point of Interconnection pursuant to Section </w:t>
      </w:r>
      <w:r>
        <w:t>30.</w:t>
      </w:r>
      <w:r w:rsidRPr="00C52A12">
        <w:t>6.1 NYISO shall notify Developer in writing.  Such re-study shall take not longer than forty-five (45) Calendar Days from the date of the notice.  Any cost of re-study shall be borne</w:t>
      </w:r>
      <w:r w:rsidRPr="00C52A12">
        <w:t xml:space="preserve"> by the Developer being re-studied.</w:t>
      </w:r>
    </w:p>
    <w:sectPr w:rsidR="00C52A12" w:rsidRPr="00C52A12" w:rsidSect="007C6D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2C" w:rsidRDefault="00070F2C" w:rsidP="00070F2C">
      <w:r>
        <w:separator/>
      </w:r>
    </w:p>
  </w:endnote>
  <w:endnote w:type="continuationSeparator" w:id="0">
    <w:p w:rsidR="00070F2C" w:rsidRDefault="00070F2C" w:rsidP="00070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2C" w:rsidRDefault="0051446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70F2C">
      <w:rPr>
        <w:rFonts w:ascii="Arial" w:eastAsia="Arial" w:hAnsi="Arial" w:cs="Arial"/>
        <w:color w:val="000000"/>
        <w:sz w:val="16"/>
      </w:rPr>
      <w:fldChar w:fldCharType="begin"/>
    </w:r>
    <w:r>
      <w:rPr>
        <w:rFonts w:ascii="Arial" w:eastAsia="Arial" w:hAnsi="Arial" w:cs="Arial"/>
        <w:color w:val="000000"/>
        <w:sz w:val="16"/>
      </w:rPr>
      <w:instrText>PAGE</w:instrText>
    </w:r>
    <w:r w:rsidR="00070F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2C" w:rsidRDefault="0051446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30/2010 - Page </w:t>
    </w:r>
    <w:r w:rsidR="00070F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0F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2C" w:rsidRDefault="0051446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70F2C">
      <w:rPr>
        <w:rFonts w:ascii="Arial" w:eastAsia="Arial" w:hAnsi="Arial" w:cs="Arial"/>
        <w:color w:val="000000"/>
        <w:sz w:val="16"/>
      </w:rPr>
      <w:fldChar w:fldCharType="begin"/>
    </w:r>
    <w:r>
      <w:rPr>
        <w:rFonts w:ascii="Arial" w:eastAsia="Arial" w:hAnsi="Arial" w:cs="Arial"/>
        <w:color w:val="000000"/>
        <w:sz w:val="16"/>
      </w:rPr>
      <w:instrText>PAGE</w:instrText>
    </w:r>
    <w:r w:rsidR="00070F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2C" w:rsidRDefault="00070F2C" w:rsidP="00070F2C">
      <w:r>
        <w:separator/>
      </w:r>
    </w:p>
  </w:footnote>
  <w:footnote w:type="continuationSeparator" w:id="0">
    <w:p w:rsidR="00070F2C" w:rsidRDefault="00070F2C" w:rsidP="00070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2C" w:rsidRDefault="005144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w:t>
    </w:r>
    <w:r>
      <w:rPr>
        <w:rFonts w:ascii="Arial" w:eastAsia="Arial" w:hAnsi="Arial" w:cs="Arial"/>
        <w:color w:val="000000"/>
        <w:sz w:val="16"/>
      </w:rPr>
      <w:t>ion Feasibility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2C" w:rsidRDefault="005144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2C" w:rsidRDefault="005144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912FA5C">
      <w:start w:val="1"/>
      <w:numFmt w:val="bullet"/>
      <w:pStyle w:val="Bulletpara"/>
      <w:lvlText w:val=""/>
      <w:lvlJc w:val="left"/>
      <w:pPr>
        <w:tabs>
          <w:tab w:val="num" w:pos="720"/>
        </w:tabs>
        <w:ind w:left="720" w:hanging="360"/>
      </w:pPr>
      <w:rPr>
        <w:rFonts w:ascii="Symbol" w:hAnsi="Symbol" w:hint="default"/>
      </w:rPr>
    </w:lvl>
    <w:lvl w:ilvl="1" w:tplc="444CAE22" w:tentative="1">
      <w:start w:val="1"/>
      <w:numFmt w:val="bullet"/>
      <w:lvlText w:val="o"/>
      <w:lvlJc w:val="left"/>
      <w:pPr>
        <w:tabs>
          <w:tab w:val="num" w:pos="1440"/>
        </w:tabs>
        <w:ind w:left="1440" w:hanging="360"/>
      </w:pPr>
      <w:rPr>
        <w:rFonts w:ascii="Courier New" w:hAnsi="Courier New" w:hint="default"/>
      </w:rPr>
    </w:lvl>
    <w:lvl w:ilvl="2" w:tplc="CF06D1C6" w:tentative="1">
      <w:start w:val="1"/>
      <w:numFmt w:val="bullet"/>
      <w:lvlText w:val=""/>
      <w:lvlJc w:val="left"/>
      <w:pPr>
        <w:tabs>
          <w:tab w:val="num" w:pos="2160"/>
        </w:tabs>
        <w:ind w:left="2160" w:hanging="360"/>
      </w:pPr>
      <w:rPr>
        <w:rFonts w:ascii="Wingdings" w:hAnsi="Wingdings" w:hint="default"/>
      </w:rPr>
    </w:lvl>
    <w:lvl w:ilvl="3" w:tplc="4FAE55FE" w:tentative="1">
      <w:start w:val="1"/>
      <w:numFmt w:val="bullet"/>
      <w:lvlText w:val=""/>
      <w:lvlJc w:val="left"/>
      <w:pPr>
        <w:tabs>
          <w:tab w:val="num" w:pos="2880"/>
        </w:tabs>
        <w:ind w:left="2880" w:hanging="360"/>
      </w:pPr>
      <w:rPr>
        <w:rFonts w:ascii="Symbol" w:hAnsi="Symbol" w:hint="default"/>
      </w:rPr>
    </w:lvl>
    <w:lvl w:ilvl="4" w:tplc="74845602" w:tentative="1">
      <w:start w:val="1"/>
      <w:numFmt w:val="bullet"/>
      <w:lvlText w:val="o"/>
      <w:lvlJc w:val="left"/>
      <w:pPr>
        <w:tabs>
          <w:tab w:val="num" w:pos="3600"/>
        </w:tabs>
        <w:ind w:left="3600" w:hanging="360"/>
      </w:pPr>
      <w:rPr>
        <w:rFonts w:ascii="Courier New" w:hAnsi="Courier New" w:hint="default"/>
      </w:rPr>
    </w:lvl>
    <w:lvl w:ilvl="5" w:tplc="148ECA2A" w:tentative="1">
      <w:start w:val="1"/>
      <w:numFmt w:val="bullet"/>
      <w:lvlText w:val=""/>
      <w:lvlJc w:val="left"/>
      <w:pPr>
        <w:tabs>
          <w:tab w:val="num" w:pos="4320"/>
        </w:tabs>
        <w:ind w:left="4320" w:hanging="360"/>
      </w:pPr>
      <w:rPr>
        <w:rFonts w:ascii="Wingdings" w:hAnsi="Wingdings" w:hint="default"/>
      </w:rPr>
    </w:lvl>
    <w:lvl w:ilvl="6" w:tplc="2124BFEC" w:tentative="1">
      <w:start w:val="1"/>
      <w:numFmt w:val="bullet"/>
      <w:lvlText w:val=""/>
      <w:lvlJc w:val="left"/>
      <w:pPr>
        <w:tabs>
          <w:tab w:val="num" w:pos="5040"/>
        </w:tabs>
        <w:ind w:left="5040" w:hanging="360"/>
      </w:pPr>
      <w:rPr>
        <w:rFonts w:ascii="Symbol" w:hAnsi="Symbol" w:hint="default"/>
      </w:rPr>
    </w:lvl>
    <w:lvl w:ilvl="7" w:tplc="50CE810C" w:tentative="1">
      <w:start w:val="1"/>
      <w:numFmt w:val="bullet"/>
      <w:lvlText w:val="o"/>
      <w:lvlJc w:val="left"/>
      <w:pPr>
        <w:tabs>
          <w:tab w:val="num" w:pos="5760"/>
        </w:tabs>
        <w:ind w:left="5760" w:hanging="360"/>
      </w:pPr>
      <w:rPr>
        <w:rFonts w:ascii="Courier New" w:hAnsi="Courier New" w:hint="default"/>
      </w:rPr>
    </w:lvl>
    <w:lvl w:ilvl="8" w:tplc="4750148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70F2C"/>
    <w:rsid w:val="00070F2C"/>
    <w:rsid w:val="005144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070F2C"/>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070F2C"/>
    <w:pPr>
      <w:ind w:left="960"/>
    </w:pPr>
  </w:style>
  <w:style w:type="paragraph" w:styleId="TOC6">
    <w:name w:val="toc 6"/>
    <w:basedOn w:val="Normal"/>
    <w:next w:val="Normal"/>
    <w:semiHidden/>
    <w:rsid w:val="00070F2C"/>
    <w:pPr>
      <w:ind w:left="1200"/>
    </w:pPr>
  </w:style>
  <w:style w:type="paragraph" w:styleId="TOC7">
    <w:name w:val="toc 7"/>
    <w:basedOn w:val="Normal"/>
    <w:next w:val="Normal"/>
    <w:semiHidden/>
    <w:rsid w:val="00070F2C"/>
    <w:pPr>
      <w:ind w:left="1440"/>
    </w:pPr>
  </w:style>
  <w:style w:type="paragraph" w:styleId="TOC8">
    <w:name w:val="toc 8"/>
    <w:basedOn w:val="Normal"/>
    <w:next w:val="Normal"/>
    <w:semiHidden/>
    <w:rsid w:val="00070F2C"/>
    <w:pPr>
      <w:ind w:left="1680"/>
    </w:pPr>
  </w:style>
  <w:style w:type="paragraph" w:styleId="TOC9">
    <w:name w:val="toc 9"/>
    <w:basedOn w:val="Normal"/>
    <w:next w:val="Normal"/>
    <w:semiHidden/>
    <w:rsid w:val="00070F2C"/>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070F2C"/>
    <w:rPr>
      <w:sz w:val="20"/>
      <w:szCs w:val="20"/>
    </w:rPr>
  </w:style>
  <w:style w:type="paragraph" w:styleId="CommentText">
    <w:name w:val="annotation text"/>
    <w:basedOn w:val="Normal"/>
    <w:semiHidden/>
    <w:rsid w:val="00070F2C"/>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
    <w:name w:val="TOC heading"/>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2017-12-15T01:43:00Z</dcterms:created>
  <dcterms:modified xsi:type="dcterms:W3CDTF">2017-12-15T01:43:00Z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