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3F" w:rsidRPr="00ED333B" w:rsidRDefault="006172E3">
      <w:pPr>
        <w:pStyle w:val="Heading2"/>
        <w:keepNext/>
        <w:tabs>
          <w:tab w:val="left" w:pos="1080"/>
        </w:tabs>
        <w:spacing w:before="240" w:line="240" w:lineRule="auto"/>
        <w:ind w:left="1080" w:right="14" w:hanging="1080"/>
        <w:rPr>
          <w:snapToGrid/>
          <w:szCs w:val="24"/>
        </w:rPr>
      </w:pPr>
      <w:bookmarkStart w:id="0" w:name="_Toc260839785"/>
      <w:bookmarkStart w:id="1" w:name="_GoBack"/>
      <w:bookmarkEnd w:id="1"/>
      <w:r w:rsidRPr="00ED333B">
        <w:rPr>
          <w:snapToGrid/>
          <w:szCs w:val="24"/>
        </w:rPr>
        <w:t>35.2</w:t>
      </w:r>
      <w:bookmarkStart w:id="2" w:name="_Toc115162683"/>
      <w:r w:rsidRPr="00ED333B">
        <w:rPr>
          <w:snapToGrid/>
          <w:szCs w:val="24"/>
        </w:rPr>
        <w:tab/>
        <w:t>Abbreviations, Acronyms, Definitions</w:t>
      </w:r>
      <w:bookmarkEnd w:id="0"/>
      <w:bookmarkEnd w:id="2"/>
      <w:r w:rsidRPr="00ED333B">
        <w:rPr>
          <w:snapToGrid/>
          <w:szCs w:val="24"/>
        </w:rPr>
        <w:t xml:space="preserve"> and Rules of Construction</w:t>
      </w:r>
    </w:p>
    <w:p w:rsidR="008D2B3F" w:rsidRPr="00ED333B" w:rsidRDefault="006172E3">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rsidRDefault="006172E3">
      <w:pPr>
        <w:pStyle w:val="Heading3"/>
      </w:pPr>
      <w:r w:rsidRPr="00ED333B">
        <w:t>35.2.1</w:t>
      </w:r>
      <w:r w:rsidRPr="00ED333B">
        <w:tab/>
        <w:t>Abbreviations, Acronyms and Definitions</w:t>
      </w:r>
    </w:p>
    <w:p w:rsidR="00535B0F" w:rsidRPr="00ED333B" w:rsidRDefault="006172E3" w:rsidP="00535B0F">
      <w:pPr>
        <w:rPr>
          <w:rFonts w:ascii="Times New Roman" w:hAnsi="Times New Roman"/>
          <w:sz w:val="24"/>
          <w:szCs w:val="24"/>
        </w:rPr>
      </w:pPr>
      <w:r w:rsidRPr="00ED333B">
        <w:rPr>
          <w:rFonts w:ascii="Times New Roman" w:hAnsi="Times New Roman"/>
          <w:b/>
          <w:sz w:val="24"/>
          <w:szCs w:val="24"/>
        </w:rPr>
        <w:t>“3500 PAR”</w:t>
      </w:r>
      <w:r w:rsidRPr="00ED333B">
        <w:rPr>
          <w:rFonts w:ascii="Times New Roman" w:hAnsi="Times New Roman"/>
          <w:sz w:val="24"/>
          <w:szCs w:val="24"/>
        </w:rPr>
        <w:t xml:space="preserve"> sha</w:t>
      </w:r>
      <w:r w:rsidRPr="00ED333B">
        <w:rPr>
          <w:rFonts w:ascii="Times New Roman" w:hAnsi="Times New Roman"/>
          <w:sz w:val="24"/>
          <w:szCs w:val="24"/>
        </w:rPr>
        <w:t xml:space="preserve">ll mean the 3500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Pr>
          <w:rFonts w:ascii="Times New Roman" w:hAnsi="Times New Roman"/>
          <w:sz w:val="24"/>
          <w:szCs w:val="24"/>
        </w:rPr>
        <w:t xml:space="preserve"> </w:t>
      </w:r>
      <w:r w:rsidRPr="00ED333B">
        <w:rPr>
          <w:rFonts w:ascii="Times New Roman" w:hAnsi="Times New Roman"/>
          <w:sz w:val="24"/>
          <w:szCs w:val="24"/>
        </w:rPr>
        <w:t xml:space="preserve">connected to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p>
    <w:p w:rsidR="00535B0F" w:rsidRPr="00ED333B" w:rsidRDefault="006172E3" w:rsidP="00535B0F">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sidRPr="00ED333B">
        <w:rPr>
          <w:rFonts w:ascii="Times New Roman" w:hAnsi="Times New Roman"/>
          <w:sz w:val="24"/>
          <w:szCs w:val="24"/>
        </w:rPr>
        <w:t xml:space="preserve"> </w:t>
      </w:r>
      <w:r w:rsidRPr="00ED333B">
        <w:rPr>
          <w:rFonts w:ascii="Times New Roman" w:hAnsi="Times New Roman"/>
          <w:sz w:val="24"/>
          <w:szCs w:val="24"/>
        </w:rPr>
        <w:t>connected to</w:t>
      </w:r>
      <w:r w:rsidRPr="00ED333B">
        <w:rPr>
          <w:rFonts w:ascii="Times New Roman" w:hAnsi="Times New Roman"/>
          <w:sz w:val="24"/>
          <w:szCs w:val="24"/>
        </w:rPr>
        <w:t xml:space="preserve">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r w:rsidRPr="00ED333B">
        <w:rPr>
          <w:rFonts w:ascii="Times New Roman" w:hAnsi="Times New Roman"/>
          <w:sz w:val="24"/>
          <w:szCs w:val="24"/>
        </w:rPr>
        <w:t>.</w:t>
      </w:r>
    </w:p>
    <w:p w:rsidR="007734A5" w:rsidRPr="00ED333B" w:rsidRDefault="006172E3">
      <w:pPr>
        <w:pStyle w:val="Definition"/>
        <w:rPr>
          <w:rFonts w:ascii="Times New Roman" w:hAnsi="Times New Roman"/>
          <w:sz w:val="24"/>
          <w:szCs w:val="24"/>
        </w:rPr>
      </w:pPr>
      <w:bookmarkStart w:id="3" w:name="_DV_M14"/>
      <w:bookmarkEnd w:id="3"/>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Pr>
          <w:rFonts w:ascii="Times New Roman" w:hAnsi="Times New Roman"/>
          <w:sz w:val="24"/>
          <w:szCs w:val="24"/>
        </w:rPr>
        <w:t>phase angle regulator</w:t>
      </w:r>
      <w:r w:rsidRPr="00ED333B">
        <w:rPr>
          <w:rFonts w:ascii="Times New Roman" w:hAnsi="Times New Roman"/>
          <w:sz w:val="24"/>
          <w:szCs w:val="24"/>
        </w:rPr>
        <w:t xml:space="preserve"> located </w:t>
      </w:r>
      <w:r w:rsidRPr="00ED333B">
        <w:rPr>
          <w:rFonts w:ascii="Times New Roman" w:hAnsi="Times New Roman"/>
          <w:sz w:val="24"/>
          <w:szCs w:val="24"/>
        </w:rPr>
        <w:t>a</w:t>
      </w:r>
      <w:r w:rsidRPr="00ED333B">
        <w:rPr>
          <w:rFonts w:ascii="Times New Roman" w:hAnsi="Times New Roman"/>
          <w:sz w:val="24"/>
          <w:szCs w:val="24"/>
        </w:rPr>
        <w:t xml:space="preserve"> the </w:t>
      </w:r>
      <w:r w:rsidRPr="00ED333B">
        <w:rPr>
          <w:rFonts w:ascii="Times New Roman" w:hAnsi="Times New Roman"/>
          <w:sz w:val="24"/>
          <w:szCs w:val="24"/>
        </w:rPr>
        <w:t>Goeth</w:t>
      </w:r>
      <w:r w:rsidRPr="00ED333B">
        <w:rPr>
          <w:rFonts w:ascii="Times New Roman" w:hAnsi="Times New Roman"/>
          <w:sz w:val="24"/>
          <w:szCs w:val="24"/>
        </w:rPr>
        <w:t>a</w:t>
      </w:r>
      <w:r w:rsidRPr="00ED333B">
        <w:rPr>
          <w:rFonts w:ascii="Times New Roman" w:hAnsi="Times New Roman"/>
          <w:sz w:val="24"/>
          <w:szCs w:val="24"/>
        </w:rPr>
        <w:t xml:space="preserve">ls </w:t>
      </w:r>
      <w:r w:rsidRPr="00ED333B">
        <w:rPr>
          <w:rFonts w:ascii="Times New Roman" w:hAnsi="Times New Roman"/>
          <w:sz w:val="24"/>
          <w:szCs w:val="24"/>
        </w:rPr>
        <w:t>s</w:t>
      </w:r>
      <w:r w:rsidRPr="00ED333B">
        <w:rPr>
          <w:rFonts w:ascii="Times New Roman" w:hAnsi="Times New Roman"/>
          <w:sz w:val="24"/>
          <w:szCs w:val="24"/>
        </w:rPr>
        <w:t xml:space="preserve">tation connected to the </w:t>
      </w:r>
      <w:r w:rsidRPr="00ED333B">
        <w:rPr>
          <w:rFonts w:ascii="Times New Roman" w:hAnsi="Times New Roman"/>
          <w:sz w:val="24"/>
          <w:szCs w:val="24"/>
        </w:rPr>
        <w:t>A</w:t>
      </w:r>
      <w:r w:rsidRPr="00ED333B">
        <w:rPr>
          <w:rFonts w:ascii="Times New Roman" w:hAnsi="Times New Roman"/>
          <w:sz w:val="24"/>
          <w:szCs w:val="24"/>
        </w:rPr>
        <w:t>2253</w:t>
      </w:r>
      <w:r w:rsidRPr="00ED333B">
        <w:rPr>
          <w:rFonts w:ascii="Times New Roman" w:hAnsi="Times New Roman"/>
          <w:sz w:val="24"/>
          <w:szCs w:val="24"/>
        </w:rPr>
        <w:t xml:space="preserve"> </w:t>
      </w:r>
      <w:r w:rsidRPr="00ED333B">
        <w:rPr>
          <w:rFonts w:ascii="Times New Roman" w:hAnsi="Times New Roman"/>
          <w:sz w:val="24"/>
          <w:szCs w:val="24"/>
        </w:rPr>
        <w:t xml:space="preserve">Linden-Goethals 230 kV </w:t>
      </w:r>
      <w:r w:rsidRPr="00ED333B">
        <w:rPr>
          <w:rFonts w:ascii="Times New Roman" w:hAnsi="Times New Roman"/>
          <w:sz w:val="24"/>
          <w:szCs w:val="24"/>
        </w:rPr>
        <w:t xml:space="preserve">line. </w:t>
      </w:r>
    </w:p>
    <w:p w:rsidR="009A7612" w:rsidRPr="00ED333B" w:rsidRDefault="006172E3">
      <w:pPr>
        <w:pStyle w:val="Definition"/>
        <w:rPr>
          <w:rFonts w:ascii="Times New Roman" w:hAnsi="Times New Roman"/>
          <w:b/>
          <w:sz w:val="24"/>
          <w:szCs w:val="24"/>
        </w:rPr>
      </w:pP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A2253 Linden-Goethals, B3402 </w:t>
      </w:r>
      <w:r w:rsidRPr="00ED333B">
        <w:rPr>
          <w:rFonts w:ascii="Times New Roman" w:hAnsi="Times New Roman"/>
          <w:sz w:val="24"/>
          <w:szCs w:val="24"/>
        </w:rPr>
        <w:t>Hudson</w:t>
      </w:r>
      <w:r w:rsidRPr="00ED333B">
        <w:rPr>
          <w:rFonts w:ascii="Times New Roman" w:hAnsi="Times New Roman"/>
          <w:sz w:val="24"/>
          <w:szCs w:val="24"/>
        </w:rPr>
        <w:t xml:space="preserve">-Farragut and C3403 Marion-Farragut </w:t>
      </w:r>
      <w:r w:rsidRPr="00ED333B">
        <w:rPr>
          <w:rFonts w:ascii="Times New Roman" w:hAnsi="Times New Roman"/>
          <w:sz w:val="24"/>
          <w:szCs w:val="24"/>
        </w:rPr>
        <w:t>ti</w:t>
      </w:r>
      <w:r w:rsidRPr="00ED333B">
        <w:rPr>
          <w:rFonts w:ascii="Times New Roman" w:hAnsi="Times New Roman"/>
          <w:sz w:val="24"/>
          <w:szCs w:val="24"/>
        </w:rPr>
        <w:t>e</w:t>
      </w:r>
      <w:r w:rsidRPr="00ED333B">
        <w:rPr>
          <w:rFonts w:ascii="Times New Roman" w:hAnsi="Times New Roman"/>
          <w:sz w:val="24"/>
          <w:szCs w:val="24"/>
        </w:rPr>
        <w:t xml:space="preserve"> </w:t>
      </w:r>
      <w:r w:rsidRPr="00ED333B">
        <w:rPr>
          <w:rFonts w:ascii="Times New Roman" w:hAnsi="Times New Roman"/>
          <w:sz w:val="24"/>
          <w:szCs w:val="24"/>
        </w:rPr>
        <w:t>lines between PJM and NYISO</w:t>
      </w:r>
      <w:r w:rsidRPr="00ED333B">
        <w:rPr>
          <w:rFonts w:ascii="Times New Roman" w:hAnsi="Times New Roman"/>
          <w:sz w:val="24"/>
          <w:szCs w:val="24"/>
        </w:rPr>
        <w:t>.</w:t>
      </w:r>
    </w:p>
    <w:p w:rsidR="007734A5" w:rsidRPr="00ED333B" w:rsidRDefault="006172E3" w:rsidP="007734A5">
      <w:pPr>
        <w:pStyle w:val="Definition"/>
        <w:rPr>
          <w:rFonts w:ascii="Times New Roman" w:hAnsi="Times New Roman"/>
          <w:bCs/>
          <w:sz w:val="24"/>
          <w:szCs w:val="24"/>
        </w:rPr>
      </w:pPr>
      <w:r w:rsidRPr="00ED333B">
        <w:rPr>
          <w:rFonts w:ascii="Times New Roman" w:hAnsi="Times New Roman"/>
          <w:b/>
          <w:bCs/>
          <w:sz w:val="24"/>
          <w:szCs w:val="24"/>
        </w:rPr>
        <w:t>“ABC PAR</w:t>
      </w:r>
      <w:r w:rsidRPr="00ED333B">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Pr>
          <w:rFonts w:ascii="Times New Roman" w:hAnsi="Times New Roman"/>
          <w:bCs/>
          <w:sz w:val="24"/>
          <w:szCs w:val="24"/>
        </w:rPr>
        <w:t>I</w:t>
      </w:r>
      <w:r w:rsidRPr="00ED333B">
        <w:rPr>
          <w:rFonts w:ascii="Times New Roman" w:hAnsi="Times New Roman"/>
          <w:bCs/>
          <w:sz w:val="24"/>
          <w:szCs w:val="24"/>
        </w:rPr>
        <w:t>nterface.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rsidRDefault="006172E3">
      <w:pPr>
        <w:pStyle w:val="Definition"/>
        <w:rPr>
          <w:rFonts w:ascii="Times New Roman" w:hAnsi="Times New Roman"/>
          <w:b/>
          <w:sz w:val="24"/>
          <w:szCs w:val="24"/>
        </w:rPr>
      </w:pPr>
      <w:r w:rsidRPr="00ED333B">
        <w:rPr>
          <w:rFonts w:ascii="Times New Roman" w:hAnsi="Times New Roman"/>
          <w:b/>
          <w:bCs/>
          <w:sz w:val="24"/>
          <w:szCs w:val="24"/>
        </w:rPr>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w:t>
      </w:r>
      <w:r w:rsidRPr="00ED333B">
        <w:rPr>
          <w:rFonts w:ascii="Times New Roman" w:hAnsi="Times New Roman"/>
          <w:sz w:val="24"/>
          <w:szCs w:val="24"/>
        </w:rPr>
        <w:t xml:space="preserve"> to time, including all attachments, appendices, and schedules.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RDefault="006172E3" w:rsidP="008D2B3F">
      <w:pPr>
        <w:pStyle w:val="Definition"/>
        <w:rPr>
          <w:rFonts w:ascii="Times New Roman" w:hAnsi="Times New Roman"/>
          <w:sz w:val="24"/>
          <w:szCs w:val="24"/>
        </w:rPr>
      </w:pPr>
      <w:r w:rsidRPr="00ED333B">
        <w:rPr>
          <w:rFonts w:ascii="Times New Roman" w:hAnsi="Times New Roman"/>
          <w:b/>
          <w:sz w:val="24"/>
          <w:szCs w:val="24"/>
        </w:rPr>
        <w:lastRenderedPageBreak/>
        <w:t xml:space="preserve">“Available </w:t>
      </w:r>
      <w:r w:rsidRPr="00ED333B">
        <w:rPr>
          <w:rFonts w:ascii="Times New Roman" w:hAnsi="Times New Roman"/>
          <w:b/>
          <w:sz w:val="24"/>
          <w:szCs w:val="24"/>
        </w:rPr>
        <w:t xml:space="preserve"> </w:t>
      </w:r>
      <w:r w:rsidRPr="00ED333B">
        <w:rPr>
          <w:rFonts w:ascii="Times New Roman" w:hAnsi="Times New Roman"/>
          <w:b/>
          <w:sz w:val="24"/>
          <w:szCs w:val="24"/>
        </w:rPr>
        <w:t>PAR</w:t>
      </w:r>
      <w:r w:rsidRPr="00ED333B">
        <w:rPr>
          <w:rFonts w:ascii="Times New Roman" w:hAnsi="Times New Roman"/>
          <w:sz w:val="24"/>
          <w:szCs w:val="24"/>
        </w:rPr>
        <w:t>”</w:t>
      </w:r>
      <w:r w:rsidRPr="00ED333B">
        <w:rPr>
          <w:rFonts w:ascii="Times New Roman" w:hAnsi="Times New Roman"/>
          <w:b/>
          <w:sz w:val="24"/>
          <w:szCs w:val="24"/>
        </w:rPr>
        <w:t xml:space="preserve"> </w:t>
      </w:r>
      <w:r w:rsidRPr="00ED333B">
        <w:rPr>
          <w:rFonts w:ascii="Times New Roman" w:hAnsi="Times New Roman"/>
          <w:sz w:val="24"/>
          <w:szCs w:val="24"/>
        </w:rPr>
        <w:t xml:space="preserve">shall mean, for purposes of Section 8.3.1 of Schedule D to this Agreement, a </w:t>
      </w:r>
      <w:r w:rsidRPr="00ED333B">
        <w:rPr>
          <w:rFonts w:ascii="Times New Roman" w:hAnsi="Times New Roman"/>
          <w:sz w:val="24"/>
          <w:szCs w:val="24"/>
        </w:rPr>
        <w:t xml:space="preserve"> NY-NJ </w:t>
      </w:r>
      <w:r w:rsidRPr="00ED333B">
        <w:rPr>
          <w:rFonts w:ascii="Times New Roman" w:hAnsi="Times New Roman"/>
          <w:sz w:val="24"/>
          <w:szCs w:val="24"/>
        </w:rPr>
        <w:t>PAR</w:t>
      </w:r>
      <w:r w:rsidRPr="00ED333B">
        <w:rPr>
          <w:rFonts w:ascii="Times New Roman" w:hAnsi="Times New Roman"/>
          <w:sz w:val="24"/>
          <w:szCs w:val="24"/>
        </w:rPr>
        <w:t xml:space="preserve">  </w:t>
      </w:r>
      <w:r w:rsidRPr="00ED333B">
        <w:rPr>
          <w:rFonts w:ascii="Times New Roman" w:hAnsi="Times New Roman"/>
          <w:sz w:val="24"/>
          <w:szCs w:val="24"/>
        </w:rPr>
        <w:t xml:space="preserve">that is not subject to any of the following circumstances: </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w:t>
      </w:r>
      <w:r w:rsidRPr="00ED333B">
        <w:rPr>
          <w:rFonts w:ascii="Times New Roman" w:hAnsi="Times New Roman"/>
          <w:sz w:val="24"/>
          <w:szCs w:val="24"/>
        </w:rPr>
        <w:t xml:space="preserve">be moved; </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w:t>
      </w:r>
      <w:r w:rsidRPr="00ED333B">
        <w:rPr>
          <w:rFonts w:ascii="Times New Roman" w:hAnsi="Times New Roman"/>
          <w:sz w:val="24"/>
          <w:szCs w:val="24"/>
        </w:rPr>
        <w:t xml:space="preserve"> the maximum of 400 taps/PAR/month is exceeded at an ABC</w:t>
      </w:r>
      <w:r w:rsidRPr="00ED333B">
        <w:rPr>
          <w:rFonts w:ascii="Times New Roman" w:hAnsi="Times New Roman"/>
          <w:sz w:val="24"/>
          <w:szCs w:val="24"/>
        </w:rPr>
        <w:t xml:space="preserve"> PAR</w:t>
      </w:r>
      <w:r w:rsidRPr="00ED333B">
        <w:rPr>
          <w:rFonts w:ascii="Times New Roman" w:hAnsi="Times New Roman"/>
          <w:sz w:val="24"/>
          <w:szCs w:val="24"/>
        </w:rPr>
        <w:t>, Ramapo PAR</w:t>
      </w:r>
      <w:r w:rsidRPr="00ED333B">
        <w:rPr>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w:t>
      </w:r>
      <w:r w:rsidRPr="00ED333B">
        <w:rPr>
          <w:rFonts w:ascii="Times New Roman" w:hAnsi="Times New Roman"/>
          <w:sz w:val="24"/>
          <w:szCs w:val="24"/>
        </w:rPr>
        <w:t xml:space="preserve"> to and implement an increased bandwidth in accordance with </w:t>
      </w:r>
      <w:r w:rsidRPr="005B6A45">
        <w:rPr>
          <w:rFonts w:ascii="Times New Roman" w:hAnsi="Times New Roman"/>
          <w:sz w:val="24"/>
          <w:szCs w:val="24"/>
        </w:rPr>
        <w:t xml:space="preserve">Section 7.2 </w:t>
      </w:r>
      <w:r w:rsidRPr="005B6A45">
        <w:rPr>
          <w:rFonts w:ascii="Times New Roman" w:hAnsi="Times New Roman"/>
          <w:sz w:val="24"/>
          <w:szCs w:val="24"/>
        </w:rPr>
        <w:t xml:space="preserve">of </w:t>
      </w:r>
      <w:r w:rsidRPr="005B6A45">
        <w:rPr>
          <w:rFonts w:ascii="Times New Roman" w:hAnsi="Times New Roman"/>
          <w:sz w:val="24"/>
          <w:szCs w:val="24"/>
        </w:rPr>
        <w:t xml:space="preserve">Schedule D to </w:t>
      </w:r>
      <w:r w:rsidRPr="005B6A45">
        <w:rPr>
          <w:rFonts w:ascii="Times New Roman" w:hAnsi="Times New Roman"/>
          <w:sz w:val="24"/>
          <w:szCs w:val="24"/>
        </w:rPr>
        <w:t>this Agreement</w:t>
      </w:r>
      <w:r w:rsidRPr="00ED333B">
        <w:rPr>
          <w:rFonts w:ascii="Times New Roman" w:hAnsi="Times New Roman"/>
          <w:sz w:val="24"/>
          <w:szCs w:val="24"/>
        </w:rPr>
        <w:t xml:space="preserve">; </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(5) PJM is permitted to reserve up to three taps at each end of the PAR tap range of each Waldwick PAR to secure the facilities on a post contingency </w:t>
      </w:r>
      <w:r w:rsidRPr="00ED333B">
        <w:rPr>
          <w:rFonts w:ascii="Times New Roman" w:hAnsi="Times New Roman"/>
          <w:sz w:val="24"/>
          <w:szCs w:val="24"/>
        </w:rPr>
        <w:t>basis, a Waldwick PAR shall not be considered available if a tap move would require the use of a reserved PAR tap; or</w:t>
      </w:r>
    </w:p>
    <w:p w:rsidR="008D2B3F" w:rsidRPr="00ED333B" w:rsidRDefault="006172E3"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r w:rsidRPr="00ED333B">
        <w:rPr>
          <w:rFonts w:ascii="Times New Roman" w:hAnsi="Times New Roman"/>
          <w:sz w:val="24"/>
          <w:szCs w:val="24"/>
        </w:rPr>
        <w:t xml:space="preserve">PAR </w:t>
      </w:r>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RDefault="006172E3" w:rsidP="008D2B3F">
      <w:pPr>
        <w:spacing w:after="120" w:line="240" w:lineRule="auto"/>
        <w:rPr>
          <w:rFonts w:ascii="Times New Roman" w:hAnsi="Times New Roman"/>
          <w:sz w:val="24"/>
          <w:szCs w:val="24"/>
        </w:rPr>
      </w:pPr>
      <w:r w:rsidRPr="00ED333B">
        <w:rPr>
          <w:rFonts w:ascii="Times New Roman" w:hAnsi="Times New Roman"/>
          <w:sz w:val="24"/>
          <w:szCs w:val="24"/>
        </w:rPr>
        <w:t>PJM or NYISO may choose to use PAR taps they are permitted to reserve to</w:t>
      </w:r>
      <w:r w:rsidRPr="00ED333B">
        <w:rPr>
          <w:rFonts w:ascii="Times New Roman" w:hAnsi="Times New Roman"/>
          <w:sz w:val="24"/>
          <w:szCs w:val="24"/>
        </w:rPr>
        <w:t xml:space="preserve"> perform M2M coordination, but they are not required to do so.  </w:t>
      </w:r>
    </w:p>
    <w:p w:rsidR="008D2B3F" w:rsidRPr="00ED333B" w:rsidRDefault="006172E3"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sidRPr="00ED333B">
        <w:rPr>
          <w:rFonts w:ascii="Times New Roman" w:hAnsi="Times New Roman"/>
          <w:bCs/>
          <w:sz w:val="24"/>
          <w:szCs w:val="24"/>
        </w:rPr>
        <w:t xml:space="preserve"> firm and non-firm reservations (or interchange schedules) modeled.</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w:t>
      </w:r>
      <w:r w:rsidRPr="00ED333B">
        <w:rPr>
          <w:rFonts w:ascii="Times New Roman" w:hAnsi="Times New Roman"/>
          <w:sz w:val="24"/>
          <w:szCs w:val="24"/>
        </w:rPr>
        <w:t xml:space="preserve">dy committed uses. </w:t>
      </w:r>
    </w:p>
    <w:p w:rsidR="00867237" w:rsidRPr="00ED333B" w:rsidRDefault="006172E3" w:rsidP="00867237">
      <w:pPr>
        <w:pStyle w:val="Definition"/>
        <w:rPr>
          <w:rFonts w:ascii="Times New Roman" w:hAnsi="Times New Roman"/>
          <w:bCs/>
          <w:sz w:val="24"/>
          <w:szCs w:val="24"/>
        </w:rPr>
      </w:pP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Farragut station connected to the B3402 </w:t>
      </w:r>
      <w:r w:rsidRPr="00ED333B">
        <w:rPr>
          <w:rFonts w:ascii="Times New Roman" w:hAnsi="Times New Roman"/>
          <w:bCs/>
          <w:sz w:val="24"/>
          <w:szCs w:val="24"/>
        </w:rPr>
        <w:t>Hudson</w:t>
      </w:r>
      <w:r w:rsidRPr="00ED333B">
        <w:rPr>
          <w:rFonts w:ascii="Times New Roman" w:hAnsi="Times New Roman"/>
          <w:bCs/>
          <w:sz w:val="24"/>
          <w:szCs w:val="24"/>
        </w:rPr>
        <w:t xml:space="preserve">-Farragut 345 kV </w:t>
      </w:r>
      <w:r w:rsidRPr="00ED333B">
        <w:rPr>
          <w:rFonts w:ascii="Times New Roman" w:hAnsi="Times New Roman"/>
          <w:bCs/>
          <w:sz w:val="24"/>
          <w:szCs w:val="24"/>
        </w:rPr>
        <w:t>line</w:t>
      </w:r>
      <w:r w:rsidRPr="00ED333B">
        <w:rPr>
          <w:rFonts w:ascii="Times New Roman" w:hAnsi="Times New Roman"/>
          <w:bCs/>
          <w:sz w:val="24"/>
          <w:szCs w:val="24"/>
        </w:rPr>
        <w:t xml:space="preserve">. </w:t>
      </w:r>
    </w:p>
    <w:p w:rsidR="008D2B3F" w:rsidRPr="00ED333B" w:rsidRDefault="006172E3"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w:t>
      </w:r>
      <w:r w:rsidRPr="00ED333B">
        <w:rPr>
          <w:rFonts w:ascii="Times New Roman" w:hAnsi="Times New Roman"/>
          <w:sz w:val="24"/>
          <w:szCs w:val="24"/>
        </w:rPr>
        <w:t>ll mean the collection of generation, transmission, and loads within the metered boundaries of the Balancing Authority.  The Balancing Authority maintains load-resource balance within this area.</w:t>
      </w:r>
    </w:p>
    <w:p w:rsidR="008D2B3F" w:rsidRDefault="006172E3">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in</w:t>
      </w:r>
      <w:r w:rsidRPr="00ED333B">
        <w:rPr>
          <w:rFonts w:ascii="Times New Roman" w:hAnsi="Times New Roman"/>
          <w:sz w:val="24"/>
          <w:szCs w:val="24"/>
        </w:rPr>
        <w:t xml:space="preserve"> the NERC Glossary of Terms used in Reliability Standards, as it may be amended, supplemented, or restated from time to time.</w:t>
      </w:r>
    </w:p>
    <w:p w:rsidR="00DD79F3" w:rsidRPr="00ED333B" w:rsidRDefault="006172E3" w:rsidP="00DD79F3">
      <w:pPr>
        <w:pStyle w:val="Definition"/>
        <w:rPr>
          <w:rFonts w:ascii="Times New Roman" w:hAnsi="Times New Roman"/>
          <w:bCs/>
          <w:sz w:val="24"/>
          <w:szCs w:val="24"/>
        </w:rPr>
      </w:pP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 C3403 Marion-Farragut 345 kV line.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ac</w:t>
      </w:r>
      <w:r w:rsidRPr="00ED333B">
        <w:rPr>
          <w:rFonts w:ascii="Times New Roman" w:hAnsi="Times New Roman"/>
          <w:sz w:val="24"/>
          <w:szCs w:val="24"/>
        </w:rPr>
        <w:t>cess by the LSEs to generation from interconnected systems to meet generation reliability requirements.  Preservation of CBM for an LSE allows that entity to reduce its installed generating capacity below that which may otherwise have been necessary withou</w:t>
      </w:r>
      <w:r w:rsidRPr="00ED333B">
        <w:rPr>
          <w:rFonts w:ascii="Times New Roman" w:hAnsi="Times New Roman"/>
          <w:sz w:val="24"/>
          <w:szCs w:val="24"/>
        </w:rPr>
        <w:t>t interconnections to meet its generation reliability requirements.  The transmission transfer capability preserved as CBM is intended to be used by the LSE only in times of emergency generation deficiencies.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“Control Performance</w:t>
      </w:r>
      <w:r w:rsidRPr="00ED333B">
        <w:rPr>
          <w:rFonts w:ascii="Times New Roman" w:hAnsi="Times New Roman"/>
          <w:b/>
          <w:sz w:val="24"/>
          <w:szCs w:val="24"/>
        </w:rPr>
        <w:t xml:space="preserv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rsidRDefault="006172E3">
      <w:pPr>
        <w:rPr>
          <w:rFonts w:ascii="Times New Roman" w:hAnsi="Times New Roman"/>
          <w:sz w:val="24"/>
          <w:szCs w:val="24"/>
        </w:rPr>
      </w:pPr>
      <w:r w:rsidRPr="00ED333B">
        <w:rPr>
          <w:rFonts w:ascii="Times New Roman" w:hAnsi="Times New Roman"/>
          <w:b/>
          <w:sz w:val="24"/>
          <w:szCs w:val="24"/>
        </w:rPr>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be</w:t>
      </w:r>
      <w:r w:rsidRPr="00ED333B">
        <w:rPr>
          <w:rFonts w:ascii="Times New Roman" w:hAnsi="Times New Roman"/>
          <w:sz w:val="24"/>
          <w:szCs w:val="24"/>
        </w:rPr>
        <w:t xml:space="preserve"> scheduled based on a bidder’s willingness to purchase energy from a source in either the NYISO or PJM Control Area and sell it at a sink in the other Control Area if the forecasted price at the sink minus the forecasted price at the corresponding source i</w:t>
      </w:r>
      <w:r w:rsidRPr="00ED333B">
        <w:rPr>
          <w:rFonts w:ascii="Times New Roman" w:hAnsi="Times New Roman"/>
          <w:sz w:val="24"/>
          <w:szCs w:val="24"/>
        </w:rPr>
        <w:t>s greater than or equal to the dollar value specified in the bid.</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the terms and provisions of this Agreement pursuant to Section 35.3.2.</w:t>
      </w:r>
    </w:p>
    <w:p w:rsidR="008D2B3F" w:rsidRPr="00ED333B" w:rsidRDefault="006172E3"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Inte</w:t>
      </w:r>
      <w:r w:rsidRPr="00ED333B">
        <w:rPr>
          <w:rFonts w:ascii="Times New Roman" w:hAnsi="Times New Roman"/>
          <w:b/>
          <w:sz w:val="24"/>
          <w:szCs w:val="24"/>
        </w:rPr>
        <w:t>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 xml:space="preserve">a unified real-time bid to simultaneously purchase and sell energy on either side of a CTS Enabled Interface in accordance with the procedures of Section 1.13 of Schedule 1 of the Amended and Restated Operating Agreement </w:t>
      </w:r>
      <w:r w:rsidRPr="00ED333B">
        <w:rPr>
          <w:rFonts w:ascii="Times New Roman" w:eastAsia="Times New Roman" w:hAnsi="Times New Roman"/>
          <w:sz w:val="24"/>
          <w:szCs w:val="24"/>
        </w:rPr>
        <w:t xml:space="preserve">of PJM, L.L.C.; and (2) in NYISO, a real-time bid provided by an entity engaged in an external transaction at a CTS Enabled Interface, as more fully described in NYISO Services Tariff Section 2.3.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Balancing Authority Areas.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w:t>
      </w:r>
      <w:r w:rsidRPr="00ED333B">
        <w:rPr>
          <w:rFonts w:ascii="Times New Roman" w:hAnsi="Times New Roman"/>
          <w:sz w:val="24"/>
          <w:szCs w:val="24"/>
        </w:rPr>
        <w:t>irect current.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shall have the meaning stated in Section 35.8.7.</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w:t>
      </w:r>
      <w:r w:rsidRPr="00ED333B">
        <w:rPr>
          <w:rFonts w:ascii="Times New Roman" w:hAnsi="Times New Roman"/>
          <w:sz w:val="24"/>
          <w:szCs w:val="24"/>
        </w:rPr>
        <w:t>sturbance within which a balancing authority must return its Area Control Error to within a specified range.</w:t>
      </w:r>
    </w:p>
    <w:p w:rsidR="00717E33" w:rsidRPr="00ED333B" w:rsidRDefault="006172E3" w:rsidP="00717E33">
      <w:pPr>
        <w:pStyle w:val="Definition"/>
        <w:rPr>
          <w:rFonts w:ascii="Times New Roman" w:hAnsi="Times New Roman"/>
          <w:bCs/>
          <w:sz w:val="24"/>
          <w:szCs w:val="24"/>
        </w:rPr>
      </w:pP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p>
    <w:p w:rsidR="008D2B3F" w:rsidRPr="00ED333B" w:rsidRDefault="006172E3"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rsidRDefault="006172E3">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w:t>
      </w:r>
      <w:r w:rsidRPr="00ED333B">
        <w:rPr>
          <w:rFonts w:ascii="Times New Roman" w:hAnsi="Times New Roman"/>
          <w:sz w:val="24"/>
          <w:szCs w:val="24"/>
        </w:rPr>
        <w:t>es remedial action to prevent or limit loss of transmission or generation facilities that could adversely affect the reliability of the electricity system.</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from Operating Reserve or electrical generation available for sale in New York or PJM or available from another Balancing Authority Area.  Emergency Energy may be provided in cases of sudden and unforeseen outages of generating </w:t>
      </w:r>
      <w:r w:rsidRPr="00ED333B">
        <w:rPr>
          <w:rFonts w:ascii="Times New Roman" w:hAnsi="Times New Roman"/>
          <w:sz w:val="24"/>
          <w:szCs w:val="24"/>
        </w:rPr>
        <w:t>units, transmission lines or other equipment, or to meet other sudden and unforeseen circumstances such as forecast errors, or to provide sufficient Operating Reserve.  Emergency Energy is provided pursuant to this Agreement and the Inter Control Area Tran</w:t>
      </w:r>
      <w:r w:rsidRPr="00ED333B">
        <w:rPr>
          <w:rFonts w:ascii="Times New Roman" w:hAnsi="Times New Roman"/>
          <w:sz w:val="24"/>
          <w:szCs w:val="24"/>
        </w:rPr>
        <w:t xml:space="preserve">sactions Agreement dated May 1, 2000 and priced according to Section 35.6.4 of this </w:t>
      </w:r>
      <w:r w:rsidRPr="003D5B09">
        <w:rPr>
          <w:rFonts w:ascii="Times New Roman" w:hAnsi="Times New Roman"/>
          <w:sz w:val="24"/>
          <w:szCs w:val="24"/>
        </w:rPr>
        <w:t>A</w:t>
      </w:r>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energy</w:t>
      </w:r>
      <w:r w:rsidRPr="00ED333B">
        <w:rPr>
          <w:rFonts w:ascii="Times New Roman" w:hAnsi="Times New Roman"/>
          <w:sz w:val="24"/>
          <w:szCs w:val="24"/>
        </w:rPr>
        <w:t xml:space="preserve"> within their Regions.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“External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po</w:t>
      </w:r>
      <w:r w:rsidRPr="00ED333B">
        <w:rPr>
          <w:rFonts w:ascii="Times New Roman" w:hAnsi="Times New Roman"/>
          <w:sz w:val="24"/>
          <w:szCs w:val="24"/>
        </w:rPr>
        <w:t>wer, or the ability to control demand at the direction of the NYISO, measured in megawatts or (b) a set of Resources owned or controlled by an entity within a Control Area, not the NYCA, that also is the operator of such Control Area; and (2) for PJM, a ge</w:t>
      </w:r>
      <w:r w:rsidRPr="00ED333B">
        <w:rPr>
          <w:rFonts w:ascii="Times New Roman" w:hAnsi="Times New Roman"/>
          <w:sz w:val="24"/>
          <w:szCs w:val="24"/>
        </w:rPr>
        <w:t>neration resource located outside the metered boundaries of the PJM Region (as defined in the PJM Tariff) that meets the definition of Capacity Resource in the PJM Tariff or PJM’s governing agreements filed with the Commission.</w:t>
      </w:r>
    </w:p>
    <w:p w:rsidR="00717E33" w:rsidRPr="00ED333B" w:rsidRDefault="006172E3" w:rsidP="00717E33">
      <w:pPr>
        <w:pStyle w:val="Definition"/>
        <w:rPr>
          <w:rFonts w:ascii="Times New Roman" w:hAnsi="Times New Roman"/>
          <w:bCs/>
          <w:sz w:val="24"/>
          <w:szCs w:val="24"/>
        </w:rPr>
      </w:pP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Pr>
          <w:rFonts w:ascii="Times New Roman" w:hAnsi="Times New Roman"/>
          <w:sz w:val="24"/>
          <w:szCs w:val="24"/>
        </w:rPr>
        <w:t>phase</w:t>
      </w:r>
      <w:r w:rsidRPr="00ED333B">
        <w:rPr>
          <w:rFonts w:ascii="Times New Roman" w:hAnsi="Times New Roman"/>
          <w:sz w:val="24"/>
          <w:szCs w:val="24"/>
        </w:rPr>
        <w:t xml:space="preserv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Pr>
          <w:rFonts w:ascii="Times New Roman" w:hAnsi="Times New Roman"/>
          <w:bCs/>
          <w:sz w:val="24"/>
          <w:szCs w:val="24"/>
        </w:rPr>
        <w:t xml:space="preserve"> Waldwick-Hi</w:t>
      </w:r>
      <w:r w:rsidRPr="00ED333B">
        <w:rPr>
          <w:rFonts w:ascii="Times New Roman" w:hAnsi="Times New Roman"/>
          <w:bCs/>
          <w:sz w:val="24"/>
          <w:szCs w:val="24"/>
        </w:rPr>
        <w:t>ll</w:t>
      </w:r>
      <w:r w:rsidRPr="00ED333B">
        <w:rPr>
          <w:rFonts w:ascii="Times New Roman" w:hAnsi="Times New Roman"/>
          <w:bCs/>
          <w:sz w:val="24"/>
          <w:szCs w:val="24"/>
        </w:rPr>
        <w:t>sdale 230 kV</w:t>
      </w:r>
      <w:r w:rsidRPr="00ED333B">
        <w:rPr>
          <w:rFonts w:ascii="Times New Roman" w:hAnsi="Times New Roman"/>
          <w:bCs/>
          <w:sz w:val="24"/>
          <w:szCs w:val="24"/>
        </w:rPr>
        <w:t xml:space="preserve"> line.</w:t>
      </w:r>
    </w:p>
    <w:p w:rsidR="008D2B3F" w:rsidRPr="00ED333B" w:rsidRDefault="006172E3"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facilities that may act as potential constraint points.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b/>
          <w:sz w:val="24"/>
          <w:szCs w:val="24"/>
        </w:rPr>
        <w:t>”</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methods and acts engaged in or approved by a significant portion of the North American</w:t>
      </w:r>
      <w:r w:rsidRPr="00ED333B">
        <w:rPr>
          <w:rFonts w:ascii="Times New Roman" w:hAnsi="Times New Roman"/>
          <w:sz w:val="24"/>
          <w:szCs w:val="24"/>
        </w:rPr>
        <w:t xml:space="preserve">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desired result consistent wi</w:t>
      </w:r>
      <w:r w:rsidRPr="00ED333B">
        <w:rPr>
          <w:rFonts w:ascii="Times New Roman" w:hAnsi="Times New Roman"/>
          <w:sz w:val="24"/>
          <w:szCs w:val="24"/>
        </w:rPr>
        <w:t>th good business practices, reliability, safety and expedition. Good Utility Practice is not intended to be limited to the optimum practice, method, or act to the exclusion of all others, but rather to be acceptable practices, methods, or acts generally ac</w:t>
      </w:r>
      <w:r w:rsidRPr="00ED333B">
        <w:rPr>
          <w:rFonts w:ascii="Times New Roman" w:hAnsi="Times New Roman"/>
          <w:sz w:val="24"/>
          <w:szCs w:val="24"/>
        </w:rPr>
        <w:t>cepted by NERC.</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commission, department, board, or other governmental subdivision, legislature, rulemaking board, tribunal, or ot</w:t>
      </w:r>
      <w:r w:rsidRPr="00ED333B">
        <w:rPr>
          <w:rFonts w:ascii="Times New Roman" w:hAnsi="Times New Roman"/>
          <w:sz w:val="24"/>
          <w:szCs w:val="24"/>
        </w:rPr>
        <w:t>her governmental authority having jurisdiction over the Parties, their respective facilities, or the respective services they provide, and exercising or entitled to exercise any administrative, executive, police, or taxing authority or power.</w:t>
      </w:r>
    </w:p>
    <w:p w:rsidR="008D2B3F" w:rsidRPr="00ED333B" w:rsidRDefault="006172E3">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“ISN”</w:t>
      </w:r>
      <w:r w:rsidRPr="00ED333B">
        <w:rPr>
          <w:rFonts w:ascii="Times New Roman" w:hAnsi="Times New Roman"/>
          <w:b/>
          <w:bCs/>
          <w:sz w:val="24"/>
          <w:szCs w:val="24"/>
        </w:rPr>
        <w:t xml:space="preserve">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Distribution Calculator used for identifying and requesting congestion management relief.</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b/>
          <w:sz w:val="24"/>
          <w:szCs w:val="24"/>
        </w:rPr>
        <w:t>”</w:t>
      </w:r>
      <w:r w:rsidRPr="00ED333B">
        <w:rPr>
          <w:rFonts w:ascii="Times New Roman" w:hAnsi="Times New Roman"/>
          <w:sz w:val="24"/>
          <w:szCs w:val="24"/>
        </w:rPr>
        <w:t xml:space="preserve"> shall have the meaning stated in Section 35.20.3.</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mean (i) ideas, designs, concepts, techniques, inventions, discoveries, or improvements, regardless of patentabi</w:t>
      </w:r>
      <w:r w:rsidRPr="00ED333B">
        <w:rPr>
          <w:rFonts w:ascii="Times New Roman" w:hAnsi="Times New Roman"/>
          <w:sz w:val="24"/>
          <w:szCs w:val="24"/>
        </w:rPr>
        <w:t>lity, but including without limitation patents, patent applications, mask works, trade secrets, and know-how; (ii) works of authorship, regardless of copyright ability, including copyrights and any moral rights recognized by law; and (iii) any other simila</w:t>
      </w:r>
      <w:r w:rsidRPr="00ED333B">
        <w:rPr>
          <w:rFonts w:ascii="Times New Roman" w:hAnsi="Times New Roman"/>
          <w:sz w:val="24"/>
          <w:szCs w:val="24"/>
        </w:rPr>
        <w:t xml:space="preserve">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intent that injury or damage could reasonably be expected to result.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bookmarkStart w:id="4" w:name="OLE_LINK3"/>
      <w:r w:rsidRPr="00ED333B">
        <w:rPr>
          <w:rFonts w:ascii="Times New Roman" w:hAnsi="Times New Roman"/>
          <w:b/>
          <w:sz w:val="24"/>
          <w:szCs w:val="24"/>
        </w:rPr>
        <w:t>Interconnected Reliability Operating Lim</w:t>
      </w:r>
      <w:r w:rsidRPr="00ED333B">
        <w:rPr>
          <w:rFonts w:ascii="Times New Roman" w:hAnsi="Times New Roman"/>
          <w:b/>
          <w:sz w:val="24"/>
          <w:szCs w:val="24"/>
        </w:rPr>
        <w:t>it</w:t>
      </w:r>
      <w:bookmarkEnd w:id="4"/>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w:t>
      </w:r>
      <w:r w:rsidRPr="00ED333B">
        <w:rPr>
          <w:rFonts w:ascii="Times New Roman" w:hAnsi="Times New Roman"/>
          <w:sz w:val="24"/>
          <w:szCs w:val="24"/>
        </w:rPr>
        <w:t xml:space="preserve">ration(s) or cascading outages.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w:t>
      </w:r>
      <w:r w:rsidRPr="00ED333B">
        <w:rPr>
          <w:rFonts w:ascii="Times New Roman" w:hAnsi="Times New Roman"/>
          <w:sz w:val="24"/>
          <w:szCs w:val="24"/>
        </w:rPr>
        <w:t xml:space="preserve">ection facilities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RDefault="006172E3"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w:t>
      </w:r>
      <w:r w:rsidRPr="00ED333B">
        <w:rPr>
          <w:rFonts w:ascii="Times New Roman" w:hAnsi="Times New Roman"/>
          <w:sz w:val="24"/>
          <w:szCs w:val="24"/>
        </w:rPr>
        <w:t xml:space="preserve">cted system conditions </w:t>
      </w:r>
      <w:r w:rsidRPr="00ED333B">
        <w:rPr>
          <w:rFonts w:ascii="Times New Roman" w:hAnsi="Times New Roman"/>
          <w:iCs/>
          <w:color w:val="000000"/>
          <w:sz w:val="24"/>
          <w:szCs w:val="24"/>
        </w:rPr>
        <w:t>for up to several hours into the future.</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Operator.</w:t>
      </w:r>
    </w:p>
    <w:p w:rsidR="009A7612"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Pr>
          <w:rFonts w:ascii="Times New Roman" w:hAnsi="Times New Roman"/>
          <w:sz w:val="24"/>
          <w:szCs w:val="24"/>
        </w:rPr>
        <w:t>Ramapo-South Mahwah-Waldwic</w:t>
      </w:r>
      <w:r w:rsidRPr="00ED333B">
        <w:rPr>
          <w:rFonts w:ascii="Times New Roman" w:hAnsi="Times New Roman"/>
          <w:sz w:val="24"/>
          <w:szCs w:val="24"/>
        </w:rPr>
        <w:t>k</w:t>
      </w:r>
      <w:r w:rsidRPr="00ED333B">
        <w:rPr>
          <w:rFonts w:ascii="Times New Roman" w:hAnsi="Times New Roman"/>
          <w:sz w:val="24"/>
          <w:szCs w:val="24"/>
        </w:rPr>
        <w:t xml:space="preserve"> tie </w:t>
      </w:r>
      <w:r w:rsidRPr="00ED333B">
        <w:rPr>
          <w:rFonts w:ascii="Times New Roman" w:hAnsi="Times New Roman"/>
          <w:sz w:val="24"/>
          <w:szCs w:val="24"/>
        </w:rPr>
        <w:t xml:space="preserve">lines </w:t>
      </w:r>
      <w:r w:rsidRPr="00ED333B">
        <w:rPr>
          <w:rFonts w:ascii="Times New Roman" w:hAnsi="Times New Roman"/>
          <w:sz w:val="24"/>
          <w:szCs w:val="24"/>
        </w:rPr>
        <w:t>between PJM and NYISO</w:t>
      </w:r>
      <w:r w:rsidRPr="00ED333B">
        <w:rPr>
          <w:rFonts w:ascii="Times New Roman" w:hAnsi="Times New Roman"/>
          <w:sz w:val="24"/>
          <w:szCs w:val="24"/>
        </w:rPr>
        <w: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incorporating the observed operation of the PARs at the Michigan-Ontario border.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w:t>
      </w:r>
      <w:r w:rsidRPr="00ED333B">
        <w:rPr>
          <w:rFonts w:ascii="Times New Roman" w:hAnsi="Times New Roman"/>
          <w:sz w:val="24"/>
          <w:szCs w:val="24"/>
        </w:rPr>
        <w:t>g price for energy at a given location in a Party’s RC Area, and “Locational Marginal Pricing” shall mean the processes related to the determination of the LMP.</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w:t>
      </w:r>
      <w:r w:rsidRPr="00ED333B">
        <w:rPr>
          <w:rFonts w:ascii="Times New Roman" w:hAnsi="Times New Roman"/>
          <w:sz w:val="24"/>
          <w:szCs w:val="24"/>
        </w:rPr>
        <w:t>t coordination process set forth in Schedule D to this Agreement.</w:t>
      </w:r>
    </w:p>
    <w:p w:rsidR="008D2B3F" w:rsidRPr="00ED333B" w:rsidRDefault="006172E3">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shall mean a Non-Monitoring RTO’s share of a M2M Flowgate’s total capability to be used for settlement purposes that is calculated pursuant to Section 6 of Schedule D to th</w:t>
      </w:r>
      <w:r w:rsidRPr="00ED333B">
        <w:rPr>
          <w:rFonts w:ascii="Times New Roman" w:hAnsi="Times New Roman"/>
          <w:sz w:val="24"/>
          <w:szCs w:val="24"/>
        </w:rPr>
        <w:t xml:space="preserve">is Agreement.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“M2M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“M2M 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w:t>
      </w:r>
      <w:r w:rsidRPr="00ED333B">
        <w:rPr>
          <w:rFonts w:ascii="Times New Roman" w:hAnsi="Times New Roman"/>
          <w:sz w:val="24"/>
          <w:szCs w:val="24"/>
        </w:rPr>
        <w:t>urces serving load within an RTO’s market.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w:t>
      </w:r>
      <w:r w:rsidRPr="00ED333B">
        <w:rPr>
          <w:rFonts w:ascii="Times New Roman" w:hAnsi="Times New Roman"/>
          <w:b/>
          <w:sz w:val="24"/>
          <w:szCs w:val="24"/>
        </w:rPr>
        <w:t>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Fonts w:ascii="Times New Roman" w:hAnsi="Times New Roman"/>
          <w:sz w:val="24"/>
          <w:szCs w:val="24"/>
        </w:rPr>
        <w:t>ue requirements.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M2M </w:t>
      </w:r>
      <w:r w:rsidRPr="00ED333B">
        <w:rPr>
          <w:rFonts w:ascii="Times New Roman" w:hAnsi="Times New Roman"/>
          <w:sz w:val="24"/>
          <w:szCs w:val="24"/>
        </w:rPr>
        <w:t>Flowgate.</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w:t>
      </w:r>
      <w:r w:rsidRPr="00ED333B">
        <w:rPr>
          <w:rFonts w:ascii="Times New Roman" w:hAnsi="Times New Roman"/>
          <w:sz w:val="24"/>
          <w:szCs w:val="24"/>
        </w:rPr>
        <w:t>ean megavolt ampere of reactive power.</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American Energy Standards Board or its successor organization.</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w:t>
      </w:r>
      <w:r w:rsidRPr="00ED333B">
        <w:rPr>
          <w:rFonts w:ascii="Times New Roman" w:hAnsi="Times New Roman"/>
          <w:sz w:val="24"/>
          <w:szCs w:val="24"/>
        </w:rPr>
        <w:t>rganization.</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w:t>
      </w:r>
      <w:r w:rsidRPr="00ED333B">
        <w:rPr>
          <w:rFonts w:ascii="Times New Roman" w:hAnsi="Times New Roman"/>
          <w:sz w:val="24"/>
          <w:szCs w:val="24"/>
        </w:rPr>
        <w:t xml:space="preserve">incorporating the transmission topology that includes all pre-existing Transmission Facilities and all new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w:t>
      </w:r>
      <w:r w:rsidRPr="00ED333B">
        <w:rPr>
          <w:rFonts w:ascii="Times New Roman" w:hAnsi="Times New Roman"/>
          <w:sz w:val="24"/>
          <w:szCs w:val="24"/>
        </w:rPr>
        <w:t>sion Facilities whose impact on M2M Entitlements is being evaluated in the current evaluation step.</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“Non-Monitoring RTO”</w:t>
      </w:r>
      <w:r w:rsidRPr="00ED333B">
        <w:rPr>
          <w:rFonts w:ascii="Times New Roman" w:hAnsi="Times New Roman"/>
          <w:sz w:val="24"/>
          <w:szCs w:val="24"/>
        </w:rPr>
        <w:t xml:space="preserve"> shall mean the Party that does not have operational control of a M2M Flowgate.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20</w:t>
      </w:r>
      <w:r w:rsidRPr="00ED333B">
        <w:rPr>
          <w:rFonts w:ascii="Times New Roman" w:hAnsi="Times New Roman"/>
          <w:sz w:val="24"/>
          <w:szCs w:val="24"/>
        </w:rPr>
        <w:t>.22.</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shall mean the Northeast Power Coordinating Council, Inc., including the NPCC Cross Border Regional Entity (“CBRE”), or their successor organizations.</w:t>
      </w:r>
    </w:p>
    <w:p w:rsidR="00656525" w:rsidRPr="00ED333B" w:rsidRDefault="006172E3" w:rsidP="00656525">
      <w:pPr>
        <w:pStyle w:val="Definition"/>
        <w:rPr>
          <w:rFonts w:ascii="Times New Roman" w:hAnsi="Times New Roman"/>
          <w:b/>
          <w:bCs/>
          <w:sz w:val="24"/>
          <w:szCs w:val="24"/>
        </w:rPr>
      </w:pPr>
      <w:r w:rsidRPr="00ED333B">
        <w:rPr>
          <w:rFonts w:ascii="Times New Roman" w:hAnsi="Times New Roman"/>
          <w:b/>
          <w:bCs/>
          <w:sz w:val="24"/>
          <w:szCs w:val="24"/>
        </w:rPr>
        <w:t>“NY-NJ P</w:t>
      </w:r>
      <w:r w:rsidRPr="00ED333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“NYISO Code of Conduct”</w:t>
      </w:r>
      <w:r w:rsidRPr="00ED333B">
        <w:rPr>
          <w:rFonts w:ascii="Times New Roman" w:hAnsi="Times New Roman"/>
          <w:sz w:val="24"/>
          <w:szCs w:val="24"/>
        </w:rPr>
        <w:t xml:space="preserve"> shall mean the rules, procedures and restric</w:t>
      </w:r>
      <w:r w:rsidRPr="00ED333B">
        <w:rPr>
          <w:rFonts w:ascii="Times New Roman" w:hAnsi="Times New Roman"/>
          <w:sz w:val="24"/>
          <w:szCs w:val="24"/>
        </w:rPr>
        <w:t>tions concerning the conduct of the ISO directors and employees, contained in Attachment F to the NYISO OATT.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“NYISO Tariffs”</w:t>
      </w:r>
      <w:r w:rsidRPr="00ED333B">
        <w:rPr>
          <w:rFonts w:ascii="Times New Roman" w:hAnsi="Times New Roman"/>
          <w:sz w:val="24"/>
          <w:szCs w:val="24"/>
        </w:rPr>
        <w:t xml:space="preserve"> shall mean the NYISO OATT and the NYISO M</w:t>
      </w:r>
      <w:r w:rsidRPr="00ED333B">
        <w:rPr>
          <w:rFonts w:ascii="Times New Roman" w:hAnsi="Times New Roman"/>
          <w:sz w:val="24"/>
          <w:szCs w:val="24"/>
        </w:rPr>
        <w:t xml:space="preserve">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the operation of the New York Transmission Syst</w:t>
      </w:r>
      <w:r w:rsidRPr="00ED333B">
        <w:rPr>
          <w:rFonts w:ascii="Times New Roman" w:hAnsi="Times New Roman"/>
          <w:sz w:val="24"/>
          <w:szCs w:val="24"/>
        </w:rPr>
        <w:t xml:space="preserve">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of the New York Transmission System. </w:t>
      </w:r>
    </w:p>
    <w:p w:rsidR="00717E33" w:rsidRPr="00ED333B" w:rsidRDefault="006172E3" w:rsidP="00717E33">
      <w:pPr>
        <w:pStyle w:val="Definition"/>
        <w:rPr>
          <w:rFonts w:ascii="Times New Roman" w:hAnsi="Times New Roman"/>
          <w:bCs/>
          <w:sz w:val="24"/>
          <w:szCs w:val="24"/>
        </w:rPr>
      </w:pP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located</w:t>
      </w:r>
      <w:r w:rsidRPr="00ED333B">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Pr>
          <w:rFonts w:ascii="Times New Roman" w:hAnsi="Times New Roman"/>
          <w:bCs/>
          <w:sz w:val="24"/>
          <w:szCs w:val="24"/>
        </w:rPr>
        <w:t xml:space="preserve"> </w:t>
      </w:r>
      <w:r w:rsidRPr="00ED333B">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Pr>
          <w:rFonts w:ascii="Times New Roman" w:hAnsi="Times New Roman"/>
          <w:bCs/>
          <w:sz w:val="24"/>
          <w:szCs w:val="24"/>
        </w:rPr>
        <w:t>.</w:t>
      </w:r>
    </w:p>
    <w:p w:rsidR="008D2B3F" w:rsidRPr="00ED333B" w:rsidRDefault="006172E3"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PJM and NYISO.</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“Operating Instructions”</w:t>
      </w:r>
      <w:r w:rsidRPr="00ED333B">
        <w:rPr>
          <w:rFonts w:ascii="Times New Roman" w:hAnsi="Times New Roman"/>
          <w:sz w:val="24"/>
          <w:szCs w:val="24"/>
        </w:rPr>
        <w:t xml:space="preserve"> shall mean the operating procedures, steps, and instructions for the operation of the Interconnection Facilities</w:t>
      </w:r>
      <w:r w:rsidRPr="00ED333B">
        <w:rPr>
          <w:rFonts w:ascii="Times New Roman" w:hAnsi="Times New Roman"/>
          <w:sz w:val="24"/>
          <w:szCs w:val="24"/>
        </w:rPr>
        <w:t xml:space="preserve"> established from time to time by the Coordination Committee or the PJM and NYISO individual procedures and processes and includes changes from time to time by the Coordination Committee to such established procedures, steps and instructions exclusive of </w:t>
      </w:r>
      <w:r w:rsidRPr="00ED333B">
        <w:rPr>
          <w:rFonts w:ascii="Times New Roman" w:hAnsi="Times New Roman"/>
          <w:iCs/>
          <w:sz w:val="24"/>
          <w:szCs w:val="24"/>
        </w:rPr>
        <w:t>t</w:t>
      </w:r>
      <w:r w:rsidRPr="00ED333B">
        <w:rPr>
          <w:rFonts w:ascii="Times New Roman" w:hAnsi="Times New Roman"/>
          <w:iCs/>
          <w:sz w:val="24"/>
          <w:szCs w:val="24"/>
        </w:rPr>
        <w:t>he</w:t>
      </w:r>
      <w:r w:rsidRPr="00ED333B">
        <w:rPr>
          <w:rFonts w:ascii="Times New Roman" w:hAnsi="Times New Roman"/>
          <w:sz w:val="24"/>
          <w:szCs w:val="24"/>
        </w:rPr>
        <w:t xml:space="preserve"> individual procedures.  </w:t>
      </w:r>
    </w:p>
    <w:p w:rsidR="004900DB" w:rsidRPr="00AA7126" w:rsidRDefault="006172E3" w:rsidP="004900DB">
      <w:pPr>
        <w:pStyle w:val="Definition"/>
        <w:rPr>
          <w:rFonts w:ascii="Times New Roman" w:hAnsi="Times New Roman"/>
          <w:sz w:val="24"/>
          <w:szCs w:val="24"/>
        </w:rPr>
      </w:pPr>
      <w:r w:rsidRPr="00ED333B">
        <w:rPr>
          <w:rFonts w:ascii="Times New Roman" w:hAnsi="Times New Roman"/>
          <w:b/>
          <w:sz w:val="24"/>
          <w:szCs w:val="24"/>
        </w:rPr>
        <w:t>“Operational Base Flow</w:t>
      </w:r>
      <w:r w:rsidRPr="00ED333B">
        <w:rPr>
          <w:rFonts w:ascii="Times New Roman" w:hAnsi="Times New Roman"/>
          <w:b/>
          <w:sz w:val="24"/>
          <w:szCs w:val="24"/>
        </w:rPr>
        <w:t xml:space="preserve">” </w:t>
      </w:r>
      <w:r w:rsidRPr="00ED333B">
        <w:rPr>
          <w:rFonts w:ascii="Times New Roman" w:hAnsi="Times New Roman"/>
          <w:sz w:val="24"/>
          <w:szCs w:val="24"/>
        </w:rPr>
        <w:t>or</w:t>
      </w:r>
      <w:r w:rsidRPr="00ED333B">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Pr>
          <w:rFonts w:ascii="Times New Roman" w:hAnsi="Times New Roman"/>
          <w:sz w:val="24"/>
          <w:szCs w:val="24"/>
        </w:rPr>
        <w:t xml:space="preserve"> of power flows over the </w:t>
      </w:r>
      <w:r w:rsidRPr="00ED333B">
        <w:rPr>
          <w:rFonts w:ascii="Times New Roman" w:hAnsi="Times New Roman"/>
          <w:sz w:val="24"/>
          <w:szCs w:val="24"/>
        </w:rPr>
        <w:t>Waldwick PARs</w:t>
      </w:r>
      <w:r w:rsidRPr="00ED333B">
        <w:rPr>
          <w:rFonts w:ascii="Times New Roman" w:hAnsi="Times New Roman"/>
          <w:sz w:val="24"/>
          <w:szCs w:val="24"/>
        </w:rPr>
        <w:t xml:space="preserve"> and ABC </w:t>
      </w:r>
      <w:r w:rsidRPr="00ED333B">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Pr>
          <w:rFonts w:ascii="Times New Roman" w:hAnsi="Times New Roman"/>
          <w:sz w:val="24"/>
          <w:szCs w:val="24"/>
        </w:rPr>
        <w:t xml:space="preserve">JK </w:t>
      </w:r>
      <w:r w:rsidRPr="00ED333B">
        <w:rPr>
          <w:rFonts w:ascii="Times New Roman" w:hAnsi="Times New Roman"/>
          <w:sz w:val="24"/>
          <w:szCs w:val="24"/>
        </w:rPr>
        <w:t>I</w:t>
      </w:r>
      <w:r w:rsidRPr="00ED333B">
        <w:rPr>
          <w:rFonts w:ascii="Times New Roman" w:hAnsi="Times New Roman"/>
          <w:sz w:val="24"/>
          <w:szCs w:val="24"/>
        </w:rPr>
        <w:t xml:space="preserve">nterface and the ABC </w:t>
      </w:r>
      <w:r w:rsidRPr="00ED333B">
        <w:rPr>
          <w:rFonts w:ascii="Times New Roman" w:hAnsi="Times New Roman"/>
          <w:sz w:val="24"/>
          <w:szCs w:val="24"/>
        </w:rPr>
        <w:t>I</w:t>
      </w:r>
      <w:r w:rsidRPr="00ED333B">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Pr>
          <w:rFonts w:ascii="Times New Roman" w:hAnsi="Times New Roman"/>
          <w:sz w:val="24"/>
          <w:szCs w:val="24"/>
        </w:rPr>
        <w:t xml:space="preserve">the </w:t>
      </w:r>
      <w:r w:rsidRPr="00ED333B">
        <w:rPr>
          <w:rFonts w:ascii="Times New Roman" w:hAnsi="Times New Roman"/>
          <w:sz w:val="24"/>
          <w:szCs w:val="24"/>
        </w:rPr>
        <w:t>reliable operation</w:t>
      </w:r>
      <w:r w:rsidRPr="00ED333B">
        <w:rPr>
          <w:rFonts w:ascii="Times New Roman" w:hAnsi="Times New Roman"/>
          <w:sz w:val="24"/>
          <w:szCs w:val="24"/>
        </w:rPr>
        <w:t xml:space="preserve"> of the NYISO </w:t>
      </w:r>
      <w:r w:rsidRPr="00AA7126">
        <w:rPr>
          <w:rFonts w:ascii="Times New Roman" w:hAnsi="Times New Roman"/>
          <w:sz w:val="24"/>
          <w:szCs w:val="24"/>
        </w:rPr>
        <w:t>and</w:t>
      </w:r>
      <w:r w:rsidRPr="00AA7126">
        <w:rPr>
          <w:rFonts w:ascii="Times New Roman" w:hAnsi="Times New Roman"/>
          <w:sz w:val="24"/>
          <w:szCs w:val="24"/>
        </w:rPr>
        <w:t>/or</w:t>
      </w:r>
      <w:r w:rsidRPr="00ED333B">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Pr>
          <w:rFonts w:ascii="Times New Roman" w:hAnsi="Times New Roman"/>
          <w:sz w:val="24"/>
          <w:szCs w:val="24"/>
        </w:rPr>
        <w:t xml:space="preserve">a </w:t>
      </w:r>
      <w:r w:rsidRPr="003D5B09">
        <w:rPr>
          <w:rFonts w:ascii="Times New Roman" w:hAnsi="Times New Roman"/>
          <w:sz w:val="24"/>
          <w:szCs w:val="24"/>
        </w:rPr>
        <w:t xml:space="preserve">firm </w:t>
      </w:r>
      <w:r w:rsidRPr="003D5B09">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Pr>
          <w:rFonts w:ascii="Times New Roman" w:hAnsi="Times New Roman"/>
          <w:sz w:val="24"/>
          <w:szCs w:val="24"/>
        </w:rPr>
        <w:t>o</w:t>
      </w:r>
      <w:r w:rsidRPr="003D5B09">
        <w:rPr>
          <w:rFonts w:ascii="Times New Roman" w:hAnsi="Times New Roman"/>
          <w:sz w:val="24"/>
          <w:szCs w:val="24"/>
        </w:rPr>
        <w:t>n</w:t>
      </w:r>
      <w:r w:rsidRPr="003D5B09">
        <w:rPr>
          <w:rFonts w:ascii="Times New Roman" w:hAnsi="Times New Roman"/>
          <w:sz w:val="24"/>
          <w:szCs w:val="24"/>
        </w:rPr>
        <w:t xml:space="preserve"> either</w:t>
      </w:r>
      <w:r w:rsidRPr="003D5B09">
        <w:rPr>
          <w:rFonts w:ascii="Times New Roman" w:hAnsi="Times New Roman"/>
          <w:sz w:val="24"/>
          <w:szCs w:val="24"/>
        </w:rPr>
        <w:t xml:space="preserve"> </w:t>
      </w:r>
      <w:r w:rsidRPr="003D5B09">
        <w:rPr>
          <w:rFonts w:ascii="Times New Roman" w:hAnsi="Times New Roman"/>
          <w:sz w:val="24"/>
          <w:szCs w:val="24"/>
        </w:rPr>
        <w:t>the</w:t>
      </w:r>
      <w:r w:rsidRPr="003D5B09">
        <w:rPr>
          <w:rFonts w:ascii="Times New Roman" w:hAnsi="Times New Roman"/>
          <w:sz w:val="24"/>
          <w:szCs w:val="24"/>
        </w:rPr>
        <w:t xml:space="preserve"> NYISO </w:t>
      </w:r>
      <w:r w:rsidRPr="003D5B09">
        <w:rPr>
          <w:rFonts w:ascii="Times New Roman" w:hAnsi="Times New Roman"/>
          <w:sz w:val="24"/>
          <w:szCs w:val="24"/>
        </w:rPr>
        <w:t>transmission system</w:t>
      </w:r>
      <w:r w:rsidRPr="003D5B09">
        <w:rPr>
          <w:rFonts w:ascii="Times New Roman" w:hAnsi="Times New Roman"/>
          <w:sz w:val="24"/>
          <w:szCs w:val="24"/>
        </w:rPr>
        <w:t xml:space="preserve"> </w:t>
      </w:r>
      <w:r w:rsidRPr="003D5B09">
        <w:rPr>
          <w:rFonts w:ascii="Times New Roman" w:hAnsi="Times New Roman"/>
          <w:sz w:val="24"/>
          <w:szCs w:val="24"/>
        </w:rPr>
        <w:t xml:space="preserve">or </w:t>
      </w:r>
      <w:r w:rsidRPr="003D5B09">
        <w:rPr>
          <w:rFonts w:ascii="Times New Roman" w:hAnsi="Times New Roman"/>
          <w:sz w:val="24"/>
          <w:szCs w:val="24"/>
        </w:rPr>
        <w:t>o</w:t>
      </w:r>
      <w:r w:rsidRPr="003D5B09">
        <w:rPr>
          <w:rFonts w:ascii="Times New Roman" w:hAnsi="Times New Roman"/>
          <w:sz w:val="24"/>
          <w:szCs w:val="24"/>
        </w:rPr>
        <w:t xml:space="preserve">n </w:t>
      </w:r>
      <w:r w:rsidRPr="003D5B09">
        <w:rPr>
          <w:rFonts w:ascii="Times New Roman" w:hAnsi="Times New Roman"/>
          <w:sz w:val="24"/>
          <w:szCs w:val="24"/>
        </w:rPr>
        <w:t xml:space="preserve">the </w:t>
      </w:r>
      <w:r w:rsidRPr="003D5B09">
        <w:rPr>
          <w:rFonts w:ascii="Times New Roman" w:hAnsi="Times New Roman"/>
          <w:sz w:val="24"/>
          <w:szCs w:val="24"/>
        </w:rPr>
        <w:t xml:space="preserve">PJM </w:t>
      </w:r>
      <w:r w:rsidRPr="003D5B09">
        <w:rPr>
          <w:rFonts w:ascii="Times New Roman" w:hAnsi="Times New Roman"/>
          <w:sz w:val="24"/>
          <w:szCs w:val="24"/>
        </w:rPr>
        <w:t>transmission system</w:t>
      </w:r>
      <w:r w:rsidRPr="003D5B09">
        <w:rPr>
          <w:rFonts w:ascii="Times New Roman" w:hAnsi="Times New Roman"/>
          <w:sz w:val="24"/>
          <w:szCs w:val="24"/>
        </w:rPr>
        <w:t>.</w:t>
      </w:r>
      <w:r w:rsidRPr="003D5B09">
        <w:rPr>
          <w:rFonts w:ascii="Times New Roman" w:hAnsi="Times New Roman"/>
          <w:sz w:val="24"/>
          <w:szCs w:val="24"/>
        </w:rPr>
        <w:t xml:space="preserve"> </w:t>
      </w:r>
      <w:r w:rsidRPr="003D5B09">
        <w:rPr>
          <w:rFonts w:ascii="Times New Roman" w:hAnsi="Times New Roman"/>
          <w:sz w:val="24"/>
          <w:szCs w:val="24"/>
        </w:rPr>
        <w:t xml:space="preserve"> The OBF </w:t>
      </w:r>
      <w:r w:rsidRPr="003D5B09">
        <w:rPr>
          <w:rFonts w:ascii="Times New Roman" w:hAnsi="Times New Roman"/>
          <w:sz w:val="24"/>
          <w:szCs w:val="24"/>
        </w:rPr>
        <w:t xml:space="preserve">shall not result in </w:t>
      </w:r>
      <w:r w:rsidRPr="003D5B09">
        <w:rPr>
          <w:rFonts w:ascii="Times New Roman" w:hAnsi="Times New Roman"/>
          <w:sz w:val="24"/>
          <w:szCs w:val="24"/>
        </w:rPr>
        <w:t xml:space="preserve">charges from </w:t>
      </w:r>
      <w:r w:rsidRPr="003D5B09">
        <w:rPr>
          <w:rFonts w:ascii="Times New Roman" w:hAnsi="Times New Roman"/>
          <w:sz w:val="24"/>
          <w:szCs w:val="24"/>
        </w:rPr>
        <w:t>one Party to the other Party, or from one Party to the other Party’s Market Participants</w:t>
      </w:r>
      <w:r w:rsidRPr="003D5B09">
        <w:rPr>
          <w:rFonts w:ascii="Times New Roman" w:hAnsi="Times New Roman"/>
          <w:sz w:val="24"/>
          <w:szCs w:val="24"/>
        </w:rPr>
        <w:t xml:space="preserve">, except for the settlements described in the Real-Time Energy Market Coordination and </w:t>
      </w:r>
      <w:r w:rsidRPr="00AA7126">
        <w:rPr>
          <w:rFonts w:ascii="Times New Roman" w:hAnsi="Times New Roman"/>
          <w:sz w:val="24"/>
          <w:szCs w:val="24"/>
        </w:rPr>
        <w:t>Settlements provisions set forth in Sections 7 and 8 of Schedule D to this Agreem</w:t>
      </w:r>
      <w:r w:rsidRPr="00AA7126">
        <w:rPr>
          <w:rFonts w:ascii="Times New Roman" w:hAnsi="Times New Roman"/>
          <w:sz w:val="24"/>
          <w:szCs w:val="24"/>
        </w:rPr>
        <w:t>ent</w:t>
      </w:r>
      <w:r w:rsidRPr="00AA7126">
        <w:rPr>
          <w:rFonts w:ascii="Times New Roman" w:hAnsi="Times New Roman"/>
          <w:sz w:val="24"/>
          <w:szCs w:val="24"/>
        </w:rPr>
        <w:t xml:space="preserve">.  In particular, </w:t>
      </w:r>
      <w:r w:rsidRPr="00AA7126">
        <w:rPr>
          <w:rFonts w:ascii="Times New Roman" w:hAnsi="Times New Roman"/>
          <w:sz w:val="24"/>
          <w:szCs w:val="24"/>
        </w:rPr>
        <w:t xml:space="preserve">the </w:t>
      </w:r>
      <w:r w:rsidRPr="00AA7126">
        <w:rPr>
          <w:rFonts w:ascii="Times New Roman" w:hAnsi="Times New Roman"/>
          <w:sz w:val="24"/>
          <w:szCs w:val="24"/>
        </w:rPr>
        <w:t>NYISO</w:t>
      </w:r>
      <w:r w:rsidRPr="00AA7126">
        <w:rPr>
          <w:rFonts w:ascii="Times New Roman" w:hAnsi="Times New Roman"/>
          <w:sz w:val="24"/>
          <w:szCs w:val="24"/>
        </w:rPr>
        <w:t xml:space="preserve"> and</w:t>
      </w:r>
      <w:r w:rsidRPr="00AA7126">
        <w:rPr>
          <w:rFonts w:ascii="Times New Roman" w:hAnsi="Times New Roman"/>
          <w:sz w:val="24"/>
          <w:szCs w:val="24"/>
        </w:rPr>
        <w:t xml:space="preserve"> </w:t>
      </w:r>
      <w:r w:rsidRPr="00AA7126">
        <w:rPr>
          <w:rFonts w:ascii="Times New Roman" w:hAnsi="Times New Roman"/>
          <w:sz w:val="24"/>
          <w:szCs w:val="24"/>
        </w:rPr>
        <w:t xml:space="preserve">its </w:t>
      </w:r>
      <w:r>
        <w:rPr>
          <w:rFonts w:ascii="Times New Roman" w:hAnsi="Times New Roman"/>
          <w:sz w:val="24"/>
          <w:szCs w:val="24"/>
        </w:rPr>
        <w:t xml:space="preserve">Market Participants shall not be subjected to PJM Regional Transmission Expansion Plan (“RTEP”) cost allocations as a result of the OBF.  </w:t>
      </w:r>
    </w:p>
    <w:p w:rsidR="008D2B3F" w:rsidRPr="00ED333B" w:rsidRDefault="006172E3"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supply which is unavailable as a result of an unexpected outage or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w:t>
      </w:r>
      <w:r w:rsidRPr="00ED333B">
        <w:rPr>
          <w:rFonts w:ascii="Times New Roman" w:hAnsi="Times New Roman"/>
          <w:sz w:val="24"/>
          <w:szCs w:val="24"/>
        </w:rPr>
        <w:t>expected demand or other contingencies.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coordinating and approval of changes in transmission status for maintenance, determination of changes in tran</w:t>
      </w:r>
      <w:r w:rsidRPr="00ED333B">
        <w:rPr>
          <w:rFonts w:ascii="Times New Roman" w:hAnsi="Times New Roman"/>
          <w:sz w:val="24"/>
          <w:szCs w:val="24"/>
        </w:rPr>
        <w:t>smission status for reliability, coordination with other Balancing Authority Areas and Reliability Coordinators, voltage reductions and load shedding, except that each legal owner of generation and transmission resources continues to physically operate and</w:t>
      </w:r>
      <w:r w:rsidRPr="00ED333B">
        <w:rPr>
          <w:rFonts w:ascii="Times New Roman" w:hAnsi="Times New Roman"/>
          <w:sz w:val="24"/>
          <w:szCs w:val="24"/>
        </w:rPr>
        <w:t xml:space="preserve"> maintain its own facilities.</w:t>
      </w:r>
    </w:p>
    <w:p w:rsidR="008D2B3F" w:rsidRPr="00ED333B" w:rsidRDefault="006172E3">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outaged) in the post-contingency configuration of a system under study.</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w:t>
      </w:r>
      <w:r w:rsidRPr="00ED333B">
        <w:rPr>
          <w:rFonts w:ascii="Times New Roman" w:hAnsi="Times New Roman"/>
          <w:sz w:val="24"/>
          <w:szCs w:val="24"/>
        </w:rPr>
        <w:t xml:space="preserve">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rsidRDefault="006172E3">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shall mean the PAR’s impact on a Flowgate measured as the ratio of Fl</w:t>
      </w:r>
      <w:r w:rsidRPr="00ED333B">
        <w:rPr>
          <w:rFonts w:ascii="Times New Roman" w:hAnsi="Times New Roman"/>
          <w:sz w:val="24"/>
          <w:szCs w:val="24"/>
        </w:rPr>
        <w:t>owgate flow change in MW to PAR schedule change in MW.</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iCs/>
          <w:sz w:val="24"/>
          <w:szCs w:val="24"/>
        </w:rPr>
        <w:t xml:space="preserve">“PJM Code of Conduct” </w:t>
      </w:r>
      <w:r w:rsidRPr="00ED333B">
        <w:rPr>
          <w:rFonts w:ascii="Times New Roman" w:hAnsi="Times New Roman"/>
          <w:iCs/>
          <w:sz w:val="24"/>
          <w:szCs w:val="24"/>
        </w:rPr>
        <w:t xml:space="preserve">shall mean the code of ethical standards, guidelines and expectations for PJM’s employees, officers and Board Members in their transactions and business dealings on behalf of PJM as posted on the PJM website and as may be amended from time to time.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“PJM T</w:t>
      </w:r>
      <w:r w:rsidRPr="00ED333B">
        <w:rPr>
          <w:rFonts w:ascii="Times New Roman" w:hAnsi="Times New Roman"/>
          <w:b/>
          <w:sz w:val="24"/>
          <w:szCs w:val="24"/>
        </w:rPr>
        <w:t>ariffs”</w:t>
      </w:r>
      <w:r w:rsidRPr="00ED333B">
        <w:rPr>
          <w:rFonts w:ascii="Times New Roman" w:hAnsi="Times New Roman"/>
          <w:sz w:val="24"/>
          <w:szCs w:val="24"/>
        </w:rPr>
        <w:t xml:space="preserve"> shall mean the PJM OATT and the PJM Amended and Restated Operating Agreement, collectively.</w:t>
      </w:r>
    </w:p>
    <w:p w:rsidR="008D2B3F" w:rsidRPr="00ED333B" w:rsidRDefault="006172E3">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shall mean a measure of the responsiveness or change in electrical loadings on Transmission Facilities due to</w:t>
      </w:r>
      <w:r w:rsidRPr="00ED333B">
        <w:rPr>
          <w:rFonts w:ascii="Times New Roman" w:hAnsi="Times New Roman"/>
          <w:sz w:val="24"/>
          <w:szCs w:val="24"/>
        </w:rPr>
        <w:t xml:space="preserve"> a change in electric power transfer from one area to another, expressed in percent (up to 100%) of the change in power transfer in the pre-contingency configuration of a system under study.</w:t>
      </w:r>
    </w:p>
    <w:p w:rsidR="009A7612" w:rsidRPr="00ED333B" w:rsidRDefault="006172E3" w:rsidP="009A7612">
      <w:pPr>
        <w:pStyle w:val="Definition"/>
        <w:rPr>
          <w:rFonts w:ascii="Times New Roman" w:hAnsi="Times New Roman"/>
          <w:sz w:val="24"/>
          <w:szCs w:val="24"/>
        </w:rPr>
      </w:pP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5018</w:t>
      </w:r>
      <w:r w:rsidRPr="00ED333B">
        <w:rPr>
          <w:rFonts w:ascii="Times New Roman" w:hAnsi="Times New Roman"/>
          <w:sz w:val="24"/>
          <w:szCs w:val="24"/>
        </w:rPr>
        <w:t xml:space="preserve"> Hopatcong-Ramapo 500 kV tie</w:t>
      </w:r>
      <w:r w:rsidRPr="00ED333B">
        <w:rPr>
          <w:rFonts w:ascii="Times New Roman" w:hAnsi="Times New Roman"/>
          <w:sz w:val="24"/>
          <w:szCs w:val="24"/>
        </w:rPr>
        <w:t xml:space="preserve"> </w:t>
      </w:r>
      <w:r w:rsidRPr="00ED333B">
        <w:rPr>
          <w:rFonts w:ascii="Times New Roman" w:hAnsi="Times New Roman"/>
          <w:sz w:val="24"/>
          <w:szCs w:val="24"/>
        </w:rPr>
        <w:t>line between PJM and NYISO.</w:t>
      </w:r>
    </w:p>
    <w:p w:rsidR="001C7270" w:rsidRPr="00ED333B" w:rsidRDefault="006172E3" w:rsidP="009A7612">
      <w:pPr>
        <w:pStyle w:val="Definition"/>
        <w:rPr>
          <w:rFonts w:ascii="Times New Roman" w:hAnsi="Times New Roman"/>
          <w:sz w:val="24"/>
          <w:szCs w:val="24"/>
        </w:rPr>
      </w:pP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p>
    <w:p w:rsidR="008D2B3F" w:rsidRPr="00ED333B" w:rsidRDefault="006172E3"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shall mean NYISO’s multi-period security constrained unit commitment and dispa</w:t>
      </w:r>
      <w:r w:rsidRPr="00ED333B">
        <w:rPr>
          <w:rFonts w:ascii="Times New Roman" w:hAnsi="Times New Roman"/>
          <w:sz w:val="24"/>
          <w:szCs w:val="24"/>
        </w:rPr>
        <w:t>tch model, as defined in the NYISO Tariffs.</w:t>
      </w:r>
    </w:p>
    <w:p w:rsidR="008D2B3F" w:rsidRPr="00ED333B" w:rsidRDefault="006172E3" w:rsidP="008D2B3F">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whose impact on M2M </w:t>
      </w:r>
      <w:r w:rsidRPr="00ED333B">
        <w:rPr>
          <w:rFonts w:ascii="Times New Roman" w:hAnsi="Times New Roman"/>
          <w:sz w:val="24"/>
          <w:szCs w:val="24"/>
        </w:rPr>
        <w:t xml:space="preserve">Entitlements has been previously evaluated and incorporated.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rsidRDefault="006172E3">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w:t>
      </w:r>
      <w:r w:rsidRPr="00ED333B">
        <w:rPr>
          <w:rFonts w:ascii="Times New Roman" w:hAnsi="Times New Roman"/>
          <w:sz w:val="24"/>
          <w:szCs w:val="24"/>
        </w:rPr>
        <w:t>all have the meaning stated in Section 35.20.21.</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including th</w:t>
      </w:r>
      <w:r w:rsidRPr="00ED333B">
        <w:rPr>
          <w:rFonts w:ascii="Times New Roman" w:hAnsi="Times New Roman"/>
          <w:sz w:val="24"/>
          <w:szCs w:val="24"/>
        </w:rPr>
        <w:t>e authority to prevent or mitigate emergency operating situations in both next day analysis and real-time operations. The Reliability Coordinator has the purview that is broad enough to enable the calculation of Interconnection Reliability Operating Limits</w:t>
      </w:r>
      <w:r w:rsidRPr="00ED333B">
        <w:rPr>
          <w:rFonts w:ascii="Times New Roman" w:hAnsi="Times New Roman"/>
          <w:sz w:val="24"/>
          <w:szCs w:val="24"/>
        </w:rPr>
        <w:t xml:space="preserve">,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“Reliab</w:t>
      </w:r>
      <w:r w:rsidRPr="00ED333B">
        <w:rPr>
          <w:rFonts w:ascii="Times New Roman" w:hAnsi="Times New Roman"/>
          <w:b/>
          <w:sz w:val="24"/>
          <w:szCs w:val="24"/>
        </w:rPr>
        <w:t>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 ReliabilityFirst Corporation.</w:t>
      </w:r>
    </w:p>
    <w:p w:rsidR="008D2B3F" w:rsidRPr="00ED333B" w:rsidRDefault="006172E3">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shall mean Regional Transmission Organization.  For ease of refer</w:t>
      </w:r>
      <w:r w:rsidRPr="00ED333B">
        <w:rPr>
          <w:rFonts w:ascii="Times New Roman" w:hAnsi="Times New Roman"/>
          <w:sz w:val="24"/>
          <w:szCs w:val="24"/>
        </w:rPr>
        <w:t>ence, the New York Independent System Operator, Inc., may be referred to as an RTO in this Agreement and the NYISO and PJM may be referred to collectively as the “RTOs” or the “participating RTOs.”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w:t>
      </w:r>
      <w:r w:rsidRPr="00ED333B">
        <w:rPr>
          <w:rFonts w:ascii="Times New Roman" w:hAnsi="Times New Roman"/>
          <w:sz w:val="24"/>
          <w:szCs w:val="24"/>
        </w:rPr>
        <w:t xml:space="preserve">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w:t>
      </w:r>
      <w:r w:rsidRPr="00ED333B">
        <w:rPr>
          <w:rFonts w:ascii="Times New Roman" w:hAnsi="Times New Roman"/>
          <w:sz w:val="24"/>
          <w:szCs w:val="24"/>
        </w:rPr>
        <w:t>lity limits and thermal ratings.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w:t>
      </w:r>
      <w:r w:rsidRPr="00ED333B">
        <w:rPr>
          <w:rFonts w:ascii="Times New Roman" w:eastAsia="Times New Roman" w:hAnsi="Times New Roman"/>
          <w:sz w:val="24"/>
          <w:szCs w:val="24"/>
        </w:rPr>
        <w:t xml:space="preserve">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standards or criteria to either Party relating to the reliability of Transmission Systems.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w:t>
      </w:r>
      <w:r w:rsidRPr="00ED333B">
        <w:rPr>
          <w:rFonts w:ascii="Times New Roman" w:hAnsi="Times New Roman"/>
          <w:sz w:val="24"/>
          <w:szCs w:val="24"/>
        </w:rPr>
        <w:t>itudes and angles) of the Transmission System using the network model and real-time measurements.  Line flows, transformer flows, and injections at the busses are calculated from the known state and the transmission line parameters.  The State Estimator ha</w:t>
      </w:r>
      <w:r w:rsidRPr="00ED333B">
        <w:rPr>
          <w:rFonts w:ascii="Times New Roman" w:hAnsi="Times New Roman"/>
          <w:sz w:val="24"/>
          <w:szCs w:val="24"/>
        </w:rPr>
        <w:t>s the capability to detect and identify bad measurements.</w:t>
      </w:r>
    </w:p>
    <w:p w:rsidR="008D2B3F" w:rsidRPr="00ED333B" w:rsidRDefault="006172E3"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 xml:space="preserve">actual or anticipated severe weather conditions under which region-specific portions of the New York State Transmission System are operated in a more conservative manner by </w:t>
      </w:r>
      <w:r w:rsidRPr="00ED333B">
        <w:rPr>
          <w:rFonts w:ascii="Times New Roman" w:hAnsi="Times New Roman"/>
          <w:sz w:val="24"/>
          <w:szCs w:val="24"/>
        </w:rPr>
        <w:t>reducing transmission transfer limits.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w:t>
      </w:r>
      <w:r w:rsidRPr="00ED333B">
        <w:rPr>
          <w:rFonts w:ascii="Times New Roman" w:hAnsi="Times New Roman"/>
          <w:sz w:val="24"/>
          <w:szCs w:val="24"/>
        </w:rPr>
        <w:t>ibed operating criteria for a specified system configuration to ensure operation within acceptable reliability criteria.</w:t>
      </w:r>
    </w:p>
    <w:p w:rsidR="008D2B3F" w:rsidRPr="00ED333B" w:rsidRDefault="006172E3">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w:t>
      </w:r>
      <w:r w:rsidRPr="00ED333B">
        <w:rPr>
          <w:rFonts w:ascii="Times New Roman" w:hAnsi="Times New Roman"/>
          <w:sz w:val="24"/>
          <w:szCs w:val="24"/>
        </w:rPr>
        <w:t>han a Party to this Agreement.</w:t>
      </w:r>
    </w:p>
    <w:p w:rsidR="008D2B3F" w:rsidRPr="00ED333B" w:rsidRDefault="006172E3">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Policies.</w:t>
      </w:r>
      <w:r w:rsidRPr="00ED333B">
        <w:rPr>
          <w:rFonts w:ascii="Times New Roman" w:hAnsi="Times New Roman"/>
          <w:b/>
          <w:sz w:val="24"/>
          <w:szCs w:val="24"/>
        </w:rPr>
        <w:t xml:space="preserve">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w:t>
      </w:r>
      <w:r w:rsidRPr="00ED333B">
        <w:rPr>
          <w:rFonts w:ascii="Times New Roman" w:hAnsi="Times New Roman"/>
          <w:sz w:val="24"/>
          <w:szCs w:val="24"/>
        </w:rPr>
        <w:t>tlement Transmission Adjusted Market Flow Calculation to the New Year Market Flow.  The resulting Transmission Adjusted Market Flow is then used as the Reference Year Market Flow in all subsequent, iterative, evaluations.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w:t>
      </w:r>
      <w:r w:rsidRPr="00ED333B">
        <w:rPr>
          <w:rFonts w:ascii="Times New Roman" w:hAnsi="Times New Roman"/>
          <w:sz w:val="24"/>
          <w:szCs w:val="24"/>
        </w:rPr>
        <w:t>n the entity responsible for the reliability of its “local” Transmission System, and that operates or directs the operations of the Transmission Facilities.</w:t>
      </w:r>
    </w:p>
    <w:p w:rsidR="008D2B3F" w:rsidRPr="00ED333B" w:rsidRDefault="006172E3">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Transmission Facilities.  </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“Transmission System</w:t>
      </w:r>
      <w:r w:rsidRPr="00ED333B">
        <w:rPr>
          <w:rFonts w:ascii="Times New Roman" w:hAnsi="Times New Roman"/>
          <w:b/>
          <w:sz w:val="24"/>
          <w:szCs w:val="24"/>
        </w:rPr>
        <w:t xml:space="preserve">” </w:t>
      </w:r>
      <w:r w:rsidRPr="00ED333B">
        <w:rPr>
          <w:rFonts w:ascii="Times New Roman" w:hAnsi="Times New Roman"/>
          <w:sz w:val="24"/>
          <w:szCs w:val="24"/>
        </w:rPr>
        <w:t>shall mean the facilities controlled or operated by PJM or NYISO as designated by each in their respective OATTs.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w:t>
      </w:r>
      <w:r w:rsidRPr="00ED333B">
        <w:rPr>
          <w:rFonts w:ascii="Times New Roman" w:hAnsi="Times New Roman"/>
          <w:sz w:val="24"/>
          <w:szCs w:val="24"/>
        </w:rPr>
        <w:t>for that purpose as defined in the Parties respective OATTs.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necessary to provide reasonable assurance that the interconnected transmission network will be</w:t>
      </w:r>
      <w:r w:rsidRPr="00ED333B">
        <w:rPr>
          <w:rFonts w:ascii="Times New Roman" w:hAnsi="Times New Roman"/>
          <w:sz w:val="24"/>
          <w:szCs w:val="24"/>
        </w:rPr>
        <w:t xml:space="preserve"> secure. TRM accounts for the inherent uncertainty in system conditions and the need for operating flexibility to ensure reliable system operation as system conditions change.</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w:t>
      </w:r>
      <w:r w:rsidRPr="00ED333B">
        <w:rPr>
          <w:rFonts w:ascii="Times New Roman" w:hAnsi="Times New Roman"/>
          <w:sz w:val="24"/>
          <w:szCs w:val="24"/>
        </w:rPr>
        <w:t>t can be moved or transferred reliably from one area to another area of the interconnected Transmission Systems by way of all transmission lines (or paths) between those areas under specified system conditions.</w:t>
      </w:r>
    </w:p>
    <w:p w:rsidR="008D2B3F" w:rsidRPr="00ED333B" w:rsidRDefault="006172E3">
      <w:pPr>
        <w:pStyle w:val="Definition"/>
        <w:rPr>
          <w:rFonts w:ascii="Times New Roman" w:hAnsi="Times New Roman"/>
          <w:sz w:val="24"/>
          <w:szCs w:val="24"/>
        </w:rPr>
      </w:pPr>
      <w:r w:rsidRPr="00ED333B">
        <w:rPr>
          <w:rFonts w:ascii="Times New Roman" w:hAnsi="Times New Roman"/>
          <w:b/>
          <w:sz w:val="24"/>
          <w:szCs w:val="24"/>
        </w:rPr>
        <w:t>“Voltage and Reactive Power Coordination Proc</w:t>
      </w:r>
      <w:r w:rsidRPr="00ED333B">
        <w:rPr>
          <w:rFonts w:ascii="Times New Roman" w:hAnsi="Times New Roman"/>
          <w:b/>
          <w:sz w:val="24"/>
          <w:szCs w:val="24"/>
        </w:rPr>
        <w:t>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rsidRDefault="006172E3">
      <w:pPr>
        <w:pStyle w:val="Definition"/>
        <w:rPr>
          <w:rFonts w:ascii="Times New Roman" w:hAnsi="Times New Roman"/>
          <w:sz w:val="24"/>
          <w:szCs w:val="24"/>
        </w:rPr>
      </w:pP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Pr>
          <w:rFonts w:ascii="Times New Roman" w:hAnsi="Times New Roman"/>
          <w:sz w:val="24"/>
          <w:szCs w:val="24"/>
        </w:rPr>
        <w:t>I</w:t>
      </w:r>
      <w:r w:rsidRPr="00ED333B">
        <w:rPr>
          <w:rFonts w:ascii="Times New Roman" w:hAnsi="Times New Roman"/>
          <w:sz w:val="24"/>
          <w:szCs w:val="24"/>
        </w:rPr>
        <w:t>nterface.</w:t>
      </w:r>
    </w:p>
    <w:p w:rsidR="008D2B3F" w:rsidRPr="00ED333B" w:rsidRDefault="006172E3">
      <w:pPr>
        <w:pStyle w:val="Heading3"/>
        <w:rPr>
          <w:bCs w:val="0"/>
          <w:snapToGrid w:val="0"/>
          <w:szCs w:val="22"/>
        </w:rPr>
      </w:pPr>
      <w:bookmarkStart w:id="5" w:name="_Toc113336690"/>
      <w:bookmarkStart w:id="6" w:name="_Toc113336869"/>
      <w:bookmarkStart w:id="7" w:name="_Toc115162686"/>
      <w:bookmarkStart w:id="8" w:name="_Toc260839788"/>
      <w:r w:rsidRPr="00ED333B">
        <w:rPr>
          <w:bCs w:val="0"/>
          <w:snapToGrid w:val="0"/>
          <w:szCs w:val="22"/>
        </w:rPr>
        <w:t>35.2. 2</w:t>
      </w:r>
      <w:r w:rsidRPr="00ED333B">
        <w:rPr>
          <w:bCs w:val="0"/>
          <w:snapToGrid w:val="0"/>
          <w:szCs w:val="22"/>
        </w:rPr>
        <w:tab/>
        <w:t>Rules of Construction.</w:t>
      </w:r>
      <w:bookmarkEnd w:id="5"/>
      <w:bookmarkEnd w:id="6"/>
      <w:bookmarkEnd w:id="7"/>
      <w:bookmarkEnd w:id="8"/>
    </w:p>
    <w:p w:rsidR="008D2B3F" w:rsidRPr="00ED333B" w:rsidRDefault="006172E3" w:rsidP="00FB141D">
      <w:pPr>
        <w:pStyle w:val="Heading4"/>
        <w:keepNext/>
        <w:tabs>
          <w:tab w:val="left" w:pos="1800"/>
        </w:tabs>
        <w:spacing w:before="240"/>
        <w:ind w:left="1800" w:hanging="1080"/>
        <w:rPr>
          <w:bCs/>
          <w:iCs/>
          <w:snapToGrid/>
          <w:szCs w:val="24"/>
        </w:rPr>
      </w:pPr>
      <w:bookmarkStart w:id="9" w:name="_Toc260839789"/>
      <w:r w:rsidRPr="00ED333B">
        <w:rPr>
          <w:bCs/>
          <w:iCs/>
          <w:snapToGrid/>
          <w:szCs w:val="24"/>
        </w:rPr>
        <w:t>35.2. 2.1</w:t>
      </w:r>
      <w:r w:rsidRPr="00ED333B">
        <w:rPr>
          <w:bCs/>
          <w:iCs/>
          <w:snapToGrid/>
          <w:szCs w:val="24"/>
        </w:rPr>
        <w:tab/>
        <w:t>No Int</w:t>
      </w:r>
      <w:r w:rsidRPr="00ED333B">
        <w:rPr>
          <w:bCs/>
          <w:iCs/>
          <w:snapToGrid/>
          <w:szCs w:val="24"/>
        </w:rPr>
        <w:t>erpretation Against Drafter.</w:t>
      </w:r>
      <w:bookmarkEnd w:id="9"/>
      <w:r w:rsidRPr="00ED333B">
        <w:rPr>
          <w:bCs/>
          <w:iCs/>
          <w:snapToGrid/>
          <w:szCs w:val="24"/>
        </w:rPr>
        <w:t xml:space="preserve">  </w:t>
      </w:r>
    </w:p>
    <w:p w:rsidR="008D2B3F" w:rsidRPr="00ED333B" w:rsidRDefault="006172E3"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addition to their roles as RTOs/ISOs and Reliability Coordinators, and the functions and responsibilities associated therewith, the Parties agree that each Party participated in the drafting of this Agreement and was repre</w:t>
      </w:r>
      <w:r w:rsidRPr="00ED333B">
        <w:rPr>
          <w:rFonts w:ascii="Times New Roman" w:eastAsia="Times New Roman" w:hAnsi="Times New Roman"/>
          <w:sz w:val="24"/>
          <w:szCs w:val="24"/>
        </w:rPr>
        <w:t>sented therein by competent legal counsel.  No rule of construction or interpretation against the drafter shall be applied to the construction or in the interpretation of this Agreement.</w:t>
      </w:r>
    </w:p>
    <w:p w:rsidR="008D2B3F" w:rsidRPr="00ED333B" w:rsidRDefault="006172E3" w:rsidP="00FB141D">
      <w:pPr>
        <w:pStyle w:val="Heading4"/>
        <w:keepNext/>
        <w:tabs>
          <w:tab w:val="left" w:pos="1800"/>
        </w:tabs>
        <w:spacing w:before="240"/>
        <w:ind w:left="1800" w:hanging="1080"/>
        <w:rPr>
          <w:bCs/>
          <w:iCs/>
          <w:snapToGrid/>
          <w:szCs w:val="24"/>
        </w:rPr>
      </w:pPr>
      <w:bookmarkStart w:id="10" w:name="_Toc260839790"/>
      <w:r w:rsidRPr="00ED333B">
        <w:rPr>
          <w:bCs/>
          <w:iCs/>
          <w:snapToGrid/>
          <w:szCs w:val="24"/>
        </w:rPr>
        <w:t>35.2. 2.2</w:t>
      </w:r>
      <w:r w:rsidRPr="00ED333B">
        <w:rPr>
          <w:bCs/>
          <w:iCs/>
          <w:snapToGrid/>
          <w:szCs w:val="24"/>
        </w:rPr>
        <w:tab/>
        <w:t>Incorporation of Preamble and Recitals.</w:t>
      </w:r>
      <w:bookmarkEnd w:id="10"/>
      <w:r w:rsidRPr="00ED333B">
        <w:rPr>
          <w:bCs/>
          <w:iCs/>
          <w:snapToGrid/>
          <w:szCs w:val="24"/>
        </w:rPr>
        <w:t xml:space="preserve">  </w:t>
      </w:r>
    </w:p>
    <w:p w:rsidR="008D2B3F" w:rsidRPr="00ED333B" w:rsidRDefault="006172E3"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The Preamble and </w:t>
      </w:r>
      <w:r w:rsidRPr="00ED333B">
        <w:rPr>
          <w:rFonts w:ascii="Times New Roman" w:eastAsia="Times New Roman" w:hAnsi="Times New Roman"/>
          <w:sz w:val="24"/>
          <w:szCs w:val="24"/>
        </w:rPr>
        <w:t>Recitals of this Agreement are incorporated into the terms and conditions of this Agreement and made a part thereof.</w:t>
      </w:r>
    </w:p>
    <w:p w:rsidR="008D2B3F" w:rsidRPr="00ED333B" w:rsidRDefault="006172E3" w:rsidP="00FB141D">
      <w:pPr>
        <w:pStyle w:val="Heading4"/>
        <w:keepNext/>
        <w:tabs>
          <w:tab w:val="left" w:pos="1800"/>
        </w:tabs>
        <w:spacing w:before="240"/>
        <w:ind w:left="1800" w:hanging="1080"/>
        <w:rPr>
          <w:bCs/>
          <w:iCs/>
          <w:snapToGrid/>
          <w:szCs w:val="24"/>
        </w:rPr>
      </w:pPr>
      <w:bookmarkStart w:id="11" w:name="_Toc260839791"/>
      <w:r w:rsidRPr="00ED333B">
        <w:rPr>
          <w:bCs/>
          <w:iCs/>
          <w:snapToGrid/>
          <w:szCs w:val="24"/>
        </w:rPr>
        <w:t>35.2. 2.3</w:t>
      </w:r>
      <w:r w:rsidRPr="00ED333B">
        <w:rPr>
          <w:bCs/>
          <w:iCs/>
          <w:snapToGrid/>
          <w:szCs w:val="24"/>
        </w:rPr>
        <w:tab/>
        <w:t>Meanings of Certain Common Words.</w:t>
      </w:r>
      <w:bookmarkEnd w:id="11"/>
      <w:r w:rsidRPr="00ED333B">
        <w:rPr>
          <w:bCs/>
          <w:iCs/>
          <w:snapToGrid/>
          <w:szCs w:val="24"/>
        </w:rPr>
        <w:t xml:space="preserve">  </w:t>
      </w:r>
    </w:p>
    <w:p w:rsidR="008D2B3F" w:rsidRPr="00ED333B" w:rsidRDefault="006172E3"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mean “including, but not limited to.”  The word “</w:t>
      </w:r>
      <w:r w:rsidRPr="00ED333B">
        <w:rPr>
          <w:rFonts w:ascii="Times New Roman" w:eastAsia="Times New Roman" w:hAnsi="Times New Roman"/>
          <w:sz w:val="24"/>
          <w:szCs w:val="24"/>
        </w:rPr>
        <w:t>Section” refers to the applicable section of this Agreement and, unless otherwise stated, includes all subsections thereof.  The word “Article” refers to articles of this Agreement.</w:t>
      </w:r>
    </w:p>
    <w:p w:rsidR="008D2B3F" w:rsidRPr="00ED333B" w:rsidRDefault="006172E3" w:rsidP="00FB141D">
      <w:pPr>
        <w:pStyle w:val="Heading4"/>
        <w:keepNext/>
        <w:tabs>
          <w:tab w:val="left" w:pos="1800"/>
        </w:tabs>
        <w:spacing w:before="240"/>
        <w:ind w:left="1800" w:hanging="1080"/>
        <w:rPr>
          <w:bCs/>
          <w:iCs/>
          <w:snapToGrid/>
          <w:szCs w:val="24"/>
        </w:rPr>
      </w:pPr>
      <w:bookmarkStart w:id="12" w:name="_Toc260839792"/>
      <w:r w:rsidRPr="00ED333B">
        <w:rPr>
          <w:bCs/>
          <w:iCs/>
          <w:snapToGrid/>
          <w:szCs w:val="24"/>
        </w:rPr>
        <w:t>35.2. 2.4</w:t>
      </w:r>
      <w:r w:rsidRPr="00ED333B">
        <w:rPr>
          <w:bCs/>
          <w:iCs/>
          <w:snapToGrid/>
          <w:szCs w:val="24"/>
        </w:rPr>
        <w:tab/>
        <w:t>Standards Authority Standards, Policies, and Procedures.</w:t>
      </w:r>
      <w:bookmarkEnd w:id="12"/>
      <w:r w:rsidRPr="00ED333B">
        <w:rPr>
          <w:bCs/>
          <w:iCs/>
          <w:snapToGrid/>
          <w:szCs w:val="24"/>
        </w:rPr>
        <w:t xml:space="preserve">  </w:t>
      </w:r>
    </w:p>
    <w:p w:rsidR="008D2B3F" w:rsidRPr="00ED333B" w:rsidRDefault="006172E3"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w:t>
      </w:r>
      <w:r w:rsidRPr="00ED333B">
        <w:rPr>
          <w:rFonts w:ascii="Times New Roman" w:eastAsia="Times New Roman" w:hAnsi="Times New Roman"/>
          <w:sz w:val="24"/>
          <w:szCs w:val="24"/>
        </w:rPr>
        <w:t>ctivities under this Agreement will meet or exceed the applicable Standards Authority standards, policies, or procedures as revised from time to time.</w:t>
      </w:r>
    </w:p>
    <w:p w:rsidR="008D2B3F" w:rsidRPr="00ED333B" w:rsidRDefault="006172E3" w:rsidP="00AE14A8">
      <w:pPr>
        <w:pStyle w:val="Heading4"/>
        <w:keepNext/>
        <w:tabs>
          <w:tab w:val="left" w:pos="1800"/>
        </w:tabs>
        <w:spacing w:before="240"/>
        <w:ind w:left="1800" w:hanging="1080"/>
        <w:rPr>
          <w:bCs/>
          <w:iCs/>
          <w:snapToGrid/>
          <w:szCs w:val="24"/>
        </w:rPr>
      </w:pPr>
      <w:bookmarkStart w:id="13" w:name="_Toc260839793"/>
      <w:r w:rsidRPr="00ED333B">
        <w:rPr>
          <w:bCs/>
          <w:iCs/>
          <w:snapToGrid/>
          <w:szCs w:val="24"/>
        </w:rPr>
        <w:t>35.2. 2.5</w:t>
      </w:r>
      <w:r w:rsidRPr="00ED333B">
        <w:rPr>
          <w:bCs/>
          <w:iCs/>
          <w:snapToGrid/>
          <w:szCs w:val="24"/>
        </w:rPr>
        <w:tab/>
        <w:t>Scope of Application.</w:t>
      </w:r>
      <w:bookmarkEnd w:id="13"/>
      <w:r w:rsidRPr="00ED333B">
        <w:rPr>
          <w:bCs/>
          <w:iCs/>
          <w:snapToGrid/>
          <w:szCs w:val="24"/>
        </w:rPr>
        <w:t xml:space="preserve">  </w:t>
      </w:r>
    </w:p>
    <w:p w:rsidR="00D12B30" w:rsidRDefault="006172E3">
      <w:pPr>
        <w:pStyle w:val="Definition"/>
        <w:spacing w:before="0" w:after="0" w:line="480" w:lineRule="auto"/>
        <w:ind w:firstLine="720"/>
        <w:rPr>
          <w:rFonts w:ascii="Times New Roman" w:eastAsia="Times New Roman" w:hAnsi="Times New Roman"/>
          <w:sz w:val="24"/>
          <w:szCs w:val="24"/>
        </w:rPr>
      </w:pPr>
      <w:r w:rsidRPr="00ED333B">
        <w:rPr>
          <w:rFonts w:ascii="Times New Roman" w:eastAsia="Times New Roman" w:hAnsi="Times New Roman"/>
          <w:sz w:val="24"/>
          <w:szCs w:val="24"/>
        </w:rPr>
        <w:t>Each Party will perform this Agreement in accordance with its terms and</w:t>
      </w:r>
      <w:r w:rsidRPr="00ED333B">
        <w:rPr>
          <w:rFonts w:ascii="Times New Roman" w:eastAsia="Times New Roman" w:hAnsi="Times New Roman"/>
          <w:sz w:val="24"/>
          <w:szCs w:val="24"/>
        </w:rPr>
        <w:t xml:space="preserve"> conditions with respect to each Control Area for which it serves as ISO or RTO and, in addition, each Control Area for which it serves as Reliability Coordinator.</w:t>
      </w:r>
    </w:p>
    <w:sectPr w:rsidR="00D12B30" w:rsidSect="008D2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2E3">
      <w:pPr>
        <w:spacing w:after="0" w:line="240" w:lineRule="auto"/>
      </w:pPr>
      <w:r>
        <w:separator/>
      </w:r>
    </w:p>
  </w:endnote>
  <w:endnote w:type="continuationSeparator" w:id="0">
    <w:p w:rsidR="00000000" w:rsidRDefault="0061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2E3">
      <w:pPr>
        <w:spacing w:after="0" w:line="240" w:lineRule="auto"/>
      </w:pPr>
      <w:r>
        <w:separator/>
      </w:r>
    </w:p>
  </w:footnote>
  <w:footnote w:type="continuationSeparator" w:id="0">
    <w:p w:rsidR="00000000" w:rsidRDefault="0061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r>
      <w:rPr>
        <w:rFonts w:ascii="Arial" w:eastAsia="Arial" w:hAnsi="Arial" w:cs="Arial"/>
        <w:color w:val="000000"/>
        <w:sz w:val="16"/>
      </w:rPr>
      <w:t>NYISO Tariffs --&gt; Open Access Transmission Tariff (OATT) --&gt; 35 OATT Attachment CC - Joint O</w:t>
    </w:r>
    <w:r>
      <w:rPr>
        <w:rFonts w:ascii="Arial" w:eastAsia="Arial" w:hAnsi="Arial" w:cs="Arial"/>
        <w:color w:val="000000"/>
        <w:sz w:val="16"/>
      </w:rPr>
      <w:t>perating Agreement Among And --&gt; 35.2 OATT Att CC Abbreviations, Acronyms, Definitions and 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8B" w:rsidRDefault="006172E3">
    <w:r>
      <w:rPr>
        <w:rFonts w:ascii="Arial" w:eastAsia="Arial" w:hAnsi="Arial" w:cs="Arial"/>
        <w:color w:val="000000"/>
        <w:sz w:val="16"/>
      </w:rPr>
      <w:t>NYISO Tariffs --&gt; Open Access Tran</w:t>
    </w:r>
    <w:r>
      <w:rPr>
        <w:rFonts w:ascii="Arial" w:eastAsia="Arial" w:hAnsi="Arial" w:cs="Arial"/>
        <w:color w:val="000000"/>
        <w:sz w:val="16"/>
      </w:rPr>
      <w:t>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tplc="8246490E">
      <w:start w:val="1"/>
      <w:numFmt w:val="bullet"/>
      <w:lvlText w:val=""/>
      <w:lvlJc w:val="left"/>
      <w:pPr>
        <w:tabs>
          <w:tab w:val="num" w:pos="1440"/>
        </w:tabs>
        <w:ind w:left="1440" w:hanging="360"/>
      </w:pPr>
      <w:rPr>
        <w:rFonts w:ascii="Symbol" w:hAnsi="Symbol" w:hint="default"/>
      </w:rPr>
    </w:lvl>
    <w:lvl w:ilvl="1" w:tplc="1154FF8A">
      <w:start w:val="1"/>
      <w:numFmt w:val="bullet"/>
      <w:lvlText w:val="o"/>
      <w:lvlJc w:val="left"/>
      <w:pPr>
        <w:tabs>
          <w:tab w:val="num" w:pos="2160"/>
        </w:tabs>
        <w:ind w:left="2160" w:hanging="360"/>
      </w:pPr>
      <w:rPr>
        <w:rFonts w:ascii="Courier New" w:hAnsi="Courier New" w:cs="Courier New" w:hint="default"/>
      </w:rPr>
    </w:lvl>
    <w:lvl w:ilvl="2" w:tplc="14684A02" w:tentative="1">
      <w:start w:val="1"/>
      <w:numFmt w:val="bullet"/>
      <w:lvlText w:val=""/>
      <w:lvlJc w:val="left"/>
      <w:pPr>
        <w:tabs>
          <w:tab w:val="num" w:pos="2880"/>
        </w:tabs>
        <w:ind w:left="2880" w:hanging="360"/>
      </w:pPr>
      <w:rPr>
        <w:rFonts w:ascii="Wingdings" w:hAnsi="Wingdings" w:hint="default"/>
      </w:rPr>
    </w:lvl>
    <w:lvl w:ilvl="3" w:tplc="7D64E0DC" w:tentative="1">
      <w:start w:val="1"/>
      <w:numFmt w:val="bullet"/>
      <w:lvlText w:val=""/>
      <w:lvlJc w:val="left"/>
      <w:pPr>
        <w:tabs>
          <w:tab w:val="num" w:pos="3600"/>
        </w:tabs>
        <w:ind w:left="3600" w:hanging="360"/>
      </w:pPr>
      <w:rPr>
        <w:rFonts w:ascii="Symbol" w:hAnsi="Symbol" w:hint="default"/>
      </w:rPr>
    </w:lvl>
    <w:lvl w:ilvl="4" w:tplc="F92A58BA" w:tentative="1">
      <w:start w:val="1"/>
      <w:numFmt w:val="bullet"/>
      <w:lvlText w:val="o"/>
      <w:lvlJc w:val="left"/>
      <w:pPr>
        <w:tabs>
          <w:tab w:val="num" w:pos="4320"/>
        </w:tabs>
        <w:ind w:left="4320" w:hanging="360"/>
      </w:pPr>
      <w:rPr>
        <w:rFonts w:ascii="Courier New" w:hAnsi="Courier New" w:cs="Courier New" w:hint="default"/>
      </w:rPr>
    </w:lvl>
    <w:lvl w:ilvl="5" w:tplc="455A0546" w:tentative="1">
      <w:start w:val="1"/>
      <w:numFmt w:val="bullet"/>
      <w:lvlText w:val=""/>
      <w:lvlJc w:val="left"/>
      <w:pPr>
        <w:tabs>
          <w:tab w:val="num" w:pos="5040"/>
        </w:tabs>
        <w:ind w:left="5040" w:hanging="360"/>
      </w:pPr>
      <w:rPr>
        <w:rFonts w:ascii="Wingdings" w:hAnsi="Wingdings" w:hint="default"/>
      </w:rPr>
    </w:lvl>
    <w:lvl w:ilvl="6" w:tplc="CF0A3510" w:tentative="1">
      <w:start w:val="1"/>
      <w:numFmt w:val="bullet"/>
      <w:lvlText w:val=""/>
      <w:lvlJc w:val="left"/>
      <w:pPr>
        <w:tabs>
          <w:tab w:val="num" w:pos="5760"/>
        </w:tabs>
        <w:ind w:left="5760" w:hanging="360"/>
      </w:pPr>
      <w:rPr>
        <w:rFonts w:ascii="Symbol" w:hAnsi="Symbol" w:hint="default"/>
      </w:rPr>
    </w:lvl>
    <w:lvl w:ilvl="7" w:tplc="1C789162" w:tentative="1">
      <w:start w:val="1"/>
      <w:numFmt w:val="bullet"/>
      <w:lvlText w:val="o"/>
      <w:lvlJc w:val="left"/>
      <w:pPr>
        <w:tabs>
          <w:tab w:val="num" w:pos="6480"/>
        </w:tabs>
        <w:ind w:left="6480" w:hanging="360"/>
      </w:pPr>
      <w:rPr>
        <w:rFonts w:ascii="Courier New" w:hAnsi="Courier New" w:cs="Courier New" w:hint="default"/>
      </w:rPr>
    </w:lvl>
    <w:lvl w:ilvl="8" w:tplc="C0F89DC6"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BDAAC5D6">
      <w:start w:val="1"/>
      <w:numFmt w:val="bullet"/>
      <w:pStyle w:val="Bulletpara"/>
      <w:lvlText w:val=""/>
      <w:lvlJc w:val="left"/>
      <w:pPr>
        <w:tabs>
          <w:tab w:val="num" w:pos="720"/>
        </w:tabs>
        <w:ind w:left="720" w:hanging="360"/>
      </w:pPr>
      <w:rPr>
        <w:rFonts w:ascii="Symbol" w:hAnsi="Symbol" w:hint="default"/>
      </w:rPr>
    </w:lvl>
    <w:lvl w:ilvl="1" w:tplc="3980689A" w:tentative="1">
      <w:start w:val="1"/>
      <w:numFmt w:val="bullet"/>
      <w:lvlText w:val="o"/>
      <w:lvlJc w:val="left"/>
      <w:pPr>
        <w:tabs>
          <w:tab w:val="num" w:pos="1440"/>
        </w:tabs>
        <w:ind w:left="1440" w:hanging="360"/>
      </w:pPr>
      <w:rPr>
        <w:rFonts w:ascii="Courier New" w:hAnsi="Courier New" w:cs="Courier New" w:hint="default"/>
      </w:rPr>
    </w:lvl>
    <w:lvl w:ilvl="2" w:tplc="5AAAABDC" w:tentative="1">
      <w:start w:val="1"/>
      <w:numFmt w:val="bullet"/>
      <w:lvlText w:val=""/>
      <w:lvlJc w:val="left"/>
      <w:pPr>
        <w:tabs>
          <w:tab w:val="num" w:pos="2160"/>
        </w:tabs>
        <w:ind w:left="2160" w:hanging="360"/>
      </w:pPr>
      <w:rPr>
        <w:rFonts w:ascii="Wingdings" w:hAnsi="Wingdings" w:hint="default"/>
      </w:rPr>
    </w:lvl>
    <w:lvl w:ilvl="3" w:tplc="8278A7C0" w:tentative="1">
      <w:start w:val="1"/>
      <w:numFmt w:val="bullet"/>
      <w:lvlText w:val=""/>
      <w:lvlJc w:val="left"/>
      <w:pPr>
        <w:tabs>
          <w:tab w:val="num" w:pos="2880"/>
        </w:tabs>
        <w:ind w:left="2880" w:hanging="360"/>
      </w:pPr>
      <w:rPr>
        <w:rFonts w:ascii="Symbol" w:hAnsi="Symbol" w:hint="default"/>
      </w:rPr>
    </w:lvl>
    <w:lvl w:ilvl="4" w:tplc="0EA4F6D8" w:tentative="1">
      <w:start w:val="1"/>
      <w:numFmt w:val="bullet"/>
      <w:lvlText w:val="o"/>
      <w:lvlJc w:val="left"/>
      <w:pPr>
        <w:tabs>
          <w:tab w:val="num" w:pos="3600"/>
        </w:tabs>
        <w:ind w:left="3600" w:hanging="360"/>
      </w:pPr>
      <w:rPr>
        <w:rFonts w:ascii="Courier New" w:hAnsi="Courier New" w:cs="Courier New" w:hint="default"/>
      </w:rPr>
    </w:lvl>
    <w:lvl w:ilvl="5" w:tplc="6EC4C44A" w:tentative="1">
      <w:start w:val="1"/>
      <w:numFmt w:val="bullet"/>
      <w:lvlText w:val=""/>
      <w:lvlJc w:val="left"/>
      <w:pPr>
        <w:tabs>
          <w:tab w:val="num" w:pos="4320"/>
        </w:tabs>
        <w:ind w:left="4320" w:hanging="360"/>
      </w:pPr>
      <w:rPr>
        <w:rFonts w:ascii="Wingdings" w:hAnsi="Wingdings" w:hint="default"/>
      </w:rPr>
    </w:lvl>
    <w:lvl w:ilvl="6" w:tplc="E566F894" w:tentative="1">
      <w:start w:val="1"/>
      <w:numFmt w:val="bullet"/>
      <w:lvlText w:val=""/>
      <w:lvlJc w:val="left"/>
      <w:pPr>
        <w:tabs>
          <w:tab w:val="num" w:pos="5040"/>
        </w:tabs>
        <w:ind w:left="5040" w:hanging="360"/>
      </w:pPr>
      <w:rPr>
        <w:rFonts w:ascii="Symbol" w:hAnsi="Symbol" w:hint="default"/>
      </w:rPr>
    </w:lvl>
    <w:lvl w:ilvl="7" w:tplc="E690A414" w:tentative="1">
      <w:start w:val="1"/>
      <w:numFmt w:val="bullet"/>
      <w:lvlText w:val="o"/>
      <w:lvlJc w:val="left"/>
      <w:pPr>
        <w:tabs>
          <w:tab w:val="num" w:pos="5760"/>
        </w:tabs>
        <w:ind w:left="5760" w:hanging="360"/>
      </w:pPr>
      <w:rPr>
        <w:rFonts w:ascii="Courier New" w:hAnsi="Courier New" w:cs="Courier New" w:hint="default"/>
      </w:rPr>
    </w:lvl>
    <w:lvl w:ilvl="8" w:tplc="28B89A16"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tplc="10CCBBC4">
      <w:start w:val="1"/>
      <w:numFmt w:val="bullet"/>
      <w:lvlText w:val=""/>
      <w:lvlJc w:val="left"/>
      <w:pPr>
        <w:tabs>
          <w:tab w:val="num" w:pos="1440"/>
        </w:tabs>
        <w:ind w:left="1440" w:hanging="360"/>
      </w:pPr>
      <w:rPr>
        <w:rFonts w:ascii="Symbol" w:hAnsi="Symbol" w:hint="default"/>
      </w:rPr>
    </w:lvl>
    <w:lvl w:ilvl="1" w:tplc="D2C09024" w:tentative="1">
      <w:start w:val="1"/>
      <w:numFmt w:val="bullet"/>
      <w:lvlText w:val="o"/>
      <w:lvlJc w:val="left"/>
      <w:pPr>
        <w:tabs>
          <w:tab w:val="num" w:pos="2160"/>
        </w:tabs>
        <w:ind w:left="2160" w:hanging="360"/>
      </w:pPr>
      <w:rPr>
        <w:rFonts w:ascii="Courier New" w:hAnsi="Courier New" w:cs="Courier New" w:hint="default"/>
      </w:rPr>
    </w:lvl>
    <w:lvl w:ilvl="2" w:tplc="5C28C3AE" w:tentative="1">
      <w:start w:val="1"/>
      <w:numFmt w:val="bullet"/>
      <w:lvlText w:val=""/>
      <w:lvlJc w:val="left"/>
      <w:pPr>
        <w:tabs>
          <w:tab w:val="num" w:pos="2880"/>
        </w:tabs>
        <w:ind w:left="2880" w:hanging="360"/>
      </w:pPr>
      <w:rPr>
        <w:rFonts w:ascii="Wingdings" w:hAnsi="Wingdings" w:hint="default"/>
      </w:rPr>
    </w:lvl>
    <w:lvl w:ilvl="3" w:tplc="7CD6BAC0" w:tentative="1">
      <w:start w:val="1"/>
      <w:numFmt w:val="bullet"/>
      <w:lvlText w:val=""/>
      <w:lvlJc w:val="left"/>
      <w:pPr>
        <w:tabs>
          <w:tab w:val="num" w:pos="3600"/>
        </w:tabs>
        <w:ind w:left="3600" w:hanging="360"/>
      </w:pPr>
      <w:rPr>
        <w:rFonts w:ascii="Symbol" w:hAnsi="Symbol" w:hint="default"/>
      </w:rPr>
    </w:lvl>
    <w:lvl w:ilvl="4" w:tplc="E11C895A" w:tentative="1">
      <w:start w:val="1"/>
      <w:numFmt w:val="bullet"/>
      <w:lvlText w:val="o"/>
      <w:lvlJc w:val="left"/>
      <w:pPr>
        <w:tabs>
          <w:tab w:val="num" w:pos="4320"/>
        </w:tabs>
        <w:ind w:left="4320" w:hanging="360"/>
      </w:pPr>
      <w:rPr>
        <w:rFonts w:ascii="Courier New" w:hAnsi="Courier New" w:cs="Courier New" w:hint="default"/>
      </w:rPr>
    </w:lvl>
    <w:lvl w:ilvl="5" w:tplc="BF1888DA" w:tentative="1">
      <w:start w:val="1"/>
      <w:numFmt w:val="bullet"/>
      <w:lvlText w:val=""/>
      <w:lvlJc w:val="left"/>
      <w:pPr>
        <w:tabs>
          <w:tab w:val="num" w:pos="5040"/>
        </w:tabs>
        <w:ind w:left="5040" w:hanging="360"/>
      </w:pPr>
      <w:rPr>
        <w:rFonts w:ascii="Wingdings" w:hAnsi="Wingdings" w:hint="default"/>
      </w:rPr>
    </w:lvl>
    <w:lvl w:ilvl="6" w:tplc="A704F0D2" w:tentative="1">
      <w:start w:val="1"/>
      <w:numFmt w:val="bullet"/>
      <w:lvlText w:val=""/>
      <w:lvlJc w:val="left"/>
      <w:pPr>
        <w:tabs>
          <w:tab w:val="num" w:pos="5760"/>
        </w:tabs>
        <w:ind w:left="5760" w:hanging="360"/>
      </w:pPr>
      <w:rPr>
        <w:rFonts w:ascii="Symbol" w:hAnsi="Symbol" w:hint="default"/>
      </w:rPr>
    </w:lvl>
    <w:lvl w:ilvl="7" w:tplc="5DEEF666" w:tentative="1">
      <w:start w:val="1"/>
      <w:numFmt w:val="bullet"/>
      <w:lvlText w:val="o"/>
      <w:lvlJc w:val="left"/>
      <w:pPr>
        <w:tabs>
          <w:tab w:val="num" w:pos="6480"/>
        </w:tabs>
        <w:ind w:left="6480" w:hanging="360"/>
      </w:pPr>
      <w:rPr>
        <w:rFonts w:ascii="Courier New" w:hAnsi="Courier New" w:cs="Courier New" w:hint="default"/>
      </w:rPr>
    </w:lvl>
    <w:lvl w:ilvl="8" w:tplc="5114E2E4"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tplc="31A6FD9C">
      <w:start w:val="1"/>
      <w:numFmt w:val="bullet"/>
      <w:lvlText w:val=""/>
      <w:lvlJc w:val="left"/>
      <w:pPr>
        <w:tabs>
          <w:tab w:val="num" w:pos="1440"/>
        </w:tabs>
        <w:ind w:left="1440" w:hanging="360"/>
      </w:pPr>
      <w:rPr>
        <w:rFonts w:ascii="Symbol" w:hAnsi="Symbol" w:hint="default"/>
      </w:rPr>
    </w:lvl>
    <w:lvl w:ilvl="1" w:tplc="FF1212BA" w:tentative="1">
      <w:start w:val="1"/>
      <w:numFmt w:val="bullet"/>
      <w:lvlText w:val="o"/>
      <w:lvlJc w:val="left"/>
      <w:pPr>
        <w:tabs>
          <w:tab w:val="num" w:pos="2160"/>
        </w:tabs>
        <w:ind w:left="2160" w:hanging="360"/>
      </w:pPr>
      <w:rPr>
        <w:rFonts w:ascii="Courier New" w:hAnsi="Courier New" w:cs="Courier New" w:hint="default"/>
      </w:rPr>
    </w:lvl>
    <w:lvl w:ilvl="2" w:tplc="DF7C40A6" w:tentative="1">
      <w:start w:val="1"/>
      <w:numFmt w:val="bullet"/>
      <w:lvlText w:val=""/>
      <w:lvlJc w:val="left"/>
      <w:pPr>
        <w:tabs>
          <w:tab w:val="num" w:pos="2880"/>
        </w:tabs>
        <w:ind w:left="2880" w:hanging="360"/>
      </w:pPr>
      <w:rPr>
        <w:rFonts w:ascii="Wingdings" w:hAnsi="Wingdings" w:hint="default"/>
      </w:rPr>
    </w:lvl>
    <w:lvl w:ilvl="3" w:tplc="AB5A2944" w:tentative="1">
      <w:start w:val="1"/>
      <w:numFmt w:val="bullet"/>
      <w:lvlText w:val=""/>
      <w:lvlJc w:val="left"/>
      <w:pPr>
        <w:tabs>
          <w:tab w:val="num" w:pos="3600"/>
        </w:tabs>
        <w:ind w:left="3600" w:hanging="360"/>
      </w:pPr>
      <w:rPr>
        <w:rFonts w:ascii="Symbol" w:hAnsi="Symbol" w:hint="default"/>
      </w:rPr>
    </w:lvl>
    <w:lvl w:ilvl="4" w:tplc="6A582600" w:tentative="1">
      <w:start w:val="1"/>
      <w:numFmt w:val="bullet"/>
      <w:lvlText w:val="o"/>
      <w:lvlJc w:val="left"/>
      <w:pPr>
        <w:tabs>
          <w:tab w:val="num" w:pos="4320"/>
        </w:tabs>
        <w:ind w:left="4320" w:hanging="360"/>
      </w:pPr>
      <w:rPr>
        <w:rFonts w:ascii="Courier New" w:hAnsi="Courier New" w:cs="Courier New" w:hint="default"/>
      </w:rPr>
    </w:lvl>
    <w:lvl w:ilvl="5" w:tplc="2E9A2B8A" w:tentative="1">
      <w:start w:val="1"/>
      <w:numFmt w:val="bullet"/>
      <w:lvlText w:val=""/>
      <w:lvlJc w:val="left"/>
      <w:pPr>
        <w:tabs>
          <w:tab w:val="num" w:pos="5040"/>
        </w:tabs>
        <w:ind w:left="5040" w:hanging="360"/>
      </w:pPr>
      <w:rPr>
        <w:rFonts w:ascii="Wingdings" w:hAnsi="Wingdings" w:hint="default"/>
      </w:rPr>
    </w:lvl>
    <w:lvl w:ilvl="6" w:tplc="941A3EDC" w:tentative="1">
      <w:start w:val="1"/>
      <w:numFmt w:val="bullet"/>
      <w:lvlText w:val=""/>
      <w:lvlJc w:val="left"/>
      <w:pPr>
        <w:tabs>
          <w:tab w:val="num" w:pos="5760"/>
        </w:tabs>
        <w:ind w:left="5760" w:hanging="360"/>
      </w:pPr>
      <w:rPr>
        <w:rFonts w:ascii="Symbol" w:hAnsi="Symbol" w:hint="default"/>
      </w:rPr>
    </w:lvl>
    <w:lvl w:ilvl="7" w:tplc="F0FEE766" w:tentative="1">
      <w:start w:val="1"/>
      <w:numFmt w:val="bullet"/>
      <w:lvlText w:val="o"/>
      <w:lvlJc w:val="left"/>
      <w:pPr>
        <w:tabs>
          <w:tab w:val="num" w:pos="6480"/>
        </w:tabs>
        <w:ind w:left="6480" w:hanging="360"/>
      </w:pPr>
      <w:rPr>
        <w:rFonts w:ascii="Courier New" w:hAnsi="Courier New" w:cs="Courier New" w:hint="default"/>
      </w:rPr>
    </w:lvl>
    <w:lvl w:ilvl="8" w:tplc="FC20FF4C"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tplc="EFF66F00">
      <w:start w:val="1"/>
      <w:numFmt w:val="lowerRoman"/>
      <w:lvlText w:val="(%1)"/>
      <w:lvlJc w:val="left"/>
      <w:pPr>
        <w:tabs>
          <w:tab w:val="num" w:pos="2448"/>
        </w:tabs>
        <w:ind w:left="2448" w:hanging="648"/>
      </w:pPr>
      <w:rPr>
        <w:rFonts w:hint="default"/>
        <w:b w:val="0"/>
        <w:i w:val="0"/>
        <w:u w:val="none"/>
      </w:rPr>
    </w:lvl>
    <w:lvl w:ilvl="1" w:tplc="C84E10A2" w:tentative="1">
      <w:start w:val="1"/>
      <w:numFmt w:val="lowerLetter"/>
      <w:lvlText w:val="%2."/>
      <w:lvlJc w:val="left"/>
      <w:pPr>
        <w:tabs>
          <w:tab w:val="num" w:pos="1440"/>
        </w:tabs>
        <w:ind w:left="1440" w:hanging="360"/>
      </w:pPr>
    </w:lvl>
    <w:lvl w:ilvl="2" w:tplc="909A0D6E" w:tentative="1">
      <w:start w:val="1"/>
      <w:numFmt w:val="lowerRoman"/>
      <w:lvlText w:val="%3."/>
      <w:lvlJc w:val="right"/>
      <w:pPr>
        <w:tabs>
          <w:tab w:val="num" w:pos="2160"/>
        </w:tabs>
        <w:ind w:left="2160" w:hanging="180"/>
      </w:pPr>
    </w:lvl>
    <w:lvl w:ilvl="3" w:tplc="AE183EC0" w:tentative="1">
      <w:start w:val="1"/>
      <w:numFmt w:val="decimal"/>
      <w:lvlText w:val="%4."/>
      <w:lvlJc w:val="left"/>
      <w:pPr>
        <w:tabs>
          <w:tab w:val="num" w:pos="2880"/>
        </w:tabs>
        <w:ind w:left="2880" w:hanging="360"/>
      </w:pPr>
    </w:lvl>
    <w:lvl w:ilvl="4" w:tplc="968C2356" w:tentative="1">
      <w:start w:val="1"/>
      <w:numFmt w:val="lowerLetter"/>
      <w:lvlText w:val="%5."/>
      <w:lvlJc w:val="left"/>
      <w:pPr>
        <w:tabs>
          <w:tab w:val="num" w:pos="3600"/>
        </w:tabs>
        <w:ind w:left="3600" w:hanging="360"/>
      </w:pPr>
    </w:lvl>
    <w:lvl w:ilvl="5" w:tplc="FD16E262" w:tentative="1">
      <w:start w:val="1"/>
      <w:numFmt w:val="lowerRoman"/>
      <w:lvlText w:val="%6."/>
      <w:lvlJc w:val="right"/>
      <w:pPr>
        <w:tabs>
          <w:tab w:val="num" w:pos="4320"/>
        </w:tabs>
        <w:ind w:left="4320" w:hanging="180"/>
      </w:pPr>
    </w:lvl>
    <w:lvl w:ilvl="6" w:tplc="7E9A42C6" w:tentative="1">
      <w:start w:val="1"/>
      <w:numFmt w:val="decimal"/>
      <w:lvlText w:val="%7."/>
      <w:lvlJc w:val="left"/>
      <w:pPr>
        <w:tabs>
          <w:tab w:val="num" w:pos="5040"/>
        </w:tabs>
        <w:ind w:left="5040" w:hanging="360"/>
      </w:pPr>
    </w:lvl>
    <w:lvl w:ilvl="7" w:tplc="32BA54C4" w:tentative="1">
      <w:start w:val="1"/>
      <w:numFmt w:val="lowerLetter"/>
      <w:lvlText w:val="%8."/>
      <w:lvlJc w:val="left"/>
      <w:pPr>
        <w:tabs>
          <w:tab w:val="num" w:pos="5760"/>
        </w:tabs>
        <w:ind w:left="5760" w:hanging="360"/>
      </w:pPr>
    </w:lvl>
    <w:lvl w:ilvl="8" w:tplc="5DD41B1C"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tplc="39BAE018">
      <w:start w:val="1"/>
      <w:numFmt w:val="bullet"/>
      <w:lvlText w:val=""/>
      <w:lvlJc w:val="left"/>
      <w:pPr>
        <w:tabs>
          <w:tab w:val="num" w:pos="5760"/>
        </w:tabs>
        <w:ind w:left="5760" w:hanging="360"/>
      </w:pPr>
      <w:rPr>
        <w:rFonts w:ascii="Symbol" w:hAnsi="Symbol" w:hint="default"/>
        <w:color w:val="auto"/>
        <w:u w:val="none"/>
      </w:rPr>
    </w:lvl>
    <w:lvl w:ilvl="1" w:tplc="ABAEE4F6" w:tentative="1">
      <w:start w:val="1"/>
      <w:numFmt w:val="bullet"/>
      <w:lvlText w:val="o"/>
      <w:lvlJc w:val="left"/>
      <w:pPr>
        <w:tabs>
          <w:tab w:val="num" w:pos="3600"/>
        </w:tabs>
        <w:ind w:left="3600" w:hanging="360"/>
      </w:pPr>
      <w:rPr>
        <w:rFonts w:ascii="Courier New" w:hAnsi="Courier New" w:hint="default"/>
      </w:rPr>
    </w:lvl>
    <w:lvl w:ilvl="2" w:tplc="3A1CA084" w:tentative="1">
      <w:start w:val="1"/>
      <w:numFmt w:val="bullet"/>
      <w:lvlText w:val=""/>
      <w:lvlJc w:val="left"/>
      <w:pPr>
        <w:tabs>
          <w:tab w:val="num" w:pos="4320"/>
        </w:tabs>
        <w:ind w:left="4320" w:hanging="360"/>
      </w:pPr>
      <w:rPr>
        <w:rFonts w:ascii="Wingdings" w:hAnsi="Wingdings" w:hint="default"/>
      </w:rPr>
    </w:lvl>
    <w:lvl w:ilvl="3" w:tplc="5B66D9C6">
      <w:start w:val="1"/>
      <w:numFmt w:val="bullet"/>
      <w:lvlText w:val=""/>
      <w:lvlJc w:val="left"/>
      <w:pPr>
        <w:tabs>
          <w:tab w:val="num" w:pos="5040"/>
        </w:tabs>
        <w:ind w:left="5040" w:hanging="360"/>
      </w:pPr>
      <w:rPr>
        <w:rFonts w:ascii="Symbol" w:hAnsi="Symbol" w:hint="default"/>
      </w:rPr>
    </w:lvl>
    <w:lvl w:ilvl="4" w:tplc="2BC200C4" w:tentative="1">
      <w:start w:val="1"/>
      <w:numFmt w:val="bullet"/>
      <w:lvlText w:val="o"/>
      <w:lvlJc w:val="left"/>
      <w:pPr>
        <w:tabs>
          <w:tab w:val="num" w:pos="5760"/>
        </w:tabs>
        <w:ind w:left="5760" w:hanging="360"/>
      </w:pPr>
      <w:rPr>
        <w:rFonts w:ascii="Courier New" w:hAnsi="Courier New" w:hint="default"/>
      </w:rPr>
    </w:lvl>
    <w:lvl w:ilvl="5" w:tplc="D49AC740" w:tentative="1">
      <w:start w:val="1"/>
      <w:numFmt w:val="bullet"/>
      <w:lvlText w:val=""/>
      <w:lvlJc w:val="left"/>
      <w:pPr>
        <w:tabs>
          <w:tab w:val="num" w:pos="6480"/>
        </w:tabs>
        <w:ind w:left="6480" w:hanging="360"/>
      </w:pPr>
      <w:rPr>
        <w:rFonts w:ascii="Wingdings" w:hAnsi="Wingdings" w:hint="default"/>
      </w:rPr>
    </w:lvl>
    <w:lvl w:ilvl="6" w:tplc="8B3605CA" w:tentative="1">
      <w:start w:val="1"/>
      <w:numFmt w:val="bullet"/>
      <w:lvlText w:val=""/>
      <w:lvlJc w:val="left"/>
      <w:pPr>
        <w:tabs>
          <w:tab w:val="num" w:pos="7200"/>
        </w:tabs>
        <w:ind w:left="7200" w:hanging="360"/>
      </w:pPr>
      <w:rPr>
        <w:rFonts w:ascii="Symbol" w:hAnsi="Symbol" w:hint="default"/>
      </w:rPr>
    </w:lvl>
    <w:lvl w:ilvl="7" w:tplc="55C25094" w:tentative="1">
      <w:start w:val="1"/>
      <w:numFmt w:val="bullet"/>
      <w:lvlText w:val="o"/>
      <w:lvlJc w:val="left"/>
      <w:pPr>
        <w:tabs>
          <w:tab w:val="num" w:pos="7920"/>
        </w:tabs>
        <w:ind w:left="7920" w:hanging="360"/>
      </w:pPr>
      <w:rPr>
        <w:rFonts w:ascii="Courier New" w:hAnsi="Courier New" w:hint="default"/>
      </w:rPr>
    </w:lvl>
    <w:lvl w:ilvl="8" w:tplc="C890B5D4"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8B"/>
    <w:rsid w:val="006172E3"/>
    <w:rsid w:val="0074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5BFA7-D7D1-41D2-8188-F8C7252B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4570</Words>
  <Characters>26049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2019-09-10T17:13:00Z</dcterms:created>
  <dcterms:modified xsi:type="dcterms:W3CDTF">2019-09-10T17:13:00Z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1421412662</vt:i4>
  </property>
  <property fmtid="{D5CDD505-2E9C-101B-9397-08002B2CF9AE}" pid="3" name="_NewReviewCycle">
    <vt:lpwstr/>
  </property>
  <property fmtid="{D5CDD505-2E9C-101B-9397-08002B2CF9AE}" pid="4" name="_ReviewingToolsShownOnce">
    <vt:lpwstr/>
  </property>
</Properties>
</file>