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C39AD" w:rsidRPr="005059F7" w:rsidP="00B8244E">
      <w:pPr>
        <w:pStyle w:val="Heading2"/>
      </w:pPr>
      <w:bookmarkStart w:id="0" w:name="_Toc261444413"/>
      <w:r>
        <w:t>2.</w:t>
      </w:r>
      <w:r w:rsidR="00B8244E">
        <w:t>10</w:t>
      </w:r>
      <w:r w:rsidRPr="005059F7">
        <w:tab/>
        <w:t>Tariff Modifications</w:t>
      </w:r>
      <w:bookmarkEnd w:id="0"/>
    </w:p>
    <w:p w:rsidR="003C39AD" w:rsidP="00DA062A">
      <w:pPr>
        <w:pStyle w:val="Bodypara"/>
      </w:pPr>
      <w:r w:rsidRPr="005059F7">
        <w:t>Notwithstanding any other provision in this Tariff, this Tariff may be modified only as follows:  any proposed amendment to this Tariff must be submitted to both the ISO Management Committee and the ISO Board; if both the ISO Board and the ISO Management Committee agree to an amendment of this Tariff, the ISO shall file the proposed amendment with the Commission</w:t>
      </w:r>
      <w:r>
        <w:t xml:space="preserve"> pursuant to Section 205 of the FPA; if the ISO Board and the ISO Management Committee do not agree on a proposed amendment of this Tariff, this Tariff shall not be subject to change pursuant to Section 205 of the FPA.  Nothing herein is intended to limit the rights of the ISO or any person under Section 206 of the FPA.</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Tariff Modifications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Tariff Modifications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Tariff Modifications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3639AC"/>
    <w:rsid w:val="003A3861"/>
    <w:rsid w:val="003C39AD"/>
    <w:rsid w:val="005059F7"/>
    <w:rsid w:val="00B8244E"/>
    <w:rsid w:val="00DA062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2012-12-10T23:00:00Z</dcterms:created>
  <dcterms:modified xsi:type="dcterms:W3CDTF">2012-12-10T23:00:00Z</dcterms:modified>
</cp:coreProperties>
</file>