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6.0 -->
  <w:body>
    <w:p w:rsidR="00092781" w:rsidRPr="00AC67AD" w:rsidP="00157404" w14:paraId="74F9BF73" w14:textId="0C176F4E">
      <w:pPr>
        <w:pStyle w:val="Heading2"/>
        <w:keepNext/>
        <w:pageBreakBefore/>
        <w:tabs>
          <w:tab w:val="left" w:pos="1080"/>
        </w:tabs>
        <w:spacing w:before="240" w:after="240"/>
        <w:ind w:left="1080" w:right="14" w:hanging="1080"/>
        <w:rPr>
          <w:rFonts w:ascii="Times New Roman" w:hAnsi="Times New Roman" w:cs="Times New Roman"/>
          <w:b/>
          <w:bCs/>
          <w:color w:val="000000"/>
        </w:rPr>
      </w:pPr>
      <w:r w:rsidRPr="00AC67AD">
        <w:rPr>
          <w:rFonts w:ascii="Times New Roman" w:hAnsi="Times New Roman" w:cs="Times New Roman"/>
          <w:b/>
          <w:bCs/>
          <w:color w:val="000000"/>
        </w:rPr>
        <w:t>6.</w:t>
      </w:r>
      <w:r w:rsidRPr="00AC67AD" w:rsidR="00AE6F6C">
        <w:rPr>
          <w:rFonts w:ascii="Times New Roman" w:hAnsi="Times New Roman" w:cs="Times New Roman"/>
          <w:b/>
          <w:bCs/>
          <w:color w:val="000000"/>
        </w:rPr>
        <w:t>1</w:t>
      </w:r>
      <w:r w:rsidRPr="00AC67AD" w:rsidR="00F60DE8">
        <w:rPr>
          <w:rFonts w:ascii="Times New Roman" w:hAnsi="Times New Roman" w:cs="Times New Roman"/>
          <w:b/>
          <w:bCs/>
          <w:color w:val="000000"/>
        </w:rPr>
        <w:t>9.11</w:t>
      </w:r>
      <w:r w:rsidRPr="00AC67AD">
        <w:rPr>
          <w:rFonts w:ascii="Times New Roman" w:hAnsi="Times New Roman" w:cs="Times New Roman"/>
          <w:b/>
          <w:bCs/>
          <w:color w:val="000000"/>
        </w:rPr>
        <w:tab/>
      </w:r>
      <w:r w:rsidRPr="00AC67AD" w:rsidR="00D021DF">
        <w:rPr>
          <w:rFonts w:ascii="Times New Roman" w:hAnsi="Times New Roman" w:cs="Times New Roman"/>
          <w:b/>
          <w:bCs/>
          <w:color w:val="000000"/>
        </w:rPr>
        <w:t xml:space="preserve">Attachment 6 </w:t>
      </w:r>
      <w:r w:rsidRPr="00AC67AD">
        <w:rPr>
          <w:rFonts w:ascii="Times New Roman" w:hAnsi="Times New Roman" w:cs="Times New Roman"/>
          <w:b/>
          <w:bCs/>
          <w:color w:val="000000"/>
        </w:rPr>
        <w:t xml:space="preserve">– Rate Mechanism for the Recovery of </w:t>
      </w:r>
      <w:r w:rsidRPr="00AC67AD" w:rsidR="00F60DE8">
        <w:rPr>
          <w:rFonts w:ascii="Times New Roman" w:hAnsi="Times New Roman" w:cs="Times New Roman"/>
          <w:b/>
          <w:bCs/>
          <w:color w:val="000000"/>
        </w:rPr>
        <w:t xml:space="preserve">CLCPA </w:t>
      </w:r>
      <w:r w:rsidRPr="00AC67AD" w:rsidR="001325A3">
        <w:rPr>
          <w:rFonts w:ascii="Times New Roman" w:hAnsi="Times New Roman" w:cs="Times New Roman"/>
          <w:b/>
          <w:bCs/>
          <w:color w:val="000000"/>
        </w:rPr>
        <w:t>Eligible Projects for Niagara Mohawk Power Corporation</w:t>
      </w:r>
    </w:p>
    <w:p w:rsidR="00092781" w:rsidRPr="00AC67AD" w14:paraId="2C32953E" w14:textId="55F71C83">
      <w:pPr>
        <w:pStyle w:val="Heading3"/>
        <w:keepNext/>
        <w:keepLines/>
        <w:tabs>
          <w:tab w:val="left" w:pos="1080"/>
        </w:tabs>
        <w:spacing w:before="240" w:after="240"/>
        <w:ind w:left="1080" w:right="634" w:hanging="1080"/>
        <w:rPr>
          <w:rFonts w:ascii="Times New Roman" w:hAnsi="Times New Roman" w:cs="Times New Roman"/>
          <w:b/>
          <w:bCs/>
          <w:color w:val="000000"/>
        </w:rPr>
      </w:pPr>
      <w:r w:rsidRPr="00AC67AD">
        <w:rPr>
          <w:rFonts w:ascii="Times New Roman" w:hAnsi="Times New Roman" w:cs="Times New Roman"/>
          <w:b/>
          <w:bCs/>
          <w:color w:val="000000"/>
        </w:rPr>
        <w:t>6.</w:t>
      </w:r>
      <w:r w:rsidRPr="00AC67AD" w:rsidR="00AE6F6C">
        <w:rPr>
          <w:rFonts w:ascii="Times New Roman" w:hAnsi="Times New Roman" w:cs="Times New Roman"/>
          <w:b/>
          <w:bCs/>
          <w:color w:val="000000"/>
        </w:rPr>
        <w:t>1</w:t>
      </w:r>
      <w:r w:rsidRPr="00AC67AD" w:rsidR="00F60DE8">
        <w:rPr>
          <w:rFonts w:ascii="Times New Roman" w:hAnsi="Times New Roman" w:cs="Times New Roman"/>
          <w:b/>
          <w:bCs/>
          <w:color w:val="000000"/>
        </w:rPr>
        <w:t>9</w:t>
      </w:r>
      <w:r w:rsidRPr="00AC67AD">
        <w:rPr>
          <w:rFonts w:ascii="Times New Roman" w:hAnsi="Times New Roman" w:cs="Times New Roman"/>
          <w:b/>
          <w:bCs/>
          <w:color w:val="000000"/>
        </w:rPr>
        <w:t>.</w:t>
      </w:r>
      <w:r w:rsidRPr="00AC67AD" w:rsidR="00F60DE8">
        <w:rPr>
          <w:rFonts w:ascii="Times New Roman" w:hAnsi="Times New Roman" w:cs="Times New Roman"/>
          <w:b/>
          <w:bCs/>
          <w:color w:val="000000"/>
        </w:rPr>
        <w:t>11.</w:t>
      </w:r>
      <w:r w:rsidRPr="00AC67AD">
        <w:rPr>
          <w:rFonts w:ascii="Times New Roman" w:hAnsi="Times New Roman" w:cs="Times New Roman"/>
          <w:b/>
          <w:bCs/>
          <w:color w:val="000000"/>
        </w:rPr>
        <w:t>1</w:t>
      </w:r>
      <w:r w:rsidRPr="00AC67AD">
        <w:rPr>
          <w:rFonts w:ascii="Times New Roman" w:hAnsi="Times New Roman" w:cs="Times New Roman"/>
          <w:b/>
          <w:bCs/>
          <w:color w:val="000000"/>
        </w:rPr>
        <w:tab/>
        <w:t>Applicability</w:t>
      </w:r>
    </w:p>
    <w:p w:rsidR="00F60DE8" w:rsidRPr="00AC67AD" w:rsidP="00AC67AD" w14:paraId="54452157" w14:textId="0C11AA19">
      <w:pPr>
        <w:spacing w:after="0" w:line="480" w:lineRule="auto"/>
        <w:ind w:firstLine="720"/>
        <w:rPr>
          <w:rFonts w:ascii="Times New Roman" w:hAnsi="Times New Roman" w:cs="Times New Roman"/>
        </w:rPr>
      </w:pPr>
      <w:r w:rsidRPr="00AC67AD">
        <w:rPr>
          <w:rFonts w:ascii="Times New Roman" w:hAnsi="Times New Roman" w:cs="Times New Roman"/>
        </w:rPr>
        <w:t>This</w:t>
      </w:r>
      <w:r w:rsidRPr="00AC67AD" w:rsidR="001325A3">
        <w:rPr>
          <w:rFonts w:ascii="Times New Roman" w:hAnsi="Times New Roman" w:cs="Times New Roman"/>
        </w:rPr>
        <w:t xml:space="preserve"> Attachment 6 to</w:t>
      </w:r>
      <w:r w:rsidRPr="00AC67AD">
        <w:rPr>
          <w:rFonts w:ascii="Times New Roman" w:hAnsi="Times New Roman" w:cs="Times New Roman"/>
        </w:rPr>
        <w:t xml:space="preserve"> Rate Schedule 19 of the ISO OATT establishes the </w:t>
      </w:r>
      <w:r w:rsidRPr="00AC67AD" w:rsidR="00132C02">
        <w:rPr>
          <w:rFonts w:ascii="Times New Roman" w:hAnsi="Times New Roman" w:cs="Times New Roman"/>
        </w:rPr>
        <w:t xml:space="preserve">CFC Charge </w:t>
      </w:r>
      <w:r w:rsidRPr="00AC67AD">
        <w:rPr>
          <w:rFonts w:ascii="Times New Roman" w:hAnsi="Times New Roman" w:cs="Times New Roman"/>
        </w:rPr>
        <w:t xml:space="preserve">of </w:t>
      </w:r>
      <w:r w:rsidRPr="00AC67AD" w:rsidR="00D44A54">
        <w:rPr>
          <w:rFonts w:ascii="Times New Roman" w:hAnsi="Times New Roman" w:cs="Times New Roman"/>
        </w:rPr>
        <w:t>Niagara Mohawk Power Corporation</w:t>
      </w:r>
      <w:r w:rsidR="00DB545B">
        <w:rPr>
          <w:rFonts w:ascii="Times New Roman" w:hAnsi="Times New Roman" w:cs="Times New Roman"/>
        </w:rPr>
        <w:t xml:space="preserve"> (“NMPC”)</w:t>
      </w:r>
      <w:r w:rsidRPr="00AC67AD">
        <w:rPr>
          <w:rFonts w:ascii="Times New Roman" w:hAnsi="Times New Roman" w:cs="Times New Roman"/>
        </w:rPr>
        <w:t xml:space="preserve">. </w:t>
      </w:r>
      <w:r w:rsidRPr="00AC67AD" w:rsidR="00D44A54">
        <w:rPr>
          <w:rFonts w:ascii="Times New Roman" w:hAnsi="Times New Roman" w:cs="Times New Roman"/>
        </w:rPr>
        <w:t>NMPC</w:t>
      </w:r>
      <w:r w:rsidRPr="00AC67AD">
        <w:rPr>
          <w:rFonts w:ascii="Times New Roman" w:hAnsi="Times New Roman" w:cs="Times New Roman"/>
        </w:rPr>
        <w:t xml:space="preserve"> is an Eligible Transmission Owner and may recover eligible costs for its CLCPA Eligible Projects</w:t>
      </w:r>
      <w:r w:rsidR="00D56AA9">
        <w:rPr>
          <w:rFonts w:ascii="Times New Roman" w:hAnsi="Times New Roman" w:cs="Times New Roman"/>
        </w:rPr>
        <w:t>,</w:t>
      </w:r>
      <w:r w:rsidR="005920E1">
        <w:rPr>
          <w:rFonts w:ascii="Times New Roman" w:hAnsi="Times New Roman" w:cs="Times New Roman"/>
        </w:rPr>
        <w:t xml:space="preserve"> referred to herein as the </w:t>
      </w:r>
      <w:r w:rsidR="00564B63">
        <w:rPr>
          <w:rFonts w:ascii="Times New Roman" w:hAnsi="Times New Roman" w:cs="Times New Roman"/>
        </w:rPr>
        <w:t>“</w:t>
      </w:r>
      <w:r w:rsidRPr="0028289B" w:rsidR="0028289B">
        <w:rPr>
          <w:rFonts w:ascii="Times New Roman" w:hAnsi="Times New Roman" w:cs="Times New Roman"/>
        </w:rPr>
        <w:t>NMPC Phase 2 Projects</w:t>
      </w:r>
      <w:r w:rsidR="0028289B">
        <w:rPr>
          <w:rFonts w:ascii="Times New Roman" w:hAnsi="Times New Roman" w:cs="Times New Roman"/>
        </w:rPr>
        <w:t xml:space="preserve">,” </w:t>
      </w:r>
      <w:r w:rsidRPr="00AC67AD">
        <w:rPr>
          <w:rFonts w:ascii="Times New Roman" w:hAnsi="Times New Roman" w:cs="Times New Roman"/>
        </w:rPr>
        <w:t xml:space="preserve">in accordance with the </w:t>
      </w:r>
      <w:r w:rsidRPr="00AC67AD" w:rsidR="001B13E8">
        <w:rPr>
          <w:rFonts w:ascii="Times New Roman" w:hAnsi="Times New Roman" w:cs="Times New Roman"/>
        </w:rPr>
        <w:t>requirements of Rate Schedule 19</w:t>
      </w:r>
      <w:r w:rsidRPr="00AC67AD" w:rsidR="00864B19">
        <w:rPr>
          <w:rFonts w:ascii="Times New Roman" w:hAnsi="Times New Roman" w:cs="Times New Roman"/>
        </w:rPr>
        <w:t xml:space="preserve"> of the ISO OATT.</w:t>
      </w:r>
    </w:p>
    <w:p w:rsidR="005258DD" w:rsidRPr="00AC67AD" w:rsidP="005258DD" w14:paraId="518E4E2C" w14:textId="6AA6427F">
      <w:pPr>
        <w:pStyle w:val="Heading3"/>
        <w:keepNext/>
        <w:keepLines/>
        <w:tabs>
          <w:tab w:val="left" w:pos="1080"/>
        </w:tabs>
        <w:spacing w:before="240" w:after="240"/>
        <w:ind w:left="1080" w:right="634" w:hanging="1080"/>
        <w:rPr>
          <w:rFonts w:ascii="Times New Roman" w:hAnsi="Times New Roman" w:cs="Times New Roman"/>
          <w:b/>
          <w:bCs/>
          <w:color w:val="000000"/>
        </w:rPr>
      </w:pPr>
      <w:r w:rsidRPr="00AC67AD">
        <w:rPr>
          <w:rFonts w:ascii="Times New Roman" w:hAnsi="Times New Roman" w:cs="Times New Roman"/>
          <w:b/>
          <w:bCs/>
          <w:color w:val="000000"/>
        </w:rPr>
        <w:t>6.19.11.2</w:t>
      </w:r>
      <w:r w:rsidRPr="00AC67AD">
        <w:rPr>
          <w:rFonts w:ascii="Times New Roman" w:hAnsi="Times New Roman" w:cs="Times New Roman"/>
          <w:b/>
          <w:bCs/>
          <w:color w:val="000000"/>
        </w:rPr>
        <w:tab/>
        <w:t>Revenue Requirements</w:t>
      </w:r>
      <w:r w:rsidRPr="00AC67AD" w:rsidR="00586387">
        <w:rPr>
          <w:rFonts w:ascii="Times New Roman" w:hAnsi="Times New Roman" w:cs="Times New Roman"/>
          <w:b/>
          <w:bCs/>
          <w:color w:val="000000"/>
        </w:rPr>
        <w:t xml:space="preserve"> for CFC Charge</w:t>
      </w:r>
    </w:p>
    <w:p w:rsidR="005258DD" w:rsidRPr="00AC67AD" w:rsidP="00AC67AD" w14:paraId="0531935D" w14:textId="780539D9">
      <w:pPr>
        <w:spacing w:after="0" w:line="480" w:lineRule="auto"/>
        <w:ind w:firstLine="720"/>
        <w:rPr>
          <w:rFonts w:ascii="Times New Roman" w:hAnsi="Times New Roman" w:cs="Times New Roman"/>
          <w:strike/>
        </w:rPr>
      </w:pPr>
      <w:r w:rsidRPr="00AC67AD">
        <w:rPr>
          <w:rFonts w:ascii="Times New Roman" w:hAnsi="Times New Roman" w:cs="Times New Roman"/>
        </w:rPr>
        <w:t xml:space="preserve">The CFC </w:t>
      </w:r>
      <w:r w:rsidR="00FF2EBD">
        <w:rPr>
          <w:rFonts w:ascii="Times New Roman" w:hAnsi="Times New Roman" w:cs="Times New Roman"/>
        </w:rPr>
        <w:t>C</w:t>
      </w:r>
      <w:r w:rsidRPr="00AC67AD">
        <w:rPr>
          <w:rFonts w:ascii="Times New Roman" w:hAnsi="Times New Roman" w:cs="Times New Roman"/>
        </w:rPr>
        <w:t>harge should be calculated in accordance with the formula set forth in Section 6.19.</w:t>
      </w:r>
      <w:r w:rsidRPr="00AC67AD" w:rsidR="00673E32">
        <w:rPr>
          <w:rFonts w:ascii="Times New Roman" w:hAnsi="Times New Roman" w:cs="Times New Roman"/>
        </w:rPr>
        <w:t xml:space="preserve">3 </w:t>
      </w:r>
      <w:r w:rsidRPr="00AC67AD" w:rsidR="0074586E">
        <w:rPr>
          <w:rFonts w:ascii="Times New Roman" w:hAnsi="Times New Roman" w:cs="Times New Roman"/>
        </w:rPr>
        <w:t xml:space="preserve">using the revenue requirement </w:t>
      </w:r>
      <w:r w:rsidRPr="00AC67AD" w:rsidR="00586387">
        <w:rPr>
          <w:rFonts w:ascii="Times New Roman" w:hAnsi="Times New Roman" w:cs="Times New Roman"/>
        </w:rPr>
        <w:t xml:space="preserve">calculated annually by NMPC </w:t>
      </w:r>
      <w:r w:rsidRPr="00AC67AD" w:rsidR="0074586E">
        <w:rPr>
          <w:rFonts w:ascii="Times New Roman" w:hAnsi="Times New Roman" w:cs="Times New Roman"/>
        </w:rPr>
        <w:t xml:space="preserve">to recover the costs of </w:t>
      </w:r>
      <w:r w:rsidR="00976EE4">
        <w:rPr>
          <w:rFonts w:ascii="Times New Roman" w:hAnsi="Times New Roman" w:cs="Times New Roman"/>
        </w:rPr>
        <w:t>its</w:t>
      </w:r>
      <w:r w:rsidRPr="00AC67AD" w:rsidR="00976EE4">
        <w:rPr>
          <w:rFonts w:ascii="Times New Roman" w:hAnsi="Times New Roman" w:cs="Times New Roman"/>
        </w:rPr>
        <w:t xml:space="preserve"> </w:t>
      </w:r>
      <w:r w:rsidRPr="0028289B" w:rsidR="0028289B">
        <w:rPr>
          <w:rFonts w:ascii="Times New Roman" w:hAnsi="Times New Roman" w:cs="Times New Roman"/>
        </w:rPr>
        <w:t>NMPC Phase 2 Projects</w:t>
      </w:r>
      <w:r w:rsidRPr="00AC67AD" w:rsidR="00673E32">
        <w:rPr>
          <w:rFonts w:ascii="Times New Roman" w:hAnsi="Times New Roman" w:cs="Times New Roman"/>
        </w:rPr>
        <w:t>.</w:t>
      </w:r>
      <w:r w:rsidRPr="00AC67AD" w:rsidR="008060BF">
        <w:rPr>
          <w:rFonts w:ascii="Times New Roman" w:hAnsi="Times New Roman" w:cs="Times New Roman"/>
        </w:rPr>
        <w:t xml:space="preserve"> The costs that may be included in the CFC Charge revenue requirement include all reasonably incurred costs related to the preparation of proposals for, and the development, financing, construction, operation, and maintenance of, the </w:t>
      </w:r>
      <w:r w:rsidRPr="0028289B" w:rsidR="0028289B">
        <w:rPr>
          <w:rFonts w:ascii="Times New Roman" w:hAnsi="Times New Roman" w:cs="Times New Roman"/>
        </w:rPr>
        <w:t>NMPC Phase 2 Projects</w:t>
      </w:r>
      <w:r w:rsidRPr="00AC67AD" w:rsidR="008060BF">
        <w:rPr>
          <w:rFonts w:ascii="Times New Roman" w:hAnsi="Times New Roman" w:cs="Times New Roman"/>
        </w:rPr>
        <w:t>, including, but not limited to, a reasonable return on investment and any incentives for the construction or abandonment of eligible projects approved under Section 205 or Section 219 of the Federal Power Act, and the Commission’s regulations implementing those sections, as determined by the Commission.</w:t>
      </w:r>
    </w:p>
    <w:p w:rsidR="00092781" w:rsidRPr="00AC67AD" w:rsidP="003F6A04" w14:paraId="7223FC37" w14:textId="514F43C5">
      <w:pPr>
        <w:pStyle w:val="Heading3"/>
        <w:keepNext/>
        <w:keepLines/>
        <w:tabs>
          <w:tab w:val="left" w:pos="1080"/>
        </w:tabs>
        <w:spacing w:before="240" w:after="240"/>
        <w:ind w:left="1080" w:hanging="1080"/>
        <w:rPr>
          <w:rFonts w:ascii="Times New Roman" w:hAnsi="Times New Roman" w:cs="Times New Roman"/>
          <w:b/>
          <w:bCs/>
          <w:color w:val="000000"/>
        </w:rPr>
      </w:pPr>
      <w:r w:rsidRPr="00AC67AD">
        <w:rPr>
          <w:rFonts w:ascii="Times New Roman" w:hAnsi="Times New Roman" w:cs="Times New Roman"/>
          <w:b/>
          <w:bCs/>
          <w:color w:val="000000"/>
        </w:rPr>
        <w:t>6.</w:t>
      </w:r>
      <w:r w:rsidRPr="00AC67AD" w:rsidR="00AE6F6C">
        <w:rPr>
          <w:rFonts w:ascii="Times New Roman" w:hAnsi="Times New Roman" w:cs="Times New Roman"/>
          <w:b/>
          <w:bCs/>
          <w:color w:val="000000"/>
        </w:rPr>
        <w:t>1</w:t>
      </w:r>
      <w:r w:rsidRPr="00AC67AD" w:rsidR="003F6A04">
        <w:rPr>
          <w:rFonts w:ascii="Times New Roman" w:hAnsi="Times New Roman" w:cs="Times New Roman"/>
          <w:b/>
          <w:bCs/>
          <w:color w:val="000000"/>
        </w:rPr>
        <w:t>9</w:t>
      </w:r>
      <w:r w:rsidRPr="00AC67AD">
        <w:rPr>
          <w:rFonts w:ascii="Times New Roman" w:hAnsi="Times New Roman" w:cs="Times New Roman"/>
          <w:b/>
          <w:bCs/>
          <w:color w:val="000000"/>
        </w:rPr>
        <w:t>.</w:t>
      </w:r>
      <w:r w:rsidRPr="00AC67AD" w:rsidR="003F6A04">
        <w:rPr>
          <w:rFonts w:ascii="Times New Roman" w:hAnsi="Times New Roman" w:cs="Times New Roman"/>
          <w:b/>
          <w:bCs/>
          <w:color w:val="000000"/>
        </w:rPr>
        <w:t>11.</w:t>
      </w:r>
      <w:r w:rsidRPr="007F3D71" w:rsidR="00673E32">
        <w:rPr>
          <w:rFonts w:ascii="Times New Roman" w:hAnsi="Times New Roman" w:cs="Times New Roman"/>
          <w:b/>
          <w:bCs/>
          <w:color w:val="000000"/>
        </w:rPr>
        <w:t>3</w:t>
      </w:r>
      <w:r w:rsidRPr="00AC67AD">
        <w:rPr>
          <w:rFonts w:ascii="Times New Roman" w:hAnsi="Times New Roman" w:cs="Times New Roman"/>
          <w:b/>
          <w:bCs/>
          <w:color w:val="000000"/>
        </w:rPr>
        <w:tab/>
        <w:t xml:space="preserve">Calculation and Recovery of </w:t>
      </w:r>
      <w:r w:rsidRPr="00AC67AD" w:rsidR="003F6A04">
        <w:rPr>
          <w:rFonts w:ascii="Times New Roman" w:hAnsi="Times New Roman" w:cs="Times New Roman"/>
          <w:b/>
          <w:bCs/>
          <w:color w:val="000000"/>
        </w:rPr>
        <w:t>CFC</w:t>
      </w:r>
      <w:r w:rsidRPr="00AC67AD">
        <w:rPr>
          <w:rFonts w:ascii="Times New Roman" w:hAnsi="Times New Roman" w:cs="Times New Roman"/>
          <w:b/>
          <w:bCs/>
          <w:color w:val="000000"/>
        </w:rPr>
        <w:t xml:space="preserve"> </w:t>
      </w:r>
      <w:r w:rsidRPr="007F3D71" w:rsidR="00715DD9">
        <w:rPr>
          <w:rFonts w:ascii="Times New Roman" w:hAnsi="Times New Roman" w:cs="Times New Roman"/>
          <w:b/>
          <w:bCs/>
          <w:color w:val="000000"/>
        </w:rPr>
        <w:t xml:space="preserve">Charge </w:t>
      </w:r>
      <w:r w:rsidRPr="00AC67AD">
        <w:rPr>
          <w:rFonts w:ascii="Times New Roman" w:hAnsi="Times New Roman" w:cs="Times New Roman"/>
          <w:b/>
          <w:bCs/>
          <w:color w:val="000000"/>
        </w:rPr>
        <w:t>and Payment of Recovered Revenue</w:t>
      </w:r>
    </w:p>
    <w:p w:rsidR="00092781" w:rsidRPr="00AC67AD" w:rsidP="00AC67AD" w14:paraId="5146B966" w14:textId="51BF9BA6">
      <w:pPr>
        <w:spacing w:after="0" w:line="480" w:lineRule="auto"/>
        <w:ind w:firstLine="720"/>
        <w:rPr>
          <w:rFonts w:ascii="Times New Roman" w:hAnsi="Times New Roman" w:cs="Times New Roman"/>
          <w:b/>
          <w:bCs/>
          <w:strike/>
          <w:color w:val="FF0000"/>
        </w:rPr>
      </w:pPr>
      <w:r w:rsidRPr="00AC67AD">
        <w:rPr>
          <w:rFonts w:ascii="Times New Roman" w:hAnsi="Times New Roman" w:cs="Times New Roman"/>
        </w:rPr>
        <w:t>6.</w:t>
      </w:r>
      <w:r w:rsidRPr="00AC67AD" w:rsidR="00AE6F6C">
        <w:rPr>
          <w:rFonts w:ascii="Times New Roman" w:hAnsi="Times New Roman" w:cs="Times New Roman"/>
        </w:rPr>
        <w:t>1</w:t>
      </w:r>
      <w:r w:rsidRPr="00AC67AD" w:rsidR="003F6A04">
        <w:rPr>
          <w:rFonts w:ascii="Times New Roman" w:hAnsi="Times New Roman" w:cs="Times New Roman"/>
        </w:rPr>
        <w:t>9</w:t>
      </w:r>
      <w:r w:rsidRPr="00AC67AD">
        <w:rPr>
          <w:rFonts w:ascii="Times New Roman" w:hAnsi="Times New Roman" w:cs="Times New Roman"/>
        </w:rPr>
        <w:t>.</w:t>
      </w:r>
      <w:r w:rsidRPr="00AC67AD" w:rsidR="003F6A04">
        <w:rPr>
          <w:rFonts w:ascii="Times New Roman" w:hAnsi="Times New Roman" w:cs="Times New Roman"/>
        </w:rPr>
        <w:t>11</w:t>
      </w:r>
      <w:r w:rsidRPr="00AC67AD">
        <w:rPr>
          <w:rFonts w:ascii="Times New Roman" w:hAnsi="Times New Roman" w:cs="Times New Roman"/>
        </w:rPr>
        <w:t>.</w:t>
      </w:r>
      <w:r w:rsidRPr="00AC67AD" w:rsidR="00673E32">
        <w:rPr>
          <w:rFonts w:ascii="Times New Roman" w:hAnsi="Times New Roman" w:cs="Times New Roman"/>
        </w:rPr>
        <w:t>3</w:t>
      </w:r>
      <w:r w:rsidRPr="00AC67AD" w:rsidR="003F6A04">
        <w:rPr>
          <w:rFonts w:ascii="Times New Roman" w:hAnsi="Times New Roman" w:cs="Times New Roman"/>
        </w:rPr>
        <w:t>.1</w:t>
      </w:r>
      <w:r w:rsidRPr="00AC67AD">
        <w:rPr>
          <w:rFonts w:ascii="Times New Roman" w:hAnsi="Times New Roman" w:cs="Times New Roman"/>
        </w:rPr>
        <w:tab/>
      </w:r>
      <w:bookmarkStart w:id="0" w:name="_Hlk93586936"/>
      <w:r w:rsidRPr="00AC67AD">
        <w:rPr>
          <w:rFonts w:ascii="Times New Roman" w:hAnsi="Times New Roman" w:cs="Times New Roman"/>
        </w:rPr>
        <w:t xml:space="preserve">The </w:t>
      </w:r>
      <w:r w:rsidRPr="00AC67AD" w:rsidR="003F6A04">
        <w:rPr>
          <w:rFonts w:ascii="Times New Roman" w:hAnsi="Times New Roman" w:cs="Times New Roman"/>
        </w:rPr>
        <w:t>CFC</w:t>
      </w:r>
      <w:r w:rsidRPr="00AC67AD">
        <w:rPr>
          <w:rFonts w:ascii="Times New Roman" w:hAnsi="Times New Roman" w:cs="Times New Roman"/>
        </w:rPr>
        <w:t xml:space="preserve"> </w:t>
      </w:r>
      <w:r w:rsidRPr="007F3D71" w:rsidR="00A01FF1">
        <w:rPr>
          <w:rFonts w:ascii="Times New Roman" w:hAnsi="Times New Roman" w:cs="Times New Roman"/>
        </w:rPr>
        <w:t xml:space="preserve">Charge </w:t>
      </w:r>
      <w:r w:rsidRPr="00AC67AD">
        <w:rPr>
          <w:rFonts w:ascii="Times New Roman" w:hAnsi="Times New Roman" w:cs="Times New Roman"/>
        </w:rPr>
        <w:t>revenue requirement shall be calculated as</w:t>
      </w:r>
      <w:r w:rsidRPr="00AC67AD" w:rsidR="00354C10">
        <w:rPr>
          <w:rFonts w:ascii="Times New Roman" w:hAnsi="Times New Roman" w:cs="Times New Roman"/>
        </w:rPr>
        <w:t xml:space="preserve"> determined in accordance with </w:t>
      </w:r>
      <w:r w:rsidRPr="007F3D71" w:rsidR="00A01FF1">
        <w:rPr>
          <w:rFonts w:ascii="Times New Roman" w:hAnsi="Times New Roman" w:cs="Times New Roman"/>
        </w:rPr>
        <w:t xml:space="preserve">Schedule 16a through </w:t>
      </w:r>
      <w:r w:rsidRPr="00AC67AD" w:rsidR="00A01FF1">
        <w:rPr>
          <w:rFonts w:ascii="Times New Roman" w:hAnsi="Times New Roman" w:cs="Times New Roman"/>
        </w:rPr>
        <w:t>16</w:t>
      </w:r>
      <w:r w:rsidR="00DB545B">
        <w:rPr>
          <w:rFonts w:ascii="Times New Roman" w:hAnsi="Times New Roman" w:cs="Times New Roman"/>
        </w:rPr>
        <w:t>f</w:t>
      </w:r>
      <w:r w:rsidRPr="00AC67AD" w:rsidR="00A01FF1">
        <w:rPr>
          <w:rFonts w:ascii="Times New Roman" w:hAnsi="Times New Roman" w:cs="Times New Roman"/>
        </w:rPr>
        <w:t xml:space="preserve"> of NMPC’s f</w:t>
      </w:r>
      <w:r w:rsidRPr="00AC67AD" w:rsidR="00354C10">
        <w:rPr>
          <w:rFonts w:ascii="Times New Roman" w:hAnsi="Times New Roman" w:cs="Times New Roman"/>
        </w:rPr>
        <w:t xml:space="preserve">ormula </w:t>
      </w:r>
      <w:r w:rsidRPr="00AC67AD" w:rsidR="00A01FF1">
        <w:rPr>
          <w:rFonts w:ascii="Times New Roman" w:hAnsi="Times New Roman" w:cs="Times New Roman"/>
        </w:rPr>
        <w:t>r</w:t>
      </w:r>
      <w:r w:rsidRPr="00AC67AD" w:rsidR="00354C10">
        <w:rPr>
          <w:rFonts w:ascii="Times New Roman" w:hAnsi="Times New Roman" w:cs="Times New Roman"/>
        </w:rPr>
        <w:t xml:space="preserve">ate </w:t>
      </w:r>
      <w:r w:rsidRPr="00AC67AD" w:rsidR="00A01FF1">
        <w:rPr>
          <w:rFonts w:ascii="Times New Roman" w:hAnsi="Times New Roman" w:cs="Times New Roman"/>
        </w:rPr>
        <w:t>t</w:t>
      </w:r>
      <w:r w:rsidRPr="00AC67AD" w:rsidR="00354C10">
        <w:rPr>
          <w:rFonts w:ascii="Times New Roman" w:hAnsi="Times New Roman" w:cs="Times New Roman"/>
        </w:rPr>
        <w:t xml:space="preserve">emplate as set forth in </w:t>
      </w:r>
      <w:r w:rsidRPr="007F3D71" w:rsidR="00A01FF1">
        <w:rPr>
          <w:rFonts w:ascii="Times New Roman" w:hAnsi="Times New Roman" w:cs="Times New Roman"/>
        </w:rPr>
        <w:t>Section 14.</w:t>
      </w:r>
      <w:r w:rsidRPr="00AC67AD" w:rsidR="00A01FF1">
        <w:rPr>
          <w:rFonts w:ascii="Times New Roman" w:hAnsi="Times New Roman" w:cs="Times New Roman"/>
        </w:rPr>
        <w:t xml:space="preserve">2.1 of </w:t>
      </w:r>
      <w:r w:rsidRPr="00AC67AD" w:rsidR="00354C10">
        <w:rPr>
          <w:rFonts w:ascii="Times New Roman" w:hAnsi="Times New Roman" w:cs="Times New Roman"/>
        </w:rPr>
        <w:t>Attachment 1 to Attachment H</w:t>
      </w:r>
      <w:r w:rsidRPr="007F3D71" w:rsidR="00A01FF1">
        <w:rPr>
          <w:rFonts w:ascii="Times New Roman" w:hAnsi="Times New Roman" w:cs="Times New Roman"/>
        </w:rPr>
        <w:t xml:space="preserve"> of the ISO OATT.</w:t>
      </w:r>
      <w:r w:rsidRPr="00AC67AD" w:rsidR="00354C10">
        <w:rPr>
          <w:rFonts w:ascii="Times New Roman" w:hAnsi="Times New Roman" w:cs="Times New Roman"/>
        </w:rPr>
        <w:t xml:space="preserve"> </w:t>
      </w:r>
      <w:bookmarkEnd w:id="0"/>
    </w:p>
    <w:p w:rsidR="00092781" w:rsidRPr="00AC67AD" w:rsidP="009C14FA" w14:paraId="21435A25" w14:textId="2DD7AA84">
      <w:pPr>
        <w:spacing w:after="0" w:line="480" w:lineRule="auto"/>
        <w:ind w:firstLine="720"/>
        <w:rPr>
          <w:rFonts w:ascii="Times New Roman" w:hAnsi="Times New Roman" w:cs="Times New Roman"/>
        </w:rPr>
      </w:pPr>
      <w:r w:rsidRPr="00AC67AD">
        <w:rPr>
          <w:rFonts w:ascii="Times New Roman" w:hAnsi="Times New Roman" w:cs="Times New Roman"/>
        </w:rPr>
        <w:t>To</w:t>
      </w:r>
      <w:r w:rsidRPr="00AC67AD" w:rsidR="00ED50C4">
        <w:rPr>
          <w:rFonts w:ascii="Times New Roman" w:hAnsi="Times New Roman" w:cs="Times New Roman"/>
        </w:rPr>
        <w:t xml:space="preserve"> the extent that the revenues received for the </w:t>
      </w:r>
      <w:r w:rsidRPr="0028289B" w:rsidR="002F7CAC">
        <w:rPr>
          <w:rFonts w:ascii="Times New Roman" w:hAnsi="Times New Roman" w:cs="Times New Roman"/>
        </w:rPr>
        <w:t>NMPC Phase 2 Projects</w:t>
      </w:r>
      <w:r w:rsidRPr="00AC67AD" w:rsidR="00ED50C4">
        <w:rPr>
          <w:rFonts w:ascii="Times New Roman" w:hAnsi="Times New Roman" w:cs="Times New Roman"/>
        </w:rPr>
        <w:t xml:space="preserve"> in the prior year were greater (or less) than the annual </w:t>
      </w:r>
      <w:r w:rsidRPr="00AC67AD" w:rsidR="002D0528">
        <w:rPr>
          <w:rFonts w:ascii="Times New Roman" w:hAnsi="Times New Roman" w:cs="Times New Roman"/>
        </w:rPr>
        <w:t>CFC</w:t>
      </w:r>
      <w:r w:rsidRPr="00AC67AD">
        <w:rPr>
          <w:rFonts w:ascii="Times New Roman" w:hAnsi="Times New Roman" w:cs="Times New Roman"/>
        </w:rPr>
        <w:t xml:space="preserve"> </w:t>
      </w:r>
      <w:r w:rsidRPr="007F3D71" w:rsidR="00A01FF1">
        <w:rPr>
          <w:rFonts w:ascii="Times New Roman" w:hAnsi="Times New Roman" w:cs="Times New Roman"/>
        </w:rPr>
        <w:t xml:space="preserve">Charge </w:t>
      </w:r>
      <w:r w:rsidRPr="00AC67AD" w:rsidR="00ED50C4">
        <w:rPr>
          <w:rFonts w:ascii="Times New Roman" w:hAnsi="Times New Roman" w:cs="Times New Roman"/>
        </w:rPr>
        <w:t xml:space="preserve">revenue requirement for the year, the current year’s </w:t>
      </w:r>
      <w:r w:rsidRPr="00AC67AD" w:rsidR="002D0528">
        <w:rPr>
          <w:rFonts w:ascii="Times New Roman" w:hAnsi="Times New Roman" w:cs="Times New Roman"/>
        </w:rPr>
        <w:t>CFC</w:t>
      </w:r>
      <w:r w:rsidRPr="00AC67AD" w:rsidR="00ED50C4">
        <w:rPr>
          <w:rFonts w:ascii="Times New Roman" w:hAnsi="Times New Roman" w:cs="Times New Roman"/>
        </w:rPr>
        <w:t xml:space="preserve"> </w:t>
      </w:r>
      <w:r w:rsidRPr="00AC67AD" w:rsidR="00A01FF1">
        <w:rPr>
          <w:rFonts w:ascii="Times New Roman" w:hAnsi="Times New Roman" w:cs="Times New Roman"/>
        </w:rPr>
        <w:t xml:space="preserve">Charge </w:t>
      </w:r>
      <w:r w:rsidRPr="00AC67AD" w:rsidR="00ED50C4">
        <w:rPr>
          <w:rFonts w:ascii="Times New Roman" w:hAnsi="Times New Roman" w:cs="Times New Roman"/>
        </w:rPr>
        <w:t xml:space="preserve">revenue requirement will be decreased (or increased) by that difference. The annual </w:t>
      </w:r>
      <w:r w:rsidRPr="00AC67AD" w:rsidR="00C92091">
        <w:rPr>
          <w:rFonts w:ascii="Times New Roman" w:hAnsi="Times New Roman" w:cs="Times New Roman"/>
        </w:rPr>
        <w:t>CFC</w:t>
      </w:r>
      <w:r w:rsidRPr="00AC67AD" w:rsidR="00ED50C4">
        <w:rPr>
          <w:rFonts w:ascii="Times New Roman" w:hAnsi="Times New Roman" w:cs="Times New Roman"/>
        </w:rPr>
        <w:t xml:space="preserve"> </w:t>
      </w:r>
      <w:r w:rsidRPr="007F3D71" w:rsidR="00020DD7">
        <w:rPr>
          <w:rFonts w:ascii="Times New Roman" w:hAnsi="Times New Roman" w:cs="Times New Roman"/>
        </w:rPr>
        <w:t xml:space="preserve">Charge </w:t>
      </w:r>
      <w:r w:rsidRPr="00AC67AD" w:rsidR="00ED50C4">
        <w:rPr>
          <w:rFonts w:ascii="Times New Roman" w:hAnsi="Times New Roman" w:cs="Times New Roman"/>
        </w:rPr>
        <w:t xml:space="preserve">revenue requirement will be the basis for the applicable </w:t>
      </w:r>
      <w:r w:rsidRPr="00AC67AD" w:rsidR="00C92091">
        <w:rPr>
          <w:rFonts w:ascii="Times New Roman" w:hAnsi="Times New Roman" w:cs="Times New Roman"/>
        </w:rPr>
        <w:t>CFC</w:t>
      </w:r>
      <w:r w:rsidRPr="00AC67AD" w:rsidR="00ED50C4">
        <w:rPr>
          <w:rFonts w:ascii="Times New Roman" w:hAnsi="Times New Roman" w:cs="Times New Roman"/>
        </w:rPr>
        <w:t xml:space="preserve"> </w:t>
      </w:r>
      <w:r w:rsidRPr="007F3D71" w:rsidR="00020DD7">
        <w:rPr>
          <w:rFonts w:ascii="Times New Roman" w:hAnsi="Times New Roman" w:cs="Times New Roman"/>
        </w:rPr>
        <w:t>Charge</w:t>
      </w:r>
      <w:r w:rsidRPr="00AC67AD" w:rsidR="00ED50C4">
        <w:rPr>
          <w:rFonts w:ascii="Times New Roman" w:hAnsi="Times New Roman" w:cs="Times New Roman"/>
        </w:rPr>
        <w:t xml:space="preserve"> that shall be charged by the ISO to </w:t>
      </w:r>
      <w:r w:rsidRPr="007F3D71" w:rsidR="00020DD7">
        <w:rPr>
          <w:rFonts w:ascii="Times New Roman" w:hAnsi="Times New Roman" w:cs="Times New Roman"/>
        </w:rPr>
        <w:t>each Responsible LSE</w:t>
      </w:r>
      <w:r w:rsidRPr="00AC67AD">
        <w:rPr>
          <w:rFonts w:ascii="Times New Roman" w:hAnsi="Times New Roman" w:cs="Times New Roman"/>
        </w:rPr>
        <w:t xml:space="preserve"> </w:t>
      </w:r>
      <w:r w:rsidRPr="00AC67AD" w:rsidR="00ED50C4">
        <w:rPr>
          <w:rFonts w:ascii="Times New Roman" w:hAnsi="Times New Roman" w:cs="Times New Roman"/>
        </w:rPr>
        <w:t>as set forth in Section 6.</w:t>
      </w:r>
      <w:r w:rsidRPr="00AC67AD" w:rsidR="00AE6F6C">
        <w:rPr>
          <w:rFonts w:ascii="Times New Roman" w:hAnsi="Times New Roman" w:cs="Times New Roman"/>
        </w:rPr>
        <w:t>1</w:t>
      </w:r>
      <w:r w:rsidRPr="00AC67AD" w:rsidR="00C92091">
        <w:rPr>
          <w:rFonts w:ascii="Times New Roman" w:hAnsi="Times New Roman" w:cs="Times New Roman"/>
        </w:rPr>
        <w:t>9</w:t>
      </w:r>
      <w:r w:rsidRPr="00AC67AD" w:rsidR="00ED50C4">
        <w:rPr>
          <w:rFonts w:ascii="Times New Roman" w:hAnsi="Times New Roman" w:cs="Times New Roman"/>
        </w:rPr>
        <w:t>.3.</w:t>
      </w:r>
      <w:r w:rsidRPr="007F3D71" w:rsidR="00020DD7">
        <w:rPr>
          <w:rFonts w:ascii="Times New Roman" w:hAnsi="Times New Roman" w:cs="Times New Roman"/>
        </w:rPr>
        <w:t>5</w:t>
      </w:r>
      <w:r w:rsidRPr="00AC67AD" w:rsidR="00ED50C4">
        <w:rPr>
          <w:rFonts w:ascii="Times New Roman" w:hAnsi="Times New Roman" w:cs="Times New Roman"/>
        </w:rPr>
        <w:t>.</w:t>
      </w:r>
    </w:p>
    <w:p w:rsidR="000D23C0" w:rsidRPr="00AC67AD" w:rsidP="00AC67AD" w14:paraId="1E53B235" w14:textId="0BE856E6">
      <w:pPr>
        <w:tabs>
          <w:tab w:val="left" w:pos="720"/>
        </w:tabs>
        <w:spacing w:after="0"/>
        <w:ind w:firstLine="720"/>
        <w:rPr>
          <w:rFonts w:ascii="Times New Roman" w:hAnsi="Times New Roman" w:cs="Times New Roman"/>
          <w:strike/>
          <w:color w:val="000000"/>
        </w:rPr>
      </w:pPr>
    </w:p>
    <w:p w:rsidR="00092781" w:rsidRPr="00AC67AD" w:rsidP="009C14FA" w14:paraId="22B32AEA" w14:textId="6E53F599">
      <w:pPr>
        <w:spacing w:after="0" w:line="480" w:lineRule="auto"/>
        <w:ind w:firstLine="720"/>
        <w:rPr>
          <w:rFonts w:ascii="Times New Roman" w:hAnsi="Times New Roman" w:cs="Times New Roman"/>
        </w:rPr>
      </w:pPr>
      <w:r w:rsidRPr="00AC67AD">
        <w:rPr>
          <w:rFonts w:ascii="Times New Roman" w:hAnsi="Times New Roman" w:cs="Times New Roman"/>
        </w:rPr>
        <w:t>6.</w:t>
      </w:r>
      <w:r w:rsidRPr="00AC67AD" w:rsidR="007D324A">
        <w:rPr>
          <w:rFonts w:ascii="Times New Roman" w:hAnsi="Times New Roman" w:cs="Times New Roman"/>
        </w:rPr>
        <w:t>19.11.</w:t>
      </w:r>
      <w:r w:rsidRPr="00AC67AD" w:rsidR="00020DD7">
        <w:rPr>
          <w:rFonts w:ascii="Times New Roman" w:hAnsi="Times New Roman" w:cs="Times New Roman"/>
        </w:rPr>
        <w:t>3</w:t>
      </w:r>
      <w:r w:rsidRPr="00AC67AD" w:rsidR="007D324A">
        <w:rPr>
          <w:rFonts w:ascii="Times New Roman" w:hAnsi="Times New Roman" w:cs="Times New Roman"/>
        </w:rPr>
        <w:t>.2</w:t>
      </w:r>
      <w:r w:rsidRPr="00AC67AD">
        <w:rPr>
          <w:rFonts w:ascii="Times New Roman" w:hAnsi="Times New Roman" w:cs="Times New Roman"/>
          <w:b/>
          <w:bCs/>
        </w:rPr>
        <w:tab/>
      </w:r>
      <w:r w:rsidRPr="00AC67AD">
        <w:rPr>
          <w:rFonts w:ascii="Times New Roman" w:hAnsi="Times New Roman" w:cs="Times New Roman"/>
        </w:rPr>
        <w:t xml:space="preserve"> </w:t>
      </w:r>
      <w:r w:rsidRPr="00AC67AD" w:rsidR="00AB4887">
        <w:rPr>
          <w:rFonts w:ascii="Times New Roman" w:hAnsi="Times New Roman" w:cs="Times New Roman"/>
        </w:rPr>
        <w:t xml:space="preserve">The </w:t>
      </w:r>
      <w:r w:rsidRPr="00AC67AD" w:rsidR="00CF706A">
        <w:rPr>
          <w:rFonts w:ascii="Times New Roman" w:hAnsi="Times New Roman" w:cs="Times New Roman"/>
        </w:rPr>
        <w:t>“</w:t>
      </w:r>
      <w:r w:rsidRPr="00AC67AD" w:rsidR="00AB4887">
        <w:rPr>
          <w:rFonts w:ascii="Times New Roman" w:hAnsi="Times New Roman" w:cs="Times New Roman"/>
        </w:rPr>
        <w:t>Base Revenue Require</w:t>
      </w:r>
      <w:r w:rsidRPr="00AC67AD" w:rsidR="006B0273">
        <w:rPr>
          <w:rFonts w:ascii="Times New Roman" w:hAnsi="Times New Roman" w:cs="Times New Roman"/>
        </w:rPr>
        <w:t>m</w:t>
      </w:r>
      <w:r w:rsidRPr="00AC67AD" w:rsidR="00AB4887">
        <w:rPr>
          <w:rFonts w:ascii="Times New Roman" w:hAnsi="Times New Roman" w:cs="Times New Roman"/>
        </w:rPr>
        <w:t>ent</w:t>
      </w:r>
      <w:r w:rsidRPr="00AC67AD" w:rsidR="00CF706A">
        <w:rPr>
          <w:rFonts w:ascii="Times New Roman" w:hAnsi="Times New Roman" w:cs="Times New Roman"/>
        </w:rPr>
        <w:t>”</w:t>
      </w:r>
      <w:r w:rsidRPr="00AC67AD" w:rsidR="003C51BF">
        <w:rPr>
          <w:rFonts w:ascii="Times New Roman" w:hAnsi="Times New Roman" w:cs="Times New Roman"/>
        </w:rPr>
        <w:t xml:space="preserve"> </w:t>
      </w:r>
      <w:r w:rsidRPr="007F3D71" w:rsidR="002D0BBC">
        <w:rPr>
          <w:rFonts w:ascii="Times New Roman" w:hAnsi="Times New Roman" w:cs="Times New Roman"/>
        </w:rPr>
        <w:t xml:space="preserve">for </w:t>
      </w:r>
      <w:r w:rsidR="009A40E2">
        <w:rPr>
          <w:rFonts w:ascii="Times New Roman" w:hAnsi="Times New Roman" w:cs="Times New Roman"/>
        </w:rPr>
        <w:t xml:space="preserve">the </w:t>
      </w:r>
      <w:r w:rsidRPr="0028289B" w:rsidR="009A40E2">
        <w:rPr>
          <w:rFonts w:ascii="Times New Roman" w:hAnsi="Times New Roman" w:cs="Times New Roman"/>
        </w:rPr>
        <w:t>NMPC Phase 2 Projects</w:t>
      </w:r>
      <w:r w:rsidR="00B63A3A">
        <w:rPr>
          <w:rFonts w:ascii="Times New Roman" w:hAnsi="Times New Roman" w:cs="Times New Roman"/>
        </w:rPr>
        <w:t>,</w:t>
      </w:r>
      <w:r w:rsidRPr="007F3D71" w:rsidR="002D0BBC">
        <w:rPr>
          <w:rFonts w:ascii="Times New Roman" w:hAnsi="Times New Roman" w:cs="Times New Roman"/>
        </w:rPr>
        <w:t xml:space="preserve"> </w:t>
      </w:r>
      <w:r w:rsidRPr="00AC67AD" w:rsidR="003C51BF">
        <w:rPr>
          <w:rFonts w:ascii="Times New Roman" w:hAnsi="Times New Roman" w:cs="Times New Roman"/>
        </w:rPr>
        <w:t xml:space="preserve">as </w:t>
      </w:r>
      <w:r w:rsidRPr="00AC67AD" w:rsidR="002D0BBC">
        <w:rPr>
          <w:rFonts w:ascii="Times New Roman" w:hAnsi="Times New Roman" w:cs="Times New Roman"/>
        </w:rPr>
        <w:t>identified</w:t>
      </w:r>
      <w:r w:rsidRPr="00AC67AD" w:rsidR="008F0A83">
        <w:rPr>
          <w:rFonts w:ascii="Times New Roman" w:hAnsi="Times New Roman" w:cs="Times New Roman"/>
        </w:rPr>
        <w:t xml:space="preserve"> in </w:t>
      </w:r>
      <w:r w:rsidRPr="007F3D71" w:rsidR="002D0BBC">
        <w:rPr>
          <w:rFonts w:ascii="Times New Roman" w:hAnsi="Times New Roman" w:cs="Times New Roman"/>
        </w:rPr>
        <w:t xml:space="preserve">Schedule 16a </w:t>
      </w:r>
      <w:r w:rsidRPr="00AC67AD" w:rsidR="002D0BBC">
        <w:rPr>
          <w:rFonts w:ascii="Times New Roman" w:hAnsi="Times New Roman" w:cs="Times New Roman"/>
        </w:rPr>
        <w:t xml:space="preserve">Line 16 of NMPC’s formula rate template set forth in Section 14.2.1 of </w:t>
      </w:r>
      <w:r w:rsidRPr="00AC67AD" w:rsidR="008F0A83">
        <w:rPr>
          <w:rFonts w:ascii="Times New Roman" w:hAnsi="Times New Roman" w:cs="Times New Roman"/>
        </w:rPr>
        <w:t xml:space="preserve">Attachment </w:t>
      </w:r>
      <w:r w:rsidRPr="00AC67AD" w:rsidR="002D0BBC">
        <w:rPr>
          <w:rFonts w:ascii="Times New Roman" w:hAnsi="Times New Roman" w:cs="Times New Roman"/>
        </w:rPr>
        <w:t>1</w:t>
      </w:r>
      <w:r w:rsidRPr="00AC67AD" w:rsidR="008F0A83">
        <w:rPr>
          <w:rFonts w:ascii="Times New Roman" w:hAnsi="Times New Roman" w:cs="Times New Roman"/>
        </w:rPr>
        <w:t xml:space="preserve"> </w:t>
      </w:r>
      <w:r w:rsidRPr="00AC67AD" w:rsidR="002D0BBC">
        <w:rPr>
          <w:rFonts w:ascii="Times New Roman" w:hAnsi="Times New Roman" w:cs="Times New Roman"/>
        </w:rPr>
        <w:t xml:space="preserve">to </w:t>
      </w:r>
      <w:r w:rsidRPr="00AC67AD" w:rsidR="008F0A83">
        <w:rPr>
          <w:rFonts w:ascii="Times New Roman" w:hAnsi="Times New Roman" w:cs="Times New Roman"/>
        </w:rPr>
        <w:t xml:space="preserve">Attachment </w:t>
      </w:r>
      <w:r w:rsidRPr="00AC67AD" w:rsidR="002D0BBC">
        <w:rPr>
          <w:rFonts w:ascii="Times New Roman" w:hAnsi="Times New Roman" w:cs="Times New Roman"/>
        </w:rPr>
        <w:t>H</w:t>
      </w:r>
      <w:r w:rsidRPr="00AC67AD" w:rsidR="005573B8">
        <w:rPr>
          <w:rFonts w:ascii="Times New Roman" w:hAnsi="Times New Roman" w:cs="Times New Roman"/>
        </w:rPr>
        <w:t xml:space="preserve"> of the ISO OATT</w:t>
      </w:r>
      <w:r w:rsidRPr="00AC67AD" w:rsidR="00CF706A">
        <w:rPr>
          <w:rFonts w:ascii="Times New Roman" w:hAnsi="Times New Roman" w:cs="Times New Roman"/>
        </w:rPr>
        <w:t>,</w:t>
      </w:r>
      <w:r w:rsidRPr="00AC67AD" w:rsidR="008F0A83">
        <w:rPr>
          <w:rFonts w:ascii="Times New Roman" w:hAnsi="Times New Roman" w:cs="Times New Roman"/>
        </w:rPr>
        <w:t xml:space="preserve"> </w:t>
      </w:r>
      <w:r w:rsidRPr="00AC67AD">
        <w:rPr>
          <w:rFonts w:ascii="Times New Roman" w:hAnsi="Times New Roman" w:cs="Times New Roman"/>
        </w:rPr>
        <w:t xml:space="preserve">will be treated as a revenue credit in the revenue requirement for NMPC’s </w:t>
      </w:r>
      <w:r w:rsidRPr="009C36A8" w:rsidR="009C36A8">
        <w:rPr>
          <w:rFonts w:ascii="Times New Roman" w:hAnsi="Times New Roman" w:cs="Times New Roman"/>
        </w:rPr>
        <w:t>Transmission Service Charge (“TSC”)</w:t>
      </w:r>
      <w:r w:rsidRPr="00AC67AD">
        <w:rPr>
          <w:rFonts w:ascii="Times New Roman" w:hAnsi="Times New Roman" w:cs="Times New Roman"/>
        </w:rPr>
        <w:t xml:space="preserve">. </w:t>
      </w:r>
      <w:r w:rsidRPr="007F3D71" w:rsidR="00504D39">
        <w:rPr>
          <w:rFonts w:ascii="Times New Roman" w:hAnsi="Times New Roman" w:cs="Times New Roman"/>
        </w:rPr>
        <w:t>Additionally, Schedule 16</w:t>
      </w:r>
      <w:r w:rsidR="0009308B">
        <w:rPr>
          <w:rFonts w:ascii="Times New Roman" w:hAnsi="Times New Roman" w:cs="Times New Roman"/>
        </w:rPr>
        <w:t>f</w:t>
      </w:r>
      <w:r w:rsidRPr="00AC67AD" w:rsidR="00504D39">
        <w:rPr>
          <w:rFonts w:ascii="Times New Roman" w:hAnsi="Times New Roman" w:cs="Times New Roman"/>
        </w:rPr>
        <w:t xml:space="preserve"> Line</w:t>
      </w:r>
      <w:r w:rsidR="0009308B">
        <w:rPr>
          <w:rFonts w:ascii="Times New Roman" w:hAnsi="Times New Roman" w:cs="Times New Roman"/>
        </w:rPr>
        <w:t xml:space="preserve"> 2 Column 17</w:t>
      </w:r>
      <w:r w:rsidRPr="00AC67AD" w:rsidR="00504D39">
        <w:rPr>
          <w:rFonts w:ascii="Times New Roman" w:hAnsi="Times New Roman" w:cs="Times New Roman"/>
        </w:rPr>
        <w:t xml:space="preserve"> of the formula rate template will also be treated as a revenue credit in the revenue requirement, reflecting the difference between </w:t>
      </w:r>
      <w:r w:rsidR="00C10229">
        <w:rPr>
          <w:rFonts w:ascii="Times New Roman" w:hAnsi="Times New Roman" w:cs="Times New Roman"/>
        </w:rPr>
        <w:t xml:space="preserve">the </w:t>
      </w:r>
      <w:r w:rsidRPr="00AC67AD" w:rsidR="00504D39">
        <w:rPr>
          <w:rFonts w:ascii="Times New Roman" w:hAnsi="Times New Roman" w:cs="Times New Roman"/>
        </w:rPr>
        <w:t xml:space="preserve">ROE </w:t>
      </w:r>
      <w:r w:rsidRPr="00AC67AD" w:rsidR="0016538A">
        <w:rPr>
          <w:rFonts w:ascii="Times New Roman" w:hAnsi="Times New Roman" w:cs="Times New Roman"/>
        </w:rPr>
        <w:t xml:space="preserve">applicable to </w:t>
      </w:r>
      <w:r w:rsidR="009A40E2">
        <w:rPr>
          <w:rFonts w:ascii="Times New Roman" w:hAnsi="Times New Roman" w:cs="Times New Roman"/>
        </w:rPr>
        <w:t xml:space="preserve">the </w:t>
      </w:r>
      <w:r w:rsidRPr="0028289B" w:rsidR="009A40E2">
        <w:rPr>
          <w:rFonts w:ascii="Times New Roman" w:hAnsi="Times New Roman" w:cs="Times New Roman"/>
        </w:rPr>
        <w:t>NMPC Phase 2 Projects</w:t>
      </w:r>
      <w:r w:rsidRPr="00AC67AD" w:rsidR="00504D39">
        <w:rPr>
          <w:rFonts w:ascii="Times New Roman" w:hAnsi="Times New Roman" w:cs="Times New Roman"/>
        </w:rPr>
        <w:t xml:space="preserve"> </w:t>
      </w:r>
      <w:r w:rsidRPr="00AC67AD" w:rsidR="0016538A">
        <w:rPr>
          <w:rFonts w:ascii="Times New Roman" w:hAnsi="Times New Roman" w:cs="Times New Roman"/>
        </w:rPr>
        <w:t>and the C</w:t>
      </w:r>
      <w:r w:rsidRPr="00AC67AD" w:rsidR="00504D39">
        <w:rPr>
          <w:rFonts w:ascii="Times New Roman" w:hAnsi="Times New Roman" w:cs="Times New Roman"/>
        </w:rPr>
        <w:t xml:space="preserve">ommission-approved TSC ROE. </w:t>
      </w:r>
      <w:r w:rsidRPr="00AC67AD">
        <w:rPr>
          <w:rFonts w:ascii="Times New Roman" w:hAnsi="Times New Roman" w:cs="Times New Roman"/>
        </w:rPr>
        <w:t xml:space="preserve">After considering the revenue credit from the </w:t>
      </w:r>
      <w:r w:rsidRPr="00AC67AD" w:rsidR="00CF706A">
        <w:rPr>
          <w:rFonts w:ascii="Times New Roman" w:hAnsi="Times New Roman" w:cs="Times New Roman"/>
        </w:rPr>
        <w:t>CFC</w:t>
      </w:r>
      <w:r w:rsidRPr="00AC67AD" w:rsidR="00504D39">
        <w:rPr>
          <w:rFonts w:ascii="Times New Roman" w:hAnsi="Times New Roman" w:cs="Times New Roman"/>
        </w:rPr>
        <w:t xml:space="preserve"> Charge</w:t>
      </w:r>
      <w:r w:rsidRPr="00AC67AD">
        <w:rPr>
          <w:rFonts w:ascii="Times New Roman" w:hAnsi="Times New Roman" w:cs="Times New Roman"/>
        </w:rPr>
        <w:t xml:space="preserve">, the net cost for the </w:t>
      </w:r>
      <w:r w:rsidRPr="0028289B" w:rsidR="009A40E2">
        <w:rPr>
          <w:rFonts w:ascii="Times New Roman" w:hAnsi="Times New Roman" w:cs="Times New Roman"/>
        </w:rPr>
        <w:t>NMPC Phase 2 Projects</w:t>
      </w:r>
      <w:r w:rsidRPr="00AC67AD" w:rsidR="00504D39">
        <w:rPr>
          <w:rFonts w:ascii="Times New Roman" w:hAnsi="Times New Roman" w:cs="Times New Roman"/>
        </w:rPr>
        <w:t xml:space="preserve"> </w:t>
      </w:r>
      <w:r w:rsidRPr="00AC67AD">
        <w:rPr>
          <w:rFonts w:ascii="Times New Roman" w:hAnsi="Times New Roman" w:cs="Times New Roman"/>
        </w:rPr>
        <w:t xml:space="preserve">recovered through the TSC will be deemed to be zero.  </w:t>
      </w:r>
    </w:p>
    <w:p w:rsidR="00ED50C4" w:rsidRPr="00AC67AD" w:rsidP="009C14FA" w14:paraId="717E23D5" w14:textId="239E6CBD">
      <w:pPr>
        <w:spacing w:after="0" w:line="480" w:lineRule="auto"/>
        <w:ind w:firstLine="720"/>
        <w:rPr>
          <w:rFonts w:ascii="Times New Roman" w:hAnsi="Times New Roman" w:cs="Times New Roman"/>
          <w:b/>
          <w:bCs/>
        </w:rPr>
      </w:pPr>
      <w:r w:rsidRPr="00AC67AD">
        <w:rPr>
          <w:rFonts w:ascii="Times New Roman" w:hAnsi="Times New Roman" w:cs="Times New Roman"/>
        </w:rPr>
        <w:t>6.</w:t>
      </w:r>
      <w:r w:rsidRPr="00AC67AD" w:rsidR="00087409">
        <w:rPr>
          <w:rFonts w:ascii="Times New Roman" w:hAnsi="Times New Roman" w:cs="Times New Roman"/>
        </w:rPr>
        <w:t>19.11.</w:t>
      </w:r>
      <w:r w:rsidR="009C14FA">
        <w:rPr>
          <w:rFonts w:ascii="Times New Roman" w:hAnsi="Times New Roman" w:cs="Times New Roman"/>
        </w:rPr>
        <w:t>3</w:t>
      </w:r>
      <w:r w:rsidRPr="00AC67AD" w:rsidR="00087409">
        <w:rPr>
          <w:rFonts w:ascii="Times New Roman" w:hAnsi="Times New Roman" w:cs="Times New Roman"/>
        </w:rPr>
        <w:t>.3</w:t>
      </w:r>
      <w:r w:rsidRPr="00AC67AD">
        <w:rPr>
          <w:rFonts w:ascii="Times New Roman" w:hAnsi="Times New Roman" w:cs="Times New Roman"/>
          <w:b/>
          <w:bCs/>
        </w:rPr>
        <w:tab/>
      </w:r>
      <w:r w:rsidRPr="00AC67AD">
        <w:rPr>
          <w:rFonts w:ascii="Times New Roman" w:hAnsi="Times New Roman" w:cs="Times New Roman"/>
        </w:rPr>
        <w:t xml:space="preserve">NMPC shall recalculate the </w:t>
      </w:r>
      <w:r w:rsidRPr="00AC67AD" w:rsidR="00087409">
        <w:rPr>
          <w:rFonts w:ascii="Times New Roman" w:hAnsi="Times New Roman" w:cs="Times New Roman"/>
        </w:rPr>
        <w:t>CFC</w:t>
      </w:r>
      <w:r w:rsidRPr="00AC67AD">
        <w:rPr>
          <w:rFonts w:ascii="Times New Roman" w:hAnsi="Times New Roman" w:cs="Times New Roman"/>
        </w:rPr>
        <w:t xml:space="preserve"> </w:t>
      </w:r>
      <w:r w:rsidRPr="007F3D71" w:rsidR="00FC2772">
        <w:rPr>
          <w:rFonts w:ascii="Times New Roman" w:hAnsi="Times New Roman" w:cs="Times New Roman"/>
        </w:rPr>
        <w:t xml:space="preserve">Charge </w:t>
      </w:r>
      <w:r w:rsidRPr="00AC67AD">
        <w:rPr>
          <w:rFonts w:ascii="Times New Roman" w:hAnsi="Times New Roman" w:cs="Times New Roman"/>
        </w:rPr>
        <w:t xml:space="preserve">revenue requirement each year as part of the Annual Update process set forth in Section 14.1.9.4 of Attachment H of the ISO OATT. The </w:t>
      </w:r>
      <w:r w:rsidRPr="00AC67AD" w:rsidR="00087409">
        <w:rPr>
          <w:rFonts w:ascii="Times New Roman" w:hAnsi="Times New Roman" w:cs="Times New Roman"/>
        </w:rPr>
        <w:t>CFC</w:t>
      </w:r>
      <w:r w:rsidRPr="00AC67AD">
        <w:rPr>
          <w:rFonts w:ascii="Times New Roman" w:hAnsi="Times New Roman" w:cs="Times New Roman"/>
        </w:rPr>
        <w:t xml:space="preserve"> </w:t>
      </w:r>
      <w:r w:rsidRPr="007F3D71" w:rsidR="00FC2772">
        <w:rPr>
          <w:rFonts w:ascii="Times New Roman" w:hAnsi="Times New Roman" w:cs="Times New Roman"/>
        </w:rPr>
        <w:t xml:space="preserve">Charge </w:t>
      </w:r>
      <w:r w:rsidRPr="00AC67AD">
        <w:rPr>
          <w:rFonts w:ascii="Times New Roman" w:hAnsi="Times New Roman" w:cs="Times New Roman"/>
        </w:rPr>
        <w:t xml:space="preserve">revenue requirement shall be separately stated in that Annual Update, and the Annual Update shall provide supporting documentation for the calculation of the </w:t>
      </w:r>
      <w:r w:rsidRPr="00AC67AD" w:rsidR="00087409">
        <w:rPr>
          <w:rFonts w:ascii="Times New Roman" w:hAnsi="Times New Roman" w:cs="Times New Roman"/>
        </w:rPr>
        <w:t>CFC</w:t>
      </w:r>
      <w:r w:rsidRPr="00AC67AD">
        <w:rPr>
          <w:rFonts w:ascii="Times New Roman" w:hAnsi="Times New Roman" w:cs="Times New Roman"/>
        </w:rPr>
        <w:t xml:space="preserve"> </w:t>
      </w:r>
      <w:r w:rsidRPr="007F3D71" w:rsidR="00FC2772">
        <w:rPr>
          <w:rFonts w:ascii="Times New Roman" w:hAnsi="Times New Roman" w:cs="Times New Roman"/>
        </w:rPr>
        <w:t xml:space="preserve">Charge </w:t>
      </w:r>
      <w:r w:rsidRPr="00AC67AD">
        <w:rPr>
          <w:rFonts w:ascii="Times New Roman" w:hAnsi="Times New Roman" w:cs="Times New Roman"/>
        </w:rPr>
        <w:t xml:space="preserve">revenue requirement for the Update Year. Each </w:t>
      </w:r>
      <w:r w:rsidRPr="00AC67AD" w:rsidR="006B0273">
        <w:rPr>
          <w:rFonts w:ascii="Times New Roman" w:hAnsi="Times New Roman" w:cs="Times New Roman"/>
        </w:rPr>
        <w:t xml:space="preserve">Responsible </w:t>
      </w:r>
      <w:r w:rsidRPr="00AC67AD">
        <w:rPr>
          <w:rFonts w:ascii="Times New Roman" w:hAnsi="Times New Roman" w:cs="Times New Roman"/>
        </w:rPr>
        <w:t xml:space="preserve">LSE shall be an “Interested Party” with respect to any portion of the Annual Update related to the </w:t>
      </w:r>
      <w:r w:rsidRPr="00AC67AD" w:rsidR="00087409">
        <w:rPr>
          <w:rFonts w:ascii="Times New Roman" w:hAnsi="Times New Roman" w:cs="Times New Roman"/>
        </w:rPr>
        <w:t>CFC</w:t>
      </w:r>
      <w:r w:rsidRPr="007F3D71" w:rsidR="00FC2772">
        <w:rPr>
          <w:rFonts w:ascii="Times New Roman" w:hAnsi="Times New Roman" w:cs="Times New Roman"/>
        </w:rPr>
        <w:t xml:space="preserve"> Charge</w:t>
      </w:r>
      <w:r w:rsidRPr="00AC67AD">
        <w:rPr>
          <w:rFonts w:ascii="Times New Roman" w:hAnsi="Times New Roman" w:cs="Times New Roman"/>
        </w:rPr>
        <w:t xml:space="preserve">. The </w:t>
      </w:r>
      <w:r w:rsidRPr="00AC67AD" w:rsidR="00087409">
        <w:rPr>
          <w:rFonts w:ascii="Times New Roman" w:hAnsi="Times New Roman" w:cs="Times New Roman"/>
        </w:rPr>
        <w:t>CFC</w:t>
      </w:r>
      <w:r w:rsidRPr="00AC67AD">
        <w:rPr>
          <w:rFonts w:ascii="Times New Roman" w:hAnsi="Times New Roman" w:cs="Times New Roman"/>
        </w:rPr>
        <w:t xml:space="preserve"> </w:t>
      </w:r>
      <w:r w:rsidRPr="007F3D71" w:rsidR="00FC2772">
        <w:rPr>
          <w:rFonts w:ascii="Times New Roman" w:hAnsi="Times New Roman" w:cs="Times New Roman"/>
        </w:rPr>
        <w:t xml:space="preserve">Charge </w:t>
      </w:r>
      <w:r w:rsidRPr="00AC67AD">
        <w:rPr>
          <w:rFonts w:ascii="Times New Roman" w:hAnsi="Times New Roman" w:cs="Times New Roman"/>
        </w:rPr>
        <w:t>revenue requirement for the first year will be calculated retroactively</w:t>
      </w:r>
      <w:r w:rsidRPr="00AC67AD" w:rsidR="00087409">
        <w:rPr>
          <w:rFonts w:ascii="Times New Roman" w:hAnsi="Times New Roman" w:cs="Times New Roman"/>
        </w:rPr>
        <w:t>.</w:t>
      </w:r>
      <w:r w:rsidRPr="00AC67AD">
        <w:rPr>
          <w:rFonts w:ascii="Times New Roman" w:hAnsi="Times New Roman" w:cs="Times New Roman"/>
        </w:rPr>
        <w:t xml:space="preserve"> The ISO shall commence charging the </w:t>
      </w:r>
      <w:r w:rsidRPr="00AC67AD" w:rsidR="00856457">
        <w:rPr>
          <w:rFonts w:ascii="Times New Roman" w:hAnsi="Times New Roman" w:cs="Times New Roman"/>
        </w:rPr>
        <w:t xml:space="preserve">revenue requirement component of the </w:t>
      </w:r>
      <w:r w:rsidRPr="00AC67AD" w:rsidR="00087409">
        <w:rPr>
          <w:rFonts w:ascii="Times New Roman" w:hAnsi="Times New Roman" w:cs="Times New Roman"/>
        </w:rPr>
        <w:t>CFC</w:t>
      </w:r>
      <w:r w:rsidRPr="00AC67AD" w:rsidR="00FC2772">
        <w:rPr>
          <w:rFonts w:ascii="Times New Roman" w:hAnsi="Times New Roman" w:cs="Times New Roman"/>
        </w:rPr>
        <w:t xml:space="preserve"> Charge</w:t>
      </w:r>
      <w:r w:rsidRPr="00AC67AD">
        <w:rPr>
          <w:rFonts w:ascii="Times New Roman" w:hAnsi="Times New Roman" w:cs="Times New Roman"/>
        </w:rPr>
        <w:t xml:space="preserve"> beginning with the </w:t>
      </w:r>
      <w:r w:rsidRPr="00AC67AD">
        <w:rPr>
          <w:rFonts w:ascii="Times New Roman" w:hAnsi="Times New Roman" w:cs="Times New Roman"/>
        </w:rPr>
        <w:t>first billing period for the next effective Update Year, as such term is defined in Section 14.1.9.1.66 of Attachment H of the ISO OATT</w:t>
      </w:r>
      <w:r w:rsidRPr="00AC67AD" w:rsidR="008A5628">
        <w:rPr>
          <w:rFonts w:ascii="Times New Roman" w:hAnsi="Times New Roman" w:cs="Times New Roman"/>
        </w:rPr>
        <w:t>.</w:t>
      </w: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right"/>
      <w:rPr>
        <w:rFonts w:ascii="Arial" w:eastAsia="Arial" w:hAnsi="Arial" w:cs="Arial"/>
        <w:color w:val="000000"/>
        <w:sz w:val="16"/>
      </w:rPr>
    </w:pPr>
    <w:r>
      <w:rPr>
        <w:rFonts w:ascii="Arial" w:eastAsia="Arial" w:hAnsi="Arial" w:cs="Arial"/>
        <w:color w:val="000000"/>
        <w:sz w:val="16"/>
      </w:rPr>
      <w:t xml:space="preserve">Effective Date: 1/24/2026 - Docket #: ER26-589-000 -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6.19.11 OATT Schedule 19 Att 6 - Rate Mechanism for the Reco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6.19.11 OATT Schedule 19 Att 6 - Rate Mechanism for the Reco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6 OATT Rate Schedules --&gt; 6.19.11 OATT Schedule 19 Att 6 - Rate Mechanism for the Reco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FE9"/>
    <w:rsid w:val="0000522A"/>
    <w:rsid w:val="0000547F"/>
    <w:rsid w:val="00011169"/>
    <w:rsid w:val="00020DD7"/>
    <w:rsid w:val="00051968"/>
    <w:rsid w:val="00077F65"/>
    <w:rsid w:val="00085B52"/>
    <w:rsid w:val="00087409"/>
    <w:rsid w:val="00092781"/>
    <w:rsid w:val="0009308B"/>
    <w:rsid w:val="00097E44"/>
    <w:rsid w:val="000A23C7"/>
    <w:rsid w:val="000B3523"/>
    <w:rsid w:val="000C3466"/>
    <w:rsid w:val="000D23C0"/>
    <w:rsid w:val="000D791D"/>
    <w:rsid w:val="001024AC"/>
    <w:rsid w:val="0011165F"/>
    <w:rsid w:val="00120FDC"/>
    <w:rsid w:val="00130A50"/>
    <w:rsid w:val="001325A3"/>
    <w:rsid w:val="00132C02"/>
    <w:rsid w:val="00137F0E"/>
    <w:rsid w:val="00141670"/>
    <w:rsid w:val="00157404"/>
    <w:rsid w:val="00162F25"/>
    <w:rsid w:val="00164911"/>
    <w:rsid w:val="0016538A"/>
    <w:rsid w:val="00190FE9"/>
    <w:rsid w:val="001A3953"/>
    <w:rsid w:val="001A6580"/>
    <w:rsid w:val="001A757B"/>
    <w:rsid w:val="001B13E8"/>
    <w:rsid w:val="001E1BFE"/>
    <w:rsid w:val="001F020A"/>
    <w:rsid w:val="001F6457"/>
    <w:rsid w:val="001F7D43"/>
    <w:rsid w:val="00214012"/>
    <w:rsid w:val="002438CF"/>
    <w:rsid w:val="00245025"/>
    <w:rsid w:val="0026526D"/>
    <w:rsid w:val="0028289B"/>
    <w:rsid w:val="002A668F"/>
    <w:rsid w:val="002D0528"/>
    <w:rsid w:val="002D0BBC"/>
    <w:rsid w:val="002F074C"/>
    <w:rsid w:val="002F1B9B"/>
    <w:rsid w:val="002F7CAC"/>
    <w:rsid w:val="00303402"/>
    <w:rsid w:val="003036D2"/>
    <w:rsid w:val="00354C10"/>
    <w:rsid w:val="00355906"/>
    <w:rsid w:val="00355DD7"/>
    <w:rsid w:val="0038289B"/>
    <w:rsid w:val="003A1C29"/>
    <w:rsid w:val="003C51BF"/>
    <w:rsid w:val="003C6895"/>
    <w:rsid w:val="003E681A"/>
    <w:rsid w:val="003F6A04"/>
    <w:rsid w:val="00403D99"/>
    <w:rsid w:val="004110AF"/>
    <w:rsid w:val="00420AFD"/>
    <w:rsid w:val="00426C80"/>
    <w:rsid w:val="00426E71"/>
    <w:rsid w:val="004358D8"/>
    <w:rsid w:val="00436168"/>
    <w:rsid w:val="0045386D"/>
    <w:rsid w:val="004541E7"/>
    <w:rsid w:val="004600D6"/>
    <w:rsid w:val="0047208A"/>
    <w:rsid w:val="004A0641"/>
    <w:rsid w:val="004A291C"/>
    <w:rsid w:val="00504D39"/>
    <w:rsid w:val="005258DD"/>
    <w:rsid w:val="00532519"/>
    <w:rsid w:val="005344C2"/>
    <w:rsid w:val="0053537D"/>
    <w:rsid w:val="00535623"/>
    <w:rsid w:val="005573B8"/>
    <w:rsid w:val="00564B63"/>
    <w:rsid w:val="00586387"/>
    <w:rsid w:val="005920E1"/>
    <w:rsid w:val="0059417B"/>
    <w:rsid w:val="00595B6A"/>
    <w:rsid w:val="005A1428"/>
    <w:rsid w:val="006036B8"/>
    <w:rsid w:val="00620D81"/>
    <w:rsid w:val="00633143"/>
    <w:rsid w:val="00643CFB"/>
    <w:rsid w:val="00644814"/>
    <w:rsid w:val="00646375"/>
    <w:rsid w:val="0066512C"/>
    <w:rsid w:val="00673E32"/>
    <w:rsid w:val="00674DEF"/>
    <w:rsid w:val="006B0273"/>
    <w:rsid w:val="006B0752"/>
    <w:rsid w:val="00715DD9"/>
    <w:rsid w:val="0074586E"/>
    <w:rsid w:val="007466B0"/>
    <w:rsid w:val="00791800"/>
    <w:rsid w:val="007D324A"/>
    <w:rsid w:val="007F3D71"/>
    <w:rsid w:val="007F53CA"/>
    <w:rsid w:val="008060BF"/>
    <w:rsid w:val="00807FB4"/>
    <w:rsid w:val="00810870"/>
    <w:rsid w:val="00816937"/>
    <w:rsid w:val="008221EF"/>
    <w:rsid w:val="00832BF4"/>
    <w:rsid w:val="00842748"/>
    <w:rsid w:val="00856457"/>
    <w:rsid w:val="00864B19"/>
    <w:rsid w:val="00870637"/>
    <w:rsid w:val="00895704"/>
    <w:rsid w:val="008A5628"/>
    <w:rsid w:val="008C6C7E"/>
    <w:rsid w:val="008E48BE"/>
    <w:rsid w:val="008F0A83"/>
    <w:rsid w:val="00904A56"/>
    <w:rsid w:val="00920A13"/>
    <w:rsid w:val="00971AA0"/>
    <w:rsid w:val="0097502F"/>
    <w:rsid w:val="00976EE4"/>
    <w:rsid w:val="009811DA"/>
    <w:rsid w:val="009909C6"/>
    <w:rsid w:val="00997C05"/>
    <w:rsid w:val="009A3CBB"/>
    <w:rsid w:val="009A40E2"/>
    <w:rsid w:val="009A6DAC"/>
    <w:rsid w:val="009C14FA"/>
    <w:rsid w:val="009C36A8"/>
    <w:rsid w:val="009C52DA"/>
    <w:rsid w:val="009C6F41"/>
    <w:rsid w:val="009E7CED"/>
    <w:rsid w:val="00A01FF1"/>
    <w:rsid w:val="00A134B9"/>
    <w:rsid w:val="00A43821"/>
    <w:rsid w:val="00AB4887"/>
    <w:rsid w:val="00AC67AD"/>
    <w:rsid w:val="00AD18AA"/>
    <w:rsid w:val="00AE6F6C"/>
    <w:rsid w:val="00B00723"/>
    <w:rsid w:val="00B07A05"/>
    <w:rsid w:val="00B15CA9"/>
    <w:rsid w:val="00B46348"/>
    <w:rsid w:val="00B63A3A"/>
    <w:rsid w:val="00B6697D"/>
    <w:rsid w:val="00B7003E"/>
    <w:rsid w:val="00B71684"/>
    <w:rsid w:val="00B7287E"/>
    <w:rsid w:val="00B81391"/>
    <w:rsid w:val="00B85073"/>
    <w:rsid w:val="00BC1EF2"/>
    <w:rsid w:val="00BE61A0"/>
    <w:rsid w:val="00C10229"/>
    <w:rsid w:val="00C21008"/>
    <w:rsid w:val="00C24226"/>
    <w:rsid w:val="00C63519"/>
    <w:rsid w:val="00C92091"/>
    <w:rsid w:val="00C963B3"/>
    <w:rsid w:val="00CE46D8"/>
    <w:rsid w:val="00CF706A"/>
    <w:rsid w:val="00D021DF"/>
    <w:rsid w:val="00D06EEA"/>
    <w:rsid w:val="00D44A54"/>
    <w:rsid w:val="00D56AA9"/>
    <w:rsid w:val="00D67349"/>
    <w:rsid w:val="00D7201D"/>
    <w:rsid w:val="00D8063C"/>
    <w:rsid w:val="00D835FB"/>
    <w:rsid w:val="00D931B1"/>
    <w:rsid w:val="00DB545B"/>
    <w:rsid w:val="00DB76E2"/>
    <w:rsid w:val="00DD38FD"/>
    <w:rsid w:val="00E01837"/>
    <w:rsid w:val="00E17FE0"/>
    <w:rsid w:val="00E5498E"/>
    <w:rsid w:val="00E564B9"/>
    <w:rsid w:val="00E60420"/>
    <w:rsid w:val="00E75B6C"/>
    <w:rsid w:val="00E800FC"/>
    <w:rsid w:val="00E85F06"/>
    <w:rsid w:val="00EC31AF"/>
    <w:rsid w:val="00EC6687"/>
    <w:rsid w:val="00ED50C4"/>
    <w:rsid w:val="00EF5C2F"/>
    <w:rsid w:val="00F03B3C"/>
    <w:rsid w:val="00F47E4A"/>
    <w:rsid w:val="00F60DE8"/>
    <w:rsid w:val="00F65F5C"/>
    <w:rsid w:val="00FC2772"/>
    <w:rsid w:val="00FD54F7"/>
    <w:rsid w:val="00FE771C"/>
    <w:rsid w:val="00FF0551"/>
    <w:rsid w:val="00FF2EBD"/>
  </w:rsids>
  <m:mathPr>
    <m:mathFont m:val="Cambria Math"/>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8D9DBE0"/>
  <w15:docId w15:val="{7CE2E3DD-09FA-4EA5-ADAD-21C5CC5A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Microsoft Sans Serif" w:hAnsi="Microsoft Sans Serif" w:cs="Microsoft Sans Serif"/>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rPr>
  </w:style>
  <w:style w:type="character" w:styleId="CommentReference">
    <w:name w:val="annotation reference"/>
    <w:basedOn w:val="DefaultParagraphFont"/>
    <w:uiPriority w:val="99"/>
    <w:semiHidden/>
    <w:unhideWhenUsed/>
    <w:rsid w:val="00F65F5C"/>
    <w:rPr>
      <w:sz w:val="16"/>
      <w:szCs w:val="16"/>
    </w:rPr>
  </w:style>
  <w:style w:type="paragraph" w:styleId="CommentText">
    <w:name w:val="annotation text"/>
    <w:basedOn w:val="Normal"/>
    <w:link w:val="CommentTextChar"/>
    <w:uiPriority w:val="99"/>
    <w:unhideWhenUsed/>
    <w:rsid w:val="00F65F5C"/>
    <w:rPr>
      <w:sz w:val="20"/>
      <w:szCs w:val="20"/>
    </w:rPr>
  </w:style>
  <w:style w:type="character" w:customStyle="1" w:styleId="CommentTextChar">
    <w:name w:val="Comment Text Char"/>
    <w:basedOn w:val="DefaultParagraphFont"/>
    <w:link w:val="CommentText"/>
    <w:uiPriority w:val="99"/>
    <w:rsid w:val="00F65F5C"/>
    <w:rPr>
      <w:rFonts w:ascii="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F65F5C"/>
    <w:rPr>
      <w:b/>
      <w:bCs/>
    </w:rPr>
  </w:style>
  <w:style w:type="character" w:customStyle="1" w:styleId="CommentSubjectChar">
    <w:name w:val="Comment Subject Char"/>
    <w:basedOn w:val="CommentTextChar"/>
    <w:link w:val="CommentSubject"/>
    <w:uiPriority w:val="99"/>
    <w:semiHidden/>
    <w:rsid w:val="00F65F5C"/>
    <w:rPr>
      <w:rFonts w:ascii="Microsoft Sans Serif" w:hAnsi="Microsoft Sans Serif" w:cs="Microsoft Sans Serif"/>
      <w:b/>
      <w:bCs/>
      <w:sz w:val="20"/>
      <w:szCs w:val="20"/>
    </w:rPr>
  </w:style>
  <w:style w:type="paragraph" w:styleId="Revision">
    <w:name w:val="Revision"/>
    <w:hidden/>
    <w:uiPriority w:val="99"/>
    <w:semiHidden/>
    <w:rsid w:val="00F65F5C"/>
    <w:pPr>
      <w:spacing w:after="0" w:line="240" w:lineRule="auto"/>
    </w:pPr>
    <w:rPr>
      <w:rFonts w:ascii="Microsoft Sans Serif" w:hAnsi="Microsoft Sans Serif" w:cs="Microsoft Sans Serif"/>
      <w:sz w:val="24"/>
      <w:szCs w:val="24"/>
    </w:rPr>
  </w:style>
  <w:style w:type="paragraph" w:styleId="Header">
    <w:name w:val="header"/>
    <w:basedOn w:val="Normal"/>
    <w:link w:val="HeaderChar"/>
    <w:uiPriority w:val="99"/>
    <w:unhideWhenUsed/>
    <w:rsid w:val="008957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704"/>
    <w:rPr>
      <w:rFonts w:ascii="Microsoft Sans Serif" w:hAnsi="Microsoft Sans Serif" w:cs="Microsoft Sans Serif"/>
      <w:sz w:val="24"/>
      <w:szCs w:val="24"/>
    </w:rPr>
  </w:style>
  <w:style w:type="paragraph" w:styleId="Footer">
    <w:name w:val="footer"/>
    <w:basedOn w:val="Normal"/>
    <w:link w:val="FooterChar"/>
    <w:uiPriority w:val="99"/>
    <w:unhideWhenUsed/>
    <w:rsid w:val="008957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704"/>
    <w:rPr>
      <w:rFonts w:ascii="Microsoft Sans Serif" w:hAnsi="Microsoft Sans Serif" w:cs="Microsoft Sans 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0ACE-72C3-4C36-BFC3-22DDC8D01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594</Words>
  <Characters>3096</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Bradley R. Miliauskas</dc:creator>
  <cp:lastModifiedBy>Bissell, Garrett E</cp:lastModifiedBy>
  <cp:revision>3</cp:revision>
  <cp:lastPrinted>2021-11-02T13:54:00Z</cp:lastPrinted>
  <dcterms:created xsi:type="dcterms:W3CDTF">2025-11-21T17:26:00Z</dcterms:created>
  <dcterms:modified xsi:type="dcterms:W3CDTF">2025-11-21T17:26:00Z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5049dce-8671-4c79-90d7-f6ec79470f4e_ActionId">
    <vt:lpwstr>a4831c63-ea85-431d-870f-67d743a4f816</vt:lpwstr>
  </property>
  <property fmtid="{D5CDD505-2E9C-101B-9397-08002B2CF9AE}" pid="3" name="MSIP_Label_a5049dce-8671-4c79-90d7-f6ec79470f4e_ContentBits">
    <vt:lpwstr>0</vt:lpwstr>
  </property>
  <property fmtid="{D5CDD505-2E9C-101B-9397-08002B2CF9AE}" pid="4" name="MSIP_Label_a5049dce-8671-4c79-90d7-f6ec79470f4e_Enabled">
    <vt:lpwstr>true</vt:lpwstr>
  </property>
  <property fmtid="{D5CDD505-2E9C-101B-9397-08002B2CF9AE}" pid="5" name="MSIP_Label_a5049dce-8671-4c79-90d7-f6ec79470f4e_Method">
    <vt:lpwstr>Privileged</vt:lpwstr>
  </property>
  <property fmtid="{D5CDD505-2E9C-101B-9397-08002B2CF9AE}" pid="6" name="MSIP_Label_a5049dce-8671-4c79-90d7-f6ec79470f4e_Name">
    <vt:lpwstr>Public</vt:lpwstr>
  </property>
  <property fmtid="{D5CDD505-2E9C-101B-9397-08002B2CF9AE}" pid="7" name="MSIP_Label_a5049dce-8671-4c79-90d7-f6ec79470f4e_SetDate">
    <vt:lpwstr>2025-11-21T17:26:19Z</vt:lpwstr>
  </property>
  <property fmtid="{D5CDD505-2E9C-101B-9397-08002B2CF9AE}" pid="8" name="MSIP_Label_a5049dce-8671-4c79-90d7-f6ec79470f4e_SiteId">
    <vt:lpwstr>7658602a-f7b9-4209-bc62-d2bfc30dea0d</vt:lpwstr>
  </property>
  <property fmtid="{D5CDD505-2E9C-101B-9397-08002B2CF9AE}" pid="9" name="MSIP_Label_a5049dce-8671-4c79-90d7-f6ec79470f4e_Tag">
    <vt:lpwstr>10, 0, 1, 1</vt:lpwstr>
  </property>
</Properties>
</file>