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732BB" w:rsidP="00FF08CF" w14:paraId="6558C80A" w14:textId="77777777">
      <w:pPr>
        <w:pStyle w:val="Heading2"/>
        <w:keepNext/>
        <w:pageBreakBefore/>
        <w:widowControl/>
        <w:tabs>
          <w:tab w:val="left" w:pos="1080"/>
        </w:tabs>
        <w:ind w:left="1080" w:right="14" w:hanging="108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6</w:t>
      </w:r>
      <w:r w:rsidR="00272504">
        <w:rPr>
          <w:rFonts w:ascii="Times New Roman" w:hAnsi="Times New Roman" w:cs="Times New Roman"/>
          <w:b/>
          <w:bCs/>
        </w:rPr>
        <w:t>.</w:t>
      </w:r>
      <w:r w:rsidR="009D2164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ab/>
        <w:t xml:space="preserve">Schedule </w:t>
      </w:r>
      <w:r w:rsidR="009D2164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 xml:space="preserve"> - Rate Mechanism for the Recovery of the </w:t>
      </w:r>
      <w:r>
        <w:rPr>
          <w:rFonts w:ascii="Times New Roman" w:hAnsi="Times New Roman" w:cs="Times New Roman"/>
          <w:b/>
          <w:bCs/>
        </w:rPr>
        <w:t xml:space="preserve">CLCPA </w:t>
      </w:r>
      <w:r w:rsidR="00BE7232">
        <w:rPr>
          <w:rFonts w:ascii="Times New Roman" w:hAnsi="Times New Roman" w:cs="Times New Roman"/>
          <w:b/>
          <w:bCs/>
        </w:rPr>
        <w:t>Facilities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Charge</w:t>
      </w:r>
    </w:p>
    <w:p w:rsidR="00FF08CF" w:rsidRPr="00FF08CF" w:rsidP="00FF08CF" w14:paraId="19FF05BF" w14:textId="77777777"/>
    <w:p w:rsidR="004732BB" w:rsidP="000222AC" w14:paraId="678C2941" w14:textId="77777777">
      <w:pPr>
        <w:pStyle w:val="Heading3"/>
        <w:keepNext/>
        <w:keepLines/>
        <w:widowControl/>
        <w:tabs>
          <w:tab w:val="left" w:pos="1080"/>
        </w:tabs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="009D2164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.1</w:t>
      </w:r>
      <w:r>
        <w:rPr>
          <w:rFonts w:ascii="Times New Roman" w:hAnsi="Times New Roman" w:cs="Times New Roman"/>
          <w:b/>
          <w:bCs/>
        </w:rPr>
        <w:tab/>
        <w:t>Applicability</w:t>
      </w:r>
    </w:p>
    <w:p w:rsidR="00FF08CF" w:rsidRPr="00FF08CF" w:rsidP="000222AC" w14:paraId="07179DA6" w14:textId="77777777"/>
    <w:p w:rsidR="004732BB" w:rsidP="000222AC" w14:paraId="3007A686" w14:textId="77777777">
      <w:pPr>
        <w:pStyle w:val="Heading4"/>
        <w:keepNext/>
        <w:widowControl/>
        <w:tabs>
          <w:tab w:val="left" w:pos="1800"/>
        </w:tabs>
        <w:ind w:left="180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="009D2164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.1.1</w:t>
      </w:r>
      <w:r>
        <w:rPr>
          <w:rFonts w:ascii="Times New Roman" w:hAnsi="Times New Roman" w:cs="Times New Roman"/>
          <w:b/>
          <w:bCs/>
        </w:rPr>
        <w:tab/>
      </w:r>
      <w:r w:rsidR="00896B46">
        <w:rPr>
          <w:rFonts w:ascii="Times New Roman" w:hAnsi="Times New Roman" w:cs="Times New Roman"/>
          <w:b/>
          <w:bCs/>
        </w:rPr>
        <w:t>CLCPA Eligible Project</w:t>
      </w:r>
      <w:r>
        <w:rPr>
          <w:rFonts w:ascii="Times New Roman" w:hAnsi="Times New Roman" w:cs="Times New Roman"/>
          <w:b/>
          <w:bCs/>
        </w:rPr>
        <w:t>s</w:t>
      </w:r>
    </w:p>
    <w:p w:rsidR="00FF08CF" w:rsidRPr="00FF08CF" w:rsidP="000222AC" w14:paraId="308C2584" w14:textId="77777777"/>
    <w:p w:rsidR="00BE7232" w:rsidP="002C4498" w14:paraId="0B8813B2" w14:textId="6641538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Schedule establishes the </w:t>
      </w:r>
      <w:r w:rsidR="0012782D">
        <w:rPr>
          <w:rFonts w:ascii="Times New Roman" w:hAnsi="Times New Roman" w:cs="Times New Roman"/>
        </w:rPr>
        <w:t xml:space="preserve">CLCPA </w:t>
      </w:r>
      <w:r>
        <w:rPr>
          <w:rFonts w:ascii="Times New Roman" w:hAnsi="Times New Roman" w:cs="Times New Roman"/>
        </w:rPr>
        <w:t xml:space="preserve">Facilities </w:t>
      </w:r>
      <w:r>
        <w:rPr>
          <w:rFonts w:ascii="Times New Roman" w:hAnsi="Times New Roman" w:cs="Times New Roman"/>
        </w:rPr>
        <w:t>Charge (“</w:t>
      </w:r>
      <w:r w:rsidR="00272504">
        <w:rPr>
          <w:rFonts w:ascii="Times New Roman" w:hAnsi="Times New Roman" w:cs="Times New Roman"/>
        </w:rPr>
        <w:t>CFC Charge</w:t>
      </w:r>
      <w:r>
        <w:rPr>
          <w:rFonts w:ascii="Times New Roman" w:hAnsi="Times New Roman" w:cs="Times New Roman"/>
        </w:rPr>
        <w:t>”</w:t>
      </w:r>
      <w:r w:rsidR="00CF30FF">
        <w:rPr>
          <w:rFonts w:ascii="Times New Roman" w:hAnsi="Times New Roman" w:cs="Times New Roman"/>
        </w:rPr>
        <w:t xml:space="preserve"> or, as it relates to LIPA, a “LIPA CFC Charge”</w:t>
      </w:r>
      <w:r>
        <w:rPr>
          <w:rFonts w:ascii="Times New Roman" w:hAnsi="Times New Roman" w:cs="Times New Roman"/>
        </w:rPr>
        <w:t xml:space="preserve">) for the recovery of the costs of </w:t>
      </w:r>
      <w:r w:rsidR="00826F7E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 w:rsidR="00272504">
        <w:rPr>
          <w:rFonts w:ascii="Times New Roman" w:hAnsi="Times New Roman" w:cs="Times New Roman"/>
        </w:rPr>
        <w:t xml:space="preserve">transmission </w:t>
      </w:r>
      <w:r>
        <w:rPr>
          <w:rFonts w:ascii="Times New Roman" w:hAnsi="Times New Roman" w:cs="Times New Roman"/>
        </w:rPr>
        <w:t xml:space="preserve">project that is eligible for cost recovery in accordance with the </w:t>
      </w:r>
      <w:r w:rsidR="00272504">
        <w:rPr>
          <w:rFonts w:ascii="Times New Roman" w:hAnsi="Times New Roman" w:cs="Times New Roman"/>
        </w:rPr>
        <w:t>Cost Sharing and Recovery Agreement among</w:t>
      </w:r>
      <w:r w:rsidR="00710099">
        <w:rPr>
          <w:rFonts w:ascii="Times New Roman" w:hAnsi="Times New Roman" w:cs="Times New Roman"/>
        </w:rPr>
        <w:t xml:space="preserve"> the Member Systems</w:t>
      </w:r>
      <w:r w:rsidR="00A5009F">
        <w:rPr>
          <w:rFonts w:ascii="Times New Roman" w:hAnsi="Times New Roman" w:cs="Times New Roman"/>
        </w:rPr>
        <w:t>,</w:t>
      </w:r>
      <w:r w:rsidR="00272504">
        <w:rPr>
          <w:rFonts w:ascii="Times New Roman" w:hAnsi="Times New Roman" w:cs="Times New Roman"/>
        </w:rPr>
        <w:t xml:space="preserve"> dated as of </w:t>
      </w:r>
      <w:r w:rsidR="008A0D52">
        <w:rPr>
          <w:rFonts w:ascii="Times New Roman" w:hAnsi="Times New Roman" w:cs="Times New Roman"/>
        </w:rPr>
        <w:t>June 17, 2022</w:t>
      </w:r>
      <w:r w:rsidR="00272504">
        <w:rPr>
          <w:rFonts w:ascii="Times New Roman" w:hAnsi="Times New Roman" w:cs="Times New Roman"/>
        </w:rPr>
        <w:t xml:space="preserve"> (as </w:t>
      </w:r>
      <w:r w:rsidR="008F1789">
        <w:rPr>
          <w:rFonts w:ascii="Times New Roman" w:hAnsi="Times New Roman" w:cs="Times New Roman"/>
        </w:rPr>
        <w:t xml:space="preserve">such agreement </w:t>
      </w:r>
      <w:r w:rsidR="00575167">
        <w:rPr>
          <w:rFonts w:ascii="Times New Roman" w:hAnsi="Times New Roman" w:cs="Times New Roman"/>
        </w:rPr>
        <w:t xml:space="preserve">may be </w:t>
      </w:r>
      <w:r w:rsidR="00272504">
        <w:rPr>
          <w:rFonts w:ascii="Times New Roman" w:hAnsi="Times New Roman" w:cs="Times New Roman"/>
        </w:rPr>
        <w:t>amended, the “CSRA”)</w:t>
      </w:r>
      <w:r>
        <w:rPr>
          <w:rFonts w:ascii="Times New Roman" w:hAnsi="Times New Roman" w:cs="Times New Roman"/>
        </w:rPr>
        <w:t>.</w:t>
      </w:r>
      <w:r w:rsidR="005331B7">
        <w:rPr>
          <w:rFonts w:ascii="Times New Roman" w:hAnsi="Times New Roman" w:cs="Times New Roman"/>
        </w:rPr>
        <w:t xml:space="preserve">  </w:t>
      </w:r>
      <w:r w:rsidR="002C4498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Transmission Owner</w:t>
      </w:r>
      <w:r w:rsidR="002D4E48">
        <w:rPr>
          <w:rFonts w:ascii="Times New Roman" w:hAnsi="Times New Roman" w:cs="Times New Roman"/>
        </w:rPr>
        <w:t xml:space="preserve"> </w:t>
      </w:r>
      <w:r w:rsidR="002C4498">
        <w:rPr>
          <w:rFonts w:ascii="Times New Roman" w:hAnsi="Times New Roman" w:cs="Times New Roman"/>
        </w:rPr>
        <w:t xml:space="preserve">that is a </w:t>
      </w:r>
      <w:r w:rsidR="002D4E48">
        <w:rPr>
          <w:rFonts w:ascii="Times New Roman" w:hAnsi="Times New Roman" w:cs="Times New Roman"/>
        </w:rPr>
        <w:t>signatory to the CSRA</w:t>
      </w:r>
      <w:r w:rsidR="002C4498">
        <w:rPr>
          <w:rFonts w:ascii="Times New Roman" w:hAnsi="Times New Roman" w:cs="Times New Roman"/>
        </w:rPr>
        <w:t xml:space="preserve"> (excluding NYPA but </w:t>
      </w:r>
      <w:r w:rsidR="00CC49FA">
        <w:rPr>
          <w:rFonts w:ascii="Times New Roman" w:hAnsi="Times New Roman" w:cs="Times New Roman"/>
        </w:rPr>
        <w:t xml:space="preserve">including LIPA as </w:t>
      </w:r>
      <w:r w:rsidR="002D0985">
        <w:rPr>
          <w:rFonts w:ascii="Times New Roman" w:hAnsi="Times New Roman" w:cs="Times New Roman"/>
        </w:rPr>
        <w:t xml:space="preserve">an </w:t>
      </w:r>
      <w:r w:rsidR="00816EC0">
        <w:rPr>
          <w:rFonts w:ascii="Times New Roman" w:hAnsi="Times New Roman" w:cs="Times New Roman"/>
        </w:rPr>
        <w:t>“</w:t>
      </w:r>
      <w:r w:rsidR="002D0985">
        <w:rPr>
          <w:rFonts w:ascii="Times New Roman" w:hAnsi="Times New Roman" w:cs="Times New Roman"/>
        </w:rPr>
        <w:t>Unregulated Transmitting Utility</w:t>
      </w:r>
      <w:r w:rsidR="00816EC0">
        <w:rPr>
          <w:rFonts w:ascii="Times New Roman" w:hAnsi="Times New Roman" w:cs="Times New Roman"/>
        </w:rPr>
        <w:t>” as such term is defined in Section 6.10</w:t>
      </w:r>
      <w:r w:rsidR="005D555B">
        <w:rPr>
          <w:rFonts w:ascii="Times New Roman" w:hAnsi="Times New Roman" w:cs="Times New Roman"/>
        </w:rPr>
        <w:t>.1 of Rate Schedule 10 of the ISO OATT</w:t>
      </w:r>
      <w:r w:rsidR="002C4498">
        <w:rPr>
          <w:rFonts w:ascii="Times New Roman" w:hAnsi="Times New Roman" w:cs="Times New Roman"/>
        </w:rPr>
        <w:t xml:space="preserve">) (each referred to herein as </w:t>
      </w:r>
      <w:r w:rsidR="002D4E48">
        <w:rPr>
          <w:rFonts w:ascii="Times New Roman" w:hAnsi="Times New Roman" w:cs="Times New Roman"/>
        </w:rPr>
        <w:t>a</w:t>
      </w:r>
      <w:r w:rsidR="002C4498">
        <w:rPr>
          <w:rFonts w:ascii="Times New Roman" w:hAnsi="Times New Roman" w:cs="Times New Roman"/>
        </w:rPr>
        <w:t>n</w:t>
      </w:r>
      <w:r w:rsidR="002D4E48">
        <w:rPr>
          <w:rFonts w:ascii="Times New Roman" w:hAnsi="Times New Roman" w:cs="Times New Roman"/>
        </w:rPr>
        <w:t xml:space="preserve"> “</w:t>
      </w:r>
      <w:r w:rsidR="002C4498">
        <w:rPr>
          <w:rFonts w:ascii="Times New Roman" w:hAnsi="Times New Roman" w:cs="Times New Roman"/>
        </w:rPr>
        <w:t>Eligible</w:t>
      </w:r>
      <w:r w:rsidR="002D4E48">
        <w:rPr>
          <w:rFonts w:ascii="Times New Roman" w:hAnsi="Times New Roman" w:cs="Times New Roman"/>
        </w:rPr>
        <w:t xml:space="preserve"> Transmission Owner”</w:t>
      </w:r>
      <w:r w:rsidR="00FF08CF">
        <w:rPr>
          <w:rFonts w:ascii="Times New Roman" w:hAnsi="Times New Roman" w:cs="Times New Roman"/>
        </w:rPr>
        <w:t>)</w:t>
      </w:r>
      <w:r w:rsidR="002D0985">
        <w:rPr>
          <w:rFonts w:ascii="Times New Roman" w:hAnsi="Times New Roman" w:cs="Times New Roman"/>
        </w:rPr>
        <w:t xml:space="preserve"> </w:t>
      </w:r>
      <w:r w:rsidR="00750C36">
        <w:rPr>
          <w:rFonts w:ascii="Times New Roman" w:hAnsi="Times New Roman" w:cs="Times New Roman"/>
        </w:rPr>
        <w:t xml:space="preserve">may recover through the </w:t>
      </w:r>
      <w:r w:rsidR="00272504">
        <w:rPr>
          <w:rFonts w:ascii="Times New Roman" w:hAnsi="Times New Roman" w:cs="Times New Roman"/>
        </w:rPr>
        <w:t>applicable CFC Charge</w:t>
      </w:r>
      <w:r>
        <w:rPr>
          <w:rFonts w:ascii="Times New Roman" w:hAnsi="Times New Roman" w:cs="Times New Roman"/>
        </w:rPr>
        <w:t xml:space="preserve"> </w:t>
      </w:r>
      <w:r w:rsidR="00CF30FF">
        <w:rPr>
          <w:rFonts w:ascii="Times New Roman" w:hAnsi="Times New Roman" w:cs="Times New Roman"/>
        </w:rPr>
        <w:t xml:space="preserve">or LIPA CFC Charge </w:t>
      </w:r>
      <w:r>
        <w:rPr>
          <w:rFonts w:ascii="Times New Roman" w:hAnsi="Times New Roman" w:cs="Times New Roman"/>
        </w:rPr>
        <w:t xml:space="preserve">the costs </w:t>
      </w:r>
      <w:r w:rsidR="00F96770">
        <w:rPr>
          <w:rFonts w:ascii="Times New Roman" w:hAnsi="Times New Roman" w:cs="Times New Roman"/>
        </w:rPr>
        <w:t xml:space="preserve">of a transmission project (or portion thereof) </w:t>
      </w:r>
      <w:r>
        <w:rPr>
          <w:rFonts w:ascii="Times New Roman" w:hAnsi="Times New Roman" w:cs="Times New Roman"/>
        </w:rPr>
        <w:t>that it is eligible to recover</w:t>
      </w:r>
      <w:r w:rsidR="00272504">
        <w:rPr>
          <w:rFonts w:ascii="Times New Roman" w:hAnsi="Times New Roman" w:cs="Times New Roman"/>
        </w:rPr>
        <w:t xml:space="preserve"> under the CSRA.</w:t>
      </w:r>
      <w:r w:rsidR="00DD1EF3">
        <w:rPr>
          <w:rFonts w:ascii="Times New Roman" w:hAnsi="Times New Roman" w:cs="Times New Roman"/>
        </w:rPr>
        <w:t xml:space="preserve"> </w:t>
      </w:r>
      <w:r w:rsidR="00A43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purposes of this Schedule, such a transmiss</w:t>
      </w:r>
      <w:r w:rsidR="00896B46">
        <w:rPr>
          <w:rFonts w:ascii="Times New Roman" w:hAnsi="Times New Roman" w:cs="Times New Roman"/>
        </w:rPr>
        <w:t xml:space="preserve">ion project </w:t>
      </w:r>
      <w:r w:rsidR="00F96770">
        <w:rPr>
          <w:rFonts w:ascii="Times New Roman" w:hAnsi="Times New Roman" w:cs="Times New Roman"/>
        </w:rPr>
        <w:t xml:space="preserve">(or portion thereof) </w:t>
      </w:r>
      <w:r w:rsidR="00896B46">
        <w:rPr>
          <w:rFonts w:ascii="Times New Roman" w:hAnsi="Times New Roman" w:cs="Times New Roman"/>
        </w:rPr>
        <w:t>is referred to as a</w:t>
      </w:r>
      <w:r>
        <w:rPr>
          <w:rFonts w:ascii="Times New Roman" w:hAnsi="Times New Roman" w:cs="Times New Roman"/>
        </w:rPr>
        <w:t xml:space="preserve"> “</w:t>
      </w:r>
      <w:r w:rsidR="00896B46"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.”</w:t>
      </w:r>
      <w:r w:rsidR="005331B7">
        <w:rPr>
          <w:rFonts w:ascii="Times New Roman" w:hAnsi="Times New Roman" w:cs="Times New Roman"/>
        </w:rPr>
        <w:t xml:space="preserve">  </w:t>
      </w:r>
      <w:r w:rsidR="002D0985">
        <w:rPr>
          <w:rFonts w:ascii="Times New Roman" w:hAnsi="Times New Roman" w:cs="Times New Roman"/>
        </w:rPr>
        <w:t xml:space="preserve">The costs </w:t>
      </w:r>
      <w:r w:rsidR="00F96770">
        <w:rPr>
          <w:rFonts w:ascii="Times New Roman" w:hAnsi="Times New Roman" w:cs="Times New Roman"/>
        </w:rPr>
        <w:t>of</w:t>
      </w:r>
      <w:r w:rsidR="002D0985">
        <w:rPr>
          <w:rFonts w:ascii="Times New Roman" w:hAnsi="Times New Roman" w:cs="Times New Roman"/>
        </w:rPr>
        <w:t xml:space="preserve"> a</w:t>
      </w:r>
      <w:r w:rsidR="00272504"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 w:rsidR="00272504">
        <w:rPr>
          <w:rFonts w:ascii="Times New Roman" w:hAnsi="Times New Roman" w:cs="Times New Roman"/>
        </w:rPr>
        <w:t xml:space="preserve"> </w:t>
      </w:r>
      <w:r w:rsidR="00F96770">
        <w:rPr>
          <w:rFonts w:ascii="Times New Roman" w:hAnsi="Times New Roman" w:cs="Times New Roman"/>
        </w:rPr>
        <w:t xml:space="preserve">incurred </w:t>
      </w:r>
      <w:r w:rsidR="00272504">
        <w:rPr>
          <w:rFonts w:ascii="Times New Roman" w:hAnsi="Times New Roman" w:cs="Times New Roman"/>
        </w:rPr>
        <w:t>by a</w:t>
      </w:r>
      <w:r w:rsidR="002C4498">
        <w:rPr>
          <w:rFonts w:ascii="Times New Roman" w:hAnsi="Times New Roman" w:cs="Times New Roman"/>
        </w:rPr>
        <w:t xml:space="preserve">n Eligible </w:t>
      </w:r>
      <w:r w:rsidR="00272504">
        <w:rPr>
          <w:rFonts w:ascii="Times New Roman" w:hAnsi="Times New Roman" w:cs="Times New Roman"/>
        </w:rPr>
        <w:t xml:space="preserve">Transmission Owner </w:t>
      </w:r>
      <w:r w:rsidR="00CF30FF">
        <w:rPr>
          <w:rFonts w:ascii="Times New Roman" w:hAnsi="Times New Roman" w:cs="Times New Roman"/>
        </w:rPr>
        <w:t xml:space="preserve">other than LIPA </w:t>
      </w:r>
      <w:r w:rsidR="00272504">
        <w:rPr>
          <w:rFonts w:ascii="Times New Roman" w:hAnsi="Times New Roman" w:cs="Times New Roman"/>
        </w:rPr>
        <w:t>will be billed and collected under a CFC Charge as</w:t>
      </w:r>
      <w:r w:rsidR="008F22AC">
        <w:rPr>
          <w:rFonts w:ascii="Times New Roman" w:hAnsi="Times New Roman" w:cs="Times New Roman"/>
        </w:rPr>
        <w:t xml:space="preserve"> described in Section 6.</w:t>
      </w:r>
      <w:r w:rsidR="009D2164">
        <w:rPr>
          <w:rFonts w:ascii="Times New Roman" w:hAnsi="Times New Roman" w:cs="Times New Roman"/>
        </w:rPr>
        <w:t>19</w:t>
      </w:r>
      <w:r w:rsidR="008F22AC">
        <w:rPr>
          <w:rFonts w:ascii="Times New Roman" w:hAnsi="Times New Roman" w:cs="Times New Roman"/>
        </w:rPr>
        <w:t>.4</w:t>
      </w:r>
      <w:r w:rsidR="005331B7">
        <w:rPr>
          <w:rFonts w:ascii="Times New Roman" w:hAnsi="Times New Roman" w:cs="Times New Roman"/>
        </w:rPr>
        <w:t xml:space="preserve">.  </w:t>
      </w:r>
      <w:r w:rsidR="00896B46">
        <w:rPr>
          <w:rFonts w:ascii="Times New Roman" w:hAnsi="Times New Roman" w:cs="Times New Roman"/>
        </w:rPr>
        <w:t xml:space="preserve">The costs </w:t>
      </w:r>
      <w:r w:rsidR="00F96770">
        <w:rPr>
          <w:rFonts w:ascii="Times New Roman" w:hAnsi="Times New Roman" w:cs="Times New Roman"/>
        </w:rPr>
        <w:t>of</w:t>
      </w:r>
      <w:r w:rsidR="00896B4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</w:t>
      </w:r>
      <w:r w:rsidR="00F96770">
        <w:rPr>
          <w:rFonts w:ascii="Times New Roman" w:hAnsi="Times New Roman" w:cs="Times New Roman"/>
        </w:rPr>
        <w:t xml:space="preserve">incurred </w:t>
      </w:r>
      <w:r>
        <w:rPr>
          <w:rFonts w:ascii="Times New Roman" w:hAnsi="Times New Roman" w:cs="Times New Roman"/>
        </w:rPr>
        <w:t xml:space="preserve">by LIPA will be billed and collected under a LIPA </w:t>
      </w:r>
      <w:r w:rsidR="00272504">
        <w:rPr>
          <w:rFonts w:ascii="Times New Roman" w:hAnsi="Times New Roman" w:cs="Times New Roman"/>
        </w:rPr>
        <w:t>CFC Charge</w:t>
      </w:r>
      <w:r>
        <w:rPr>
          <w:rFonts w:ascii="Times New Roman" w:hAnsi="Times New Roman" w:cs="Times New Roman"/>
        </w:rPr>
        <w:t xml:space="preserve"> as described in Section 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.5.</w:t>
      </w:r>
      <w:r w:rsidR="002C4498">
        <w:rPr>
          <w:rFonts w:ascii="Times New Roman" w:hAnsi="Times New Roman" w:cs="Times New Roman"/>
        </w:rPr>
        <w:t xml:space="preserve">  </w:t>
      </w:r>
    </w:p>
    <w:p w:rsidR="004732BB" w:rsidP="000222AC" w14:paraId="7E6845DD" w14:textId="77777777">
      <w:pPr>
        <w:widowControl/>
        <w:spacing w:line="48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="009D2164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.1.2</w:t>
      </w:r>
      <w:r>
        <w:rPr>
          <w:rFonts w:ascii="Times New Roman" w:hAnsi="Times New Roman" w:cs="Times New Roman"/>
          <w:b/>
          <w:bCs/>
        </w:rPr>
        <w:tab/>
        <w:t xml:space="preserve">Projects Not Eligible for Cost Recovery Through the </w:t>
      </w:r>
      <w:r w:rsidR="00272504">
        <w:rPr>
          <w:rFonts w:ascii="Times New Roman" w:hAnsi="Times New Roman" w:cs="Times New Roman"/>
          <w:b/>
          <w:bCs/>
        </w:rPr>
        <w:t>CFC</w:t>
      </w:r>
      <w:r w:rsidR="00DD1EF3">
        <w:rPr>
          <w:rFonts w:ascii="Times New Roman" w:hAnsi="Times New Roman" w:cs="Times New Roman"/>
          <w:b/>
          <w:bCs/>
        </w:rPr>
        <w:t xml:space="preserve"> Charge</w:t>
      </w:r>
    </w:p>
    <w:p w:rsidR="004732BB" w:rsidP="002C4498" w14:paraId="014D23F4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Schedule does not apply to </w:t>
      </w:r>
      <w:r w:rsidR="00C36885">
        <w:rPr>
          <w:rFonts w:ascii="Times New Roman" w:hAnsi="Times New Roman" w:cs="Times New Roman"/>
        </w:rPr>
        <w:t xml:space="preserve">transmission </w:t>
      </w:r>
      <w:r>
        <w:rPr>
          <w:rFonts w:ascii="Times New Roman" w:hAnsi="Times New Roman" w:cs="Times New Roman"/>
        </w:rPr>
        <w:t xml:space="preserve">projects that are not eligible </w:t>
      </w:r>
      <w:r w:rsidR="002D0985">
        <w:rPr>
          <w:rFonts w:ascii="Times New Roman" w:hAnsi="Times New Roman" w:cs="Times New Roman"/>
        </w:rPr>
        <w:t>under the CSRA</w:t>
      </w:r>
      <w:r>
        <w:rPr>
          <w:rFonts w:ascii="Times New Roman" w:hAnsi="Times New Roman" w:cs="Times New Roman"/>
        </w:rPr>
        <w:t xml:space="preserve"> for cost allocation and recovery </w:t>
      </w:r>
      <w:r w:rsidR="002D0985">
        <w:rPr>
          <w:rFonts w:ascii="Times New Roman" w:hAnsi="Times New Roman" w:cs="Times New Roman"/>
        </w:rPr>
        <w:t>through the applicable CFC Charge</w:t>
      </w:r>
      <w:r w:rsidR="00C36885">
        <w:rPr>
          <w:rFonts w:ascii="Times New Roman" w:hAnsi="Times New Roman" w:cs="Times New Roman"/>
        </w:rPr>
        <w:t xml:space="preserve"> </w:t>
      </w:r>
      <w:r w:rsidR="00B622B9">
        <w:rPr>
          <w:rFonts w:ascii="Times New Roman" w:hAnsi="Times New Roman" w:cs="Times New Roman"/>
        </w:rPr>
        <w:t>or</w:t>
      </w:r>
      <w:r w:rsidR="00C36885">
        <w:rPr>
          <w:rFonts w:ascii="Times New Roman" w:hAnsi="Times New Roman" w:cs="Times New Roman"/>
        </w:rPr>
        <w:t xml:space="preserve"> LIPA CFC Charge</w:t>
      </w:r>
      <w:r w:rsidR="002D0985">
        <w:rPr>
          <w:rFonts w:ascii="Times New Roman" w:hAnsi="Times New Roman" w:cs="Times New Roman"/>
        </w:rPr>
        <w:t>.</w:t>
      </w:r>
      <w:r w:rsidR="002C4498">
        <w:rPr>
          <w:rFonts w:ascii="Times New Roman" w:hAnsi="Times New Roman" w:cs="Times New Roman"/>
        </w:rPr>
        <w:t xml:space="preserve">  In addition, this Schedule shall not </w:t>
      </w:r>
      <w:r w:rsidR="00B25DB4">
        <w:rPr>
          <w:rFonts w:ascii="Times New Roman" w:hAnsi="Times New Roman" w:cs="Times New Roman"/>
        </w:rPr>
        <w:t>apply</w:t>
      </w:r>
      <w:r w:rsidR="002C4498">
        <w:rPr>
          <w:rFonts w:ascii="Times New Roman" w:hAnsi="Times New Roman" w:cs="Times New Roman"/>
        </w:rPr>
        <w:t xml:space="preserve"> to provide cost recovery to NYPA for any transmission projects.</w:t>
      </w:r>
      <w:r>
        <w:rPr>
          <w:rFonts w:ascii="Times New Roman" w:hAnsi="Times New Roman" w:cs="Times New Roman"/>
        </w:rPr>
        <w:t xml:space="preserve"> </w:t>
      </w:r>
    </w:p>
    <w:p w:rsidR="004732BB" w:rsidP="000222AC" w14:paraId="0768F414" w14:textId="77777777">
      <w:pPr>
        <w:pStyle w:val="Heading3"/>
        <w:keepNext/>
        <w:keepLines/>
        <w:widowControl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="009D2164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.2</w:t>
      </w:r>
      <w:r>
        <w:rPr>
          <w:rFonts w:ascii="Times New Roman" w:hAnsi="Times New Roman" w:cs="Times New Roman"/>
          <w:b/>
          <w:bCs/>
        </w:rPr>
        <w:tab/>
        <w:t xml:space="preserve">Revenue Requirement for </w:t>
      </w:r>
      <w:r w:rsidR="00272504">
        <w:rPr>
          <w:rFonts w:ascii="Times New Roman" w:hAnsi="Times New Roman" w:cs="Times New Roman"/>
          <w:b/>
          <w:bCs/>
        </w:rPr>
        <w:t>CFC</w:t>
      </w:r>
      <w:r w:rsidR="00896B46">
        <w:rPr>
          <w:rFonts w:ascii="Times New Roman" w:hAnsi="Times New Roman" w:cs="Times New Roman"/>
          <w:b/>
          <w:bCs/>
        </w:rPr>
        <w:t xml:space="preserve"> Charge</w:t>
      </w:r>
      <w:r w:rsidR="00DD1EF3">
        <w:rPr>
          <w:rFonts w:ascii="Times New Roman" w:hAnsi="Times New Roman" w:cs="Times New Roman"/>
          <w:b/>
          <w:bCs/>
        </w:rPr>
        <w:t xml:space="preserve"> </w:t>
      </w:r>
    </w:p>
    <w:p w:rsidR="00826F7E" w:rsidP="002C4498" w14:paraId="60684BBA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72504">
        <w:rPr>
          <w:rFonts w:ascii="Times New Roman" w:hAnsi="Times New Roman" w:cs="Times New Roman"/>
        </w:rPr>
        <w:t>CFC</w:t>
      </w:r>
      <w:r w:rsidR="00896B46"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 w:rsidR="002A5C4D">
        <w:rPr>
          <w:rFonts w:ascii="Times New Roman" w:hAnsi="Times New Roman" w:cs="Times New Roman"/>
        </w:rPr>
        <w:t xml:space="preserve">for </w:t>
      </w:r>
      <w:r w:rsidR="002C4498">
        <w:rPr>
          <w:rFonts w:ascii="Times New Roman" w:hAnsi="Times New Roman" w:cs="Times New Roman"/>
        </w:rPr>
        <w:t>an Eligible</w:t>
      </w:r>
      <w:r w:rsidR="002D4E48">
        <w:rPr>
          <w:rFonts w:ascii="Times New Roman" w:hAnsi="Times New Roman" w:cs="Times New Roman"/>
        </w:rPr>
        <w:t xml:space="preserve"> </w:t>
      </w:r>
      <w:r w:rsidR="002A5C4D">
        <w:rPr>
          <w:rFonts w:ascii="Times New Roman" w:hAnsi="Times New Roman" w:cs="Times New Roman"/>
        </w:rPr>
        <w:t xml:space="preserve">Transmission Owner other than LIPA </w:t>
      </w:r>
      <w:r w:rsidR="00F345C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LIPA </w:t>
      </w:r>
      <w:r w:rsidR="00272504">
        <w:rPr>
          <w:rFonts w:ascii="Times New Roman" w:hAnsi="Times New Roman" w:cs="Times New Roman"/>
        </w:rPr>
        <w:t>CFC</w:t>
      </w:r>
      <w:r w:rsidR="00896B46"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 w:rsidR="002A5C4D">
        <w:rPr>
          <w:rFonts w:ascii="Times New Roman" w:hAnsi="Times New Roman" w:cs="Times New Roman"/>
        </w:rPr>
        <w:t xml:space="preserve">for LIPA </w:t>
      </w:r>
      <w:r>
        <w:rPr>
          <w:rFonts w:ascii="Times New Roman" w:hAnsi="Times New Roman" w:cs="Times New Roman"/>
        </w:rPr>
        <w:t>shall be calculated in accordance with the f</w:t>
      </w:r>
      <w:r w:rsidR="00896B46">
        <w:rPr>
          <w:rFonts w:ascii="Times New Roman" w:hAnsi="Times New Roman" w:cs="Times New Roman"/>
        </w:rPr>
        <w:t>ormula set forth in Section 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.3 using the revenue requirement of the </w:t>
      </w:r>
      <w:r w:rsidR="00CF044C">
        <w:rPr>
          <w:rFonts w:ascii="Times New Roman" w:hAnsi="Times New Roman" w:cs="Times New Roman"/>
        </w:rPr>
        <w:t xml:space="preserve">individual </w:t>
      </w:r>
      <w:r w:rsidR="002C4498">
        <w:rPr>
          <w:rFonts w:ascii="Times New Roman" w:hAnsi="Times New Roman" w:cs="Times New Roman"/>
        </w:rPr>
        <w:t>Eligible</w:t>
      </w:r>
      <w:r w:rsidR="002D4E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Owner</w:t>
      </w:r>
      <w:r w:rsidR="00A202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necessary to recover the costs of a</w:t>
      </w:r>
      <w:r w:rsidR="00A20225">
        <w:rPr>
          <w:rFonts w:ascii="Times New Roman" w:hAnsi="Times New Roman" w:cs="Times New Roman"/>
        </w:rPr>
        <w:t xml:space="preserve"> CLCPA</w:t>
      </w:r>
      <w:r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Eligible Project</w:t>
      </w:r>
      <w:r w:rsidR="005331B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The revenue requirement to be used in the calculation and recovery of the </w:t>
      </w:r>
      <w:r w:rsidR="00272504"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 xml:space="preserve">Charge </w:t>
      </w:r>
      <w:r w:rsidR="00CF044C">
        <w:rPr>
          <w:rFonts w:ascii="Times New Roman" w:hAnsi="Times New Roman" w:cs="Times New Roman"/>
        </w:rPr>
        <w:t xml:space="preserve">for </w:t>
      </w:r>
      <w:r w:rsidR="002C4498">
        <w:rPr>
          <w:rFonts w:ascii="Times New Roman" w:hAnsi="Times New Roman" w:cs="Times New Roman"/>
        </w:rPr>
        <w:t>an Eligible</w:t>
      </w:r>
      <w:r w:rsidR="002D4E48">
        <w:rPr>
          <w:rFonts w:ascii="Times New Roman" w:hAnsi="Times New Roman" w:cs="Times New Roman"/>
        </w:rPr>
        <w:t xml:space="preserve"> </w:t>
      </w:r>
      <w:r w:rsidR="00CF044C">
        <w:rPr>
          <w:rFonts w:ascii="Times New Roman" w:hAnsi="Times New Roman" w:cs="Times New Roman"/>
        </w:rPr>
        <w:t xml:space="preserve">Transmission Owner </w:t>
      </w:r>
      <w:r w:rsidR="000C5B76">
        <w:rPr>
          <w:rFonts w:ascii="Times New Roman" w:hAnsi="Times New Roman" w:cs="Times New Roman"/>
        </w:rPr>
        <w:t xml:space="preserve">other than LIPA </w:t>
      </w:r>
      <w:r w:rsidR="00CF044C">
        <w:rPr>
          <w:rFonts w:ascii="Times New Roman" w:hAnsi="Times New Roman" w:cs="Times New Roman"/>
        </w:rPr>
        <w:t>is described in Section 6.</w:t>
      </w:r>
      <w:r w:rsidR="009D2164">
        <w:rPr>
          <w:rFonts w:ascii="Times New Roman" w:hAnsi="Times New Roman" w:cs="Times New Roman"/>
        </w:rPr>
        <w:t>19</w:t>
      </w:r>
      <w:r w:rsidR="00CF044C">
        <w:rPr>
          <w:rFonts w:ascii="Times New Roman" w:hAnsi="Times New Roman" w:cs="Times New Roman"/>
        </w:rPr>
        <w:t xml:space="preserve">.4.  The revenue requirement to be used in the calculation and recovery of the </w:t>
      </w:r>
      <w:r w:rsidR="00C36885">
        <w:rPr>
          <w:rFonts w:ascii="Times New Roman" w:hAnsi="Times New Roman" w:cs="Times New Roman"/>
        </w:rPr>
        <w:t xml:space="preserve">LIPA </w:t>
      </w:r>
      <w:r w:rsidR="00CF044C">
        <w:rPr>
          <w:rFonts w:ascii="Times New Roman" w:hAnsi="Times New Roman" w:cs="Times New Roman"/>
        </w:rPr>
        <w:t>CFC Charge for LIPA is described in Section 6.</w:t>
      </w:r>
      <w:r w:rsidR="009D2164">
        <w:rPr>
          <w:rFonts w:ascii="Times New Roman" w:hAnsi="Times New Roman" w:cs="Times New Roman"/>
        </w:rPr>
        <w:t>19</w:t>
      </w:r>
      <w:r w:rsidR="00CF044C">
        <w:rPr>
          <w:rFonts w:ascii="Times New Roman" w:hAnsi="Times New Roman" w:cs="Times New Roman"/>
        </w:rPr>
        <w:t>.5.</w:t>
      </w:r>
    </w:p>
    <w:p w:rsidR="004732BB" w:rsidP="002C4498" w14:paraId="1C2E0736" w14:textId="77777777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="009D2164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.3</w:t>
      </w:r>
      <w:r>
        <w:rPr>
          <w:rFonts w:ascii="Times New Roman" w:hAnsi="Times New Roman" w:cs="Times New Roman"/>
          <w:b/>
          <w:bCs/>
        </w:rPr>
        <w:tab/>
      </w:r>
      <w:r w:rsidR="00A43F0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Calculation and Recovery of </w:t>
      </w:r>
      <w:r w:rsidR="00272504">
        <w:rPr>
          <w:rFonts w:ascii="Times New Roman" w:hAnsi="Times New Roman" w:cs="Times New Roman"/>
          <w:b/>
          <w:bCs/>
        </w:rPr>
        <w:t>CFC</w:t>
      </w:r>
      <w:r w:rsidR="00754111">
        <w:rPr>
          <w:rFonts w:ascii="Times New Roman" w:hAnsi="Times New Roman" w:cs="Times New Roman"/>
          <w:b/>
          <w:bCs/>
        </w:rPr>
        <w:t xml:space="preserve"> Charge</w:t>
      </w:r>
      <w:r>
        <w:rPr>
          <w:rFonts w:ascii="Times New Roman" w:hAnsi="Times New Roman" w:cs="Times New Roman"/>
          <w:b/>
          <w:bCs/>
        </w:rPr>
        <w:t xml:space="preserve"> and Payment of Recovered Revenue</w:t>
      </w:r>
      <w:r w:rsidR="00DD1EF3">
        <w:rPr>
          <w:rFonts w:ascii="Times New Roman" w:hAnsi="Times New Roman" w:cs="Times New Roman"/>
          <w:b/>
          <w:bCs/>
        </w:rPr>
        <w:t xml:space="preserve"> </w:t>
      </w:r>
    </w:p>
    <w:p w:rsidR="00826F7E" w:rsidRPr="00826F7E" w:rsidP="000222AC" w14:paraId="2CD75C50" w14:textId="77777777"/>
    <w:p w:rsidR="004732BB" w:rsidP="002C4498" w14:paraId="5CFD3DA8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.3.1</w:t>
      </w:r>
      <w:r>
        <w:rPr>
          <w:rFonts w:ascii="Times New Roman" w:hAnsi="Times New Roman" w:cs="Times New Roman"/>
        </w:rPr>
        <w:tab/>
      </w:r>
      <w:r w:rsidR="00754111">
        <w:rPr>
          <w:rFonts w:ascii="Times New Roman" w:hAnsi="Times New Roman" w:cs="Times New Roman"/>
        </w:rPr>
        <w:t xml:space="preserve">The costs of each CLCPA Eligible Project shall be allocated </w:t>
      </w:r>
      <w:r w:rsidR="00055677">
        <w:rPr>
          <w:rFonts w:ascii="Times New Roman" w:hAnsi="Times New Roman" w:cs="Times New Roman"/>
        </w:rPr>
        <w:t>on a load ratio share basi</w:t>
      </w:r>
      <w:r w:rsidR="00CF044C">
        <w:rPr>
          <w:rFonts w:ascii="Times New Roman" w:hAnsi="Times New Roman" w:cs="Times New Roman"/>
        </w:rPr>
        <w:t xml:space="preserve">s, calculated </w:t>
      </w:r>
      <w:r w:rsidR="00754111">
        <w:rPr>
          <w:rFonts w:ascii="Times New Roman" w:hAnsi="Times New Roman" w:cs="Times New Roman"/>
        </w:rPr>
        <w:t xml:space="preserve">volumetrically </w:t>
      </w:r>
      <w:r w:rsidR="00CF044C">
        <w:rPr>
          <w:rFonts w:ascii="Times New Roman" w:hAnsi="Times New Roman" w:cs="Times New Roman"/>
        </w:rPr>
        <w:t>based on Actual Energy Withdrawals</w:t>
      </w:r>
      <w:r w:rsidR="00884BA5">
        <w:rPr>
          <w:rFonts w:ascii="Times New Roman" w:hAnsi="Times New Roman" w:cs="Times New Roman"/>
        </w:rPr>
        <w:t xml:space="preserve"> by L</w:t>
      </w:r>
      <w:r w:rsidR="008E556A">
        <w:rPr>
          <w:rFonts w:ascii="Times New Roman" w:hAnsi="Times New Roman" w:cs="Times New Roman"/>
        </w:rPr>
        <w:t>SEs</w:t>
      </w:r>
      <w:r w:rsidR="00884BA5">
        <w:rPr>
          <w:rFonts w:ascii="Times New Roman" w:hAnsi="Times New Roman" w:cs="Times New Roman"/>
        </w:rPr>
        <w:t>, ex</w:t>
      </w:r>
      <w:r w:rsidR="00FF720E">
        <w:rPr>
          <w:rFonts w:ascii="Times New Roman" w:hAnsi="Times New Roman" w:cs="Times New Roman"/>
        </w:rPr>
        <w:t xml:space="preserve">cluding </w:t>
      </w:r>
      <w:r w:rsidR="00884BA5">
        <w:rPr>
          <w:rFonts w:ascii="Times New Roman" w:hAnsi="Times New Roman" w:cs="Times New Roman"/>
        </w:rPr>
        <w:t>Withdrawal Billing Units for Exports and Wheels Through</w:t>
      </w:r>
      <w:r w:rsidR="00754111">
        <w:rPr>
          <w:rFonts w:ascii="Times New Roman" w:hAnsi="Times New Roman" w:cs="Times New Roman"/>
        </w:rPr>
        <w:t>.</w:t>
      </w:r>
      <w:r w:rsidR="005331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</w:t>
      </w:r>
      <w:r w:rsidR="00CD1588">
        <w:rPr>
          <w:rFonts w:ascii="Times New Roman" w:hAnsi="Times New Roman" w:cs="Times New Roman"/>
        </w:rPr>
        <w:t>e ISO will calculate and bill a</w:t>
      </w:r>
      <w:r>
        <w:rPr>
          <w:rFonts w:ascii="Times New Roman" w:hAnsi="Times New Roman" w:cs="Times New Roman"/>
        </w:rPr>
        <w:t xml:space="preserve"> </w:t>
      </w:r>
      <w:r w:rsidR="00272504">
        <w:rPr>
          <w:rFonts w:ascii="Times New Roman" w:hAnsi="Times New Roman" w:cs="Times New Roman"/>
        </w:rPr>
        <w:t>CFC</w:t>
      </w:r>
      <w:r w:rsidR="00CD1588"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 w:rsidR="008E556A">
        <w:rPr>
          <w:rFonts w:ascii="Times New Roman" w:hAnsi="Times New Roman" w:cs="Times New Roman"/>
        </w:rPr>
        <w:t xml:space="preserve">for </w:t>
      </w:r>
      <w:r w:rsidR="002C4498">
        <w:rPr>
          <w:rFonts w:ascii="Times New Roman" w:hAnsi="Times New Roman" w:cs="Times New Roman"/>
        </w:rPr>
        <w:t>an Eligible</w:t>
      </w:r>
      <w:r w:rsidR="002D4E48">
        <w:rPr>
          <w:rFonts w:ascii="Times New Roman" w:hAnsi="Times New Roman" w:cs="Times New Roman"/>
        </w:rPr>
        <w:t xml:space="preserve"> </w:t>
      </w:r>
      <w:r w:rsidR="008E556A">
        <w:rPr>
          <w:rFonts w:ascii="Times New Roman" w:hAnsi="Times New Roman" w:cs="Times New Roman"/>
        </w:rPr>
        <w:t xml:space="preserve">Transmission Owner other than LIPA and a LIPA CFC Charge for LIPA </w:t>
      </w:r>
      <w:r>
        <w:rPr>
          <w:rFonts w:ascii="Times New Roman" w:hAnsi="Times New Roman" w:cs="Times New Roman"/>
        </w:rPr>
        <w:t>in a</w:t>
      </w:r>
      <w:r>
        <w:rPr>
          <w:rFonts w:ascii="Times New Roman" w:hAnsi="Times New Roman" w:cs="Times New Roman"/>
        </w:rPr>
        <w:t>ccordance with this Section 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</w:t>
      </w:r>
      <w:r w:rsidR="00DD1E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ISO shall </w:t>
      </w:r>
      <w:r w:rsidR="008E556A">
        <w:rPr>
          <w:rFonts w:ascii="Times New Roman" w:hAnsi="Times New Roman" w:cs="Times New Roman"/>
        </w:rPr>
        <w:t xml:space="preserve">bill </w:t>
      </w:r>
      <w:r w:rsidR="00055677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 w:rsidR="00272504">
        <w:rPr>
          <w:rFonts w:ascii="Times New Roman" w:hAnsi="Times New Roman" w:cs="Times New Roman"/>
        </w:rPr>
        <w:t>CFC</w:t>
      </w:r>
      <w:r w:rsidR="00CD1588"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 w:rsidR="008E556A">
        <w:rPr>
          <w:rFonts w:ascii="Times New Roman" w:hAnsi="Times New Roman" w:cs="Times New Roman"/>
        </w:rPr>
        <w:t xml:space="preserve">and LIPA CFC Charge </w:t>
      </w:r>
      <w:r w:rsidR="00B1586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CF044C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LSEs</w:t>
      </w:r>
      <w:r w:rsidR="00055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serving Load in the </w:t>
      </w:r>
      <w:r w:rsidR="00F96770">
        <w:rPr>
          <w:rFonts w:ascii="Times New Roman" w:hAnsi="Times New Roman" w:cs="Times New Roman"/>
        </w:rPr>
        <w:t>New York Control Area</w:t>
      </w:r>
      <w:r>
        <w:rPr>
          <w:rFonts w:ascii="Times New Roman" w:hAnsi="Times New Roman" w:cs="Times New Roman"/>
        </w:rPr>
        <w:t xml:space="preserve"> (each a “Responsible LSE”)</w:t>
      </w:r>
      <w:r w:rsidR="008E556A">
        <w:rPr>
          <w:rFonts w:ascii="Times New Roman" w:hAnsi="Times New Roman" w:cs="Times New Roman"/>
        </w:rPr>
        <w:t>.  Responsible LSEs shall pay each CFC Charge and LIPA CFC Charge</w:t>
      </w:r>
      <w:r w:rsidR="00754111">
        <w:rPr>
          <w:rFonts w:ascii="Times New Roman" w:hAnsi="Times New Roman" w:cs="Times New Roman"/>
        </w:rPr>
        <w:t>.</w:t>
      </w:r>
      <w:r w:rsidR="00DD1EF3">
        <w:rPr>
          <w:rFonts w:ascii="Times New Roman" w:hAnsi="Times New Roman" w:cs="Times New Roman"/>
        </w:rPr>
        <w:t xml:space="preserve"> </w:t>
      </w:r>
    </w:p>
    <w:p w:rsidR="004732BB" w:rsidP="002C4498" w14:paraId="7A3332A4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.3.2</w:t>
      </w:r>
      <w:r>
        <w:tab/>
      </w:r>
      <w:r>
        <w:rPr>
          <w:rFonts w:ascii="Times New Roman" w:hAnsi="Times New Roman" w:cs="Times New Roman"/>
        </w:rPr>
        <w:t xml:space="preserve">The revenue requirement established by </w:t>
      </w:r>
      <w:r w:rsidR="002C4498">
        <w:rPr>
          <w:rFonts w:ascii="Times New Roman" w:hAnsi="Times New Roman" w:cs="Times New Roman"/>
        </w:rPr>
        <w:t>an Eligible</w:t>
      </w:r>
      <w:r w:rsidR="002D4E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 w:rsidR="00C91C4D">
        <w:rPr>
          <w:rFonts w:ascii="Times New Roman" w:hAnsi="Times New Roman" w:cs="Times New Roman"/>
        </w:rPr>
        <w:t>pursuant to Section 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.4 and </w:t>
      </w:r>
      <w:r w:rsidR="008D7FF9">
        <w:rPr>
          <w:rFonts w:ascii="Times New Roman" w:hAnsi="Times New Roman" w:cs="Times New Roman"/>
        </w:rPr>
        <w:t xml:space="preserve">by </w:t>
      </w:r>
      <w:r w:rsidR="00C91C4D">
        <w:rPr>
          <w:rFonts w:ascii="Times New Roman" w:hAnsi="Times New Roman" w:cs="Times New Roman"/>
        </w:rPr>
        <w:t xml:space="preserve">LIPA </w:t>
      </w:r>
      <w:r w:rsidR="00750C36">
        <w:rPr>
          <w:rFonts w:ascii="Times New Roman" w:hAnsi="Times New Roman" w:cs="Times New Roman"/>
        </w:rPr>
        <w:t>pursuant to Section 6.</w:t>
      </w:r>
      <w:r w:rsidR="009D2164">
        <w:rPr>
          <w:rFonts w:ascii="Times New Roman" w:hAnsi="Times New Roman" w:cs="Times New Roman"/>
        </w:rPr>
        <w:t>19</w:t>
      </w:r>
      <w:r w:rsidR="00750C36">
        <w:rPr>
          <w:rFonts w:ascii="Times New Roman" w:hAnsi="Times New Roman" w:cs="Times New Roman"/>
        </w:rPr>
        <w:t>.5</w:t>
      </w:r>
      <w:r w:rsidR="00CF0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be the basis for the applicable </w:t>
      </w:r>
      <w:r w:rsidR="00272504"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 w:rsidR="00754111">
        <w:rPr>
          <w:rFonts w:ascii="Times New Roman" w:hAnsi="Times New Roman" w:cs="Times New Roman"/>
        </w:rPr>
        <w:t xml:space="preserve">Charge </w:t>
      </w:r>
      <w:r w:rsidR="00F14CCE">
        <w:rPr>
          <w:rFonts w:ascii="Times New Roman" w:hAnsi="Times New Roman" w:cs="Times New Roman"/>
        </w:rPr>
        <w:t>and LIPA CFC Charge</w:t>
      </w:r>
      <w:r>
        <w:rPr>
          <w:rFonts w:ascii="Times New Roman" w:hAnsi="Times New Roman" w:cs="Times New Roman"/>
        </w:rPr>
        <w:t xml:space="preserve"> that shall be charged by the ISO to each Responsible LSE </w:t>
      </w:r>
      <w:r w:rsidR="008F22AC">
        <w:rPr>
          <w:rFonts w:ascii="Times New Roman" w:hAnsi="Times New Roman" w:cs="Times New Roman"/>
        </w:rPr>
        <w:t>as set forth in Section 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.3.5.</w:t>
      </w:r>
    </w:p>
    <w:p w:rsidR="00826F7E" w:rsidP="002C4498" w14:paraId="192AAAE7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 w:rsidR="00754111">
        <w:rPr>
          <w:rFonts w:ascii="Times New Roman" w:hAnsi="Times New Roman" w:cs="Times New Roman"/>
        </w:rPr>
        <w:t>.3.3</w:t>
      </w:r>
      <w:r w:rsidR="00754111">
        <w:rPr>
          <w:rFonts w:ascii="Times New Roman" w:hAnsi="Times New Roman" w:cs="Times New Roman"/>
        </w:rPr>
        <w:tab/>
        <w:t>Each</w:t>
      </w:r>
      <w:r w:rsidR="004732BB">
        <w:rPr>
          <w:rFonts w:ascii="Times New Roman" w:hAnsi="Times New Roman" w:cs="Times New Roman"/>
        </w:rPr>
        <w:t xml:space="preserve"> </w:t>
      </w:r>
      <w:r w:rsidR="002C4498">
        <w:rPr>
          <w:rFonts w:ascii="Times New Roman" w:hAnsi="Times New Roman" w:cs="Times New Roman"/>
        </w:rPr>
        <w:t>Eligible</w:t>
      </w:r>
      <w:r w:rsidR="002D4E48">
        <w:rPr>
          <w:rFonts w:ascii="Times New Roman" w:hAnsi="Times New Roman" w:cs="Times New Roman"/>
        </w:rPr>
        <w:t xml:space="preserve"> </w:t>
      </w:r>
      <w:r w:rsidR="00195C8B">
        <w:rPr>
          <w:rFonts w:ascii="Times New Roman" w:hAnsi="Times New Roman" w:cs="Times New Roman"/>
        </w:rPr>
        <w:t xml:space="preserve">Transmission Owner </w:t>
      </w:r>
      <w:r w:rsidR="004732BB">
        <w:rPr>
          <w:rFonts w:ascii="Times New Roman" w:hAnsi="Times New Roman" w:cs="Times New Roman"/>
        </w:rPr>
        <w:t xml:space="preserve">shall request Incremental TCCs with respect to </w:t>
      </w:r>
      <w:r w:rsidR="00754111">
        <w:rPr>
          <w:rFonts w:ascii="Times New Roman" w:hAnsi="Times New Roman" w:cs="Times New Roman"/>
        </w:rPr>
        <w:t>its respective</w:t>
      </w:r>
      <w:r w:rsidR="004732BB"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 w:rsidR="00E01D7F">
        <w:rPr>
          <w:rFonts w:ascii="Times New Roman" w:hAnsi="Times New Roman" w:cs="Times New Roman"/>
        </w:rPr>
        <w:t>s</w:t>
      </w:r>
      <w:r w:rsidR="004732BB">
        <w:rPr>
          <w:rFonts w:ascii="Times New Roman" w:hAnsi="Times New Roman" w:cs="Times New Roman"/>
        </w:rPr>
        <w:t xml:space="preserve"> in accordance with the requirements of Section 19.2.4 of Attachment M of the ISO OATT and </w:t>
      </w:r>
      <w:r w:rsidR="0067142D">
        <w:rPr>
          <w:rFonts w:ascii="Times New Roman" w:hAnsi="Times New Roman" w:cs="Times New Roman"/>
        </w:rPr>
        <w:t>accept</w:t>
      </w:r>
      <w:r w:rsidR="004732BB">
        <w:rPr>
          <w:rFonts w:ascii="Times New Roman" w:hAnsi="Times New Roman" w:cs="Times New Roman"/>
        </w:rPr>
        <w:t xml:space="preserve"> any Incremental TCCs to the extent awarded by the ISO pursuant to such request.</w:t>
      </w:r>
      <w:r w:rsidR="005331B7">
        <w:rPr>
          <w:rFonts w:ascii="Times New Roman" w:hAnsi="Times New Roman" w:cs="Times New Roman"/>
        </w:rPr>
        <w:t xml:space="preserve">  </w:t>
      </w:r>
      <w:r w:rsidR="004732BB">
        <w:rPr>
          <w:rFonts w:ascii="Times New Roman" w:hAnsi="Times New Roman" w:cs="Times New Roman"/>
        </w:rPr>
        <w:t>A</w:t>
      </w:r>
      <w:r w:rsidR="00754111">
        <w:rPr>
          <w:rFonts w:ascii="Times New Roman" w:hAnsi="Times New Roman" w:cs="Times New Roman"/>
        </w:rPr>
        <w:t>s it relates solely to</w:t>
      </w:r>
      <w:r w:rsidR="004732BB"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 w:rsidR="00E01D7F">
        <w:rPr>
          <w:rFonts w:ascii="Times New Roman" w:hAnsi="Times New Roman" w:cs="Times New Roman"/>
        </w:rPr>
        <w:t>s</w:t>
      </w:r>
      <w:r w:rsidR="004732BB">
        <w:rPr>
          <w:rFonts w:ascii="Times New Roman" w:hAnsi="Times New Roman" w:cs="Times New Roman"/>
        </w:rPr>
        <w:t xml:space="preserve">, </w:t>
      </w:r>
      <w:r w:rsidR="002C4498">
        <w:rPr>
          <w:rFonts w:ascii="Times New Roman" w:hAnsi="Times New Roman" w:cs="Times New Roman"/>
        </w:rPr>
        <w:t>an Eligible</w:t>
      </w:r>
      <w:r w:rsidR="002D4E48">
        <w:rPr>
          <w:rFonts w:ascii="Times New Roman" w:hAnsi="Times New Roman" w:cs="Times New Roman"/>
        </w:rPr>
        <w:t xml:space="preserve"> </w:t>
      </w:r>
      <w:r w:rsidR="00E01D7F">
        <w:rPr>
          <w:rFonts w:ascii="Times New Roman" w:hAnsi="Times New Roman" w:cs="Times New Roman"/>
        </w:rPr>
        <w:t xml:space="preserve">Transmission Owner </w:t>
      </w:r>
      <w:r w:rsidR="004732BB">
        <w:rPr>
          <w:rFonts w:ascii="Times New Roman" w:hAnsi="Times New Roman" w:cs="Times New Roman"/>
        </w:rPr>
        <w:t xml:space="preserve">shall </w:t>
      </w:r>
      <w:r w:rsidR="00E01A5C">
        <w:rPr>
          <w:rFonts w:ascii="Times New Roman" w:hAnsi="Times New Roman" w:cs="Times New Roman"/>
        </w:rPr>
        <w:t xml:space="preserve">not </w:t>
      </w:r>
      <w:r w:rsidR="004732BB">
        <w:rPr>
          <w:rFonts w:ascii="Times New Roman" w:hAnsi="Times New Roman" w:cs="Times New Roman"/>
        </w:rPr>
        <w:t xml:space="preserve">be </w:t>
      </w:r>
      <w:r w:rsidR="00E01A5C">
        <w:rPr>
          <w:rFonts w:ascii="Times New Roman" w:hAnsi="Times New Roman" w:cs="Times New Roman"/>
        </w:rPr>
        <w:t xml:space="preserve">deemed </w:t>
      </w:r>
      <w:r w:rsidR="004732BB">
        <w:rPr>
          <w:rFonts w:ascii="Times New Roman" w:hAnsi="Times New Roman" w:cs="Times New Roman"/>
        </w:rPr>
        <w:t>a “Transmission Owner” for purposes of Section 20.2.5 or Section 20.3.7 of Attachment N of the ISO OATT and accordingly shall not receive an allocation of Net Congestion Rents under Section 20.2.5 of Attachment N of the ISO OATT or Net Auction Revenues under Section 20.3.7 of Attachment N of the ISO OATT.</w:t>
      </w:r>
      <w:r w:rsidR="00DD1EF3">
        <w:rPr>
          <w:rFonts w:ascii="Times New Roman" w:hAnsi="Times New Roman" w:cs="Times New Roman"/>
        </w:rPr>
        <w:t xml:space="preserve"> </w:t>
      </w:r>
    </w:p>
    <w:p w:rsidR="00826F7E" w:rsidP="002C4498" w14:paraId="14EB13FF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</w:t>
      </w:r>
      <w:r w:rsidR="004732BB">
        <w:rPr>
          <w:rFonts w:ascii="Times New Roman" w:hAnsi="Times New Roman" w:cs="Times New Roman"/>
        </w:rPr>
        <w:t xml:space="preserve"> </w:t>
      </w:r>
      <w:r w:rsidR="002C4498">
        <w:rPr>
          <w:rFonts w:ascii="Times New Roman" w:hAnsi="Times New Roman" w:cs="Times New Roman"/>
        </w:rPr>
        <w:t>Eligible</w:t>
      </w:r>
      <w:r w:rsidR="002D4E48">
        <w:rPr>
          <w:rFonts w:ascii="Times New Roman" w:hAnsi="Times New Roman" w:cs="Times New Roman"/>
        </w:rPr>
        <w:t xml:space="preserve"> </w:t>
      </w:r>
      <w:r w:rsidR="00195C8B">
        <w:rPr>
          <w:rFonts w:ascii="Times New Roman" w:hAnsi="Times New Roman" w:cs="Times New Roman"/>
        </w:rPr>
        <w:t xml:space="preserve">Transmission Owner </w:t>
      </w:r>
      <w:r w:rsidR="00055677">
        <w:rPr>
          <w:rFonts w:ascii="Times New Roman" w:hAnsi="Times New Roman" w:cs="Times New Roman"/>
        </w:rPr>
        <w:t>shall in relation to their respective</w:t>
      </w:r>
      <w:r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 w:rsidR="00055677">
        <w:rPr>
          <w:rFonts w:ascii="Times New Roman" w:hAnsi="Times New Roman" w:cs="Times New Roman"/>
        </w:rPr>
        <w:t>s</w:t>
      </w:r>
      <w:r w:rsidR="004732BB">
        <w:rPr>
          <w:rFonts w:ascii="Times New Roman" w:hAnsi="Times New Roman" w:cs="Times New Roman"/>
        </w:rPr>
        <w:t xml:space="preserve"> exercise its right to obtain and maintain in effect all Incremental TCCs, including temporary Incremental TCCs, to which it has rights under Section 19.2.4 of Attachment M of the ISO OATT and shall take the actions required to do so in accordance with the</w:t>
      </w:r>
      <w:r w:rsidR="00571DB1">
        <w:rPr>
          <w:rFonts w:ascii="Times New Roman" w:hAnsi="Times New Roman" w:cs="Times New Roman"/>
        </w:rPr>
        <w:t xml:space="preserve"> procedures specified therein.</w:t>
      </w:r>
      <w:r w:rsidR="005331B7">
        <w:rPr>
          <w:rFonts w:ascii="Times New Roman" w:hAnsi="Times New Roman" w:cs="Times New Roman"/>
        </w:rPr>
        <w:t xml:space="preserve"> </w:t>
      </w:r>
      <w:r w:rsidR="00BC4A12">
        <w:rPr>
          <w:rFonts w:ascii="Times New Roman" w:hAnsi="Times New Roman" w:cs="Times New Roman"/>
        </w:rPr>
        <w:t xml:space="preserve"> </w:t>
      </w:r>
      <w:r w:rsidR="004732BB">
        <w:rPr>
          <w:rFonts w:ascii="Times New Roman" w:hAnsi="Times New Roman" w:cs="Times New Roman"/>
        </w:rPr>
        <w:t xml:space="preserve">Notwithstanding Sections 19.2.4.7 and 19.2.4.8 of Attachment M of the ISO OATT, Incremental TCCs created and awarded to </w:t>
      </w:r>
      <w:r w:rsidR="002C4498">
        <w:rPr>
          <w:rFonts w:ascii="Times New Roman" w:hAnsi="Times New Roman" w:cs="Times New Roman"/>
        </w:rPr>
        <w:t>an Eligible</w:t>
      </w:r>
      <w:r w:rsidR="002D4E48">
        <w:rPr>
          <w:rFonts w:ascii="Times New Roman" w:hAnsi="Times New Roman" w:cs="Times New Roman"/>
        </w:rPr>
        <w:t xml:space="preserve"> </w:t>
      </w:r>
      <w:r w:rsidR="00195C8B">
        <w:rPr>
          <w:rFonts w:ascii="Times New Roman" w:hAnsi="Times New Roman" w:cs="Times New Roman"/>
        </w:rPr>
        <w:t xml:space="preserve">Transmission Owner </w:t>
      </w:r>
      <w:r w:rsidR="0056741D">
        <w:rPr>
          <w:rFonts w:ascii="Times New Roman" w:hAnsi="Times New Roman" w:cs="Times New Roman"/>
        </w:rPr>
        <w:t>resulting from</w:t>
      </w:r>
      <w:r w:rsidR="008F22AC">
        <w:rPr>
          <w:rFonts w:ascii="Times New Roman" w:hAnsi="Times New Roman" w:cs="Times New Roman"/>
        </w:rPr>
        <w:t xml:space="preserve"> implementation of a</w:t>
      </w:r>
      <w:r w:rsidR="004732BB"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 w:rsidR="004732BB">
        <w:rPr>
          <w:rFonts w:ascii="Times New Roman" w:hAnsi="Times New Roman" w:cs="Times New Roman"/>
        </w:rPr>
        <w:t xml:space="preserve"> shall not be eligible for sale in Secondary Markets</w:t>
      </w:r>
      <w:r w:rsidR="00CF044C">
        <w:rPr>
          <w:rFonts w:ascii="Times New Roman" w:hAnsi="Times New Roman" w:cs="Times New Roman"/>
        </w:rPr>
        <w:t xml:space="preserve"> but </w:t>
      </w:r>
      <w:r w:rsidR="004F02E6">
        <w:rPr>
          <w:rFonts w:ascii="Times New Roman" w:hAnsi="Times New Roman" w:cs="Times New Roman"/>
        </w:rPr>
        <w:t xml:space="preserve">shall be offered by </w:t>
      </w:r>
      <w:r w:rsidR="00F31B3E">
        <w:rPr>
          <w:rFonts w:ascii="Times New Roman" w:hAnsi="Times New Roman" w:cs="Times New Roman"/>
        </w:rPr>
        <w:t>the</w:t>
      </w:r>
      <w:r w:rsidR="004732BB">
        <w:rPr>
          <w:rFonts w:ascii="Times New Roman" w:hAnsi="Times New Roman" w:cs="Times New Roman"/>
        </w:rPr>
        <w:t xml:space="preserve"> </w:t>
      </w:r>
      <w:r w:rsidR="002C4498">
        <w:rPr>
          <w:rFonts w:ascii="Times New Roman" w:hAnsi="Times New Roman" w:cs="Times New Roman"/>
        </w:rPr>
        <w:t>Eligible</w:t>
      </w:r>
      <w:r w:rsidR="00044450">
        <w:rPr>
          <w:rFonts w:ascii="Times New Roman" w:hAnsi="Times New Roman" w:cs="Times New Roman"/>
        </w:rPr>
        <w:t xml:space="preserve"> </w:t>
      </w:r>
      <w:r w:rsidR="00195C8B">
        <w:rPr>
          <w:rFonts w:ascii="Times New Roman" w:hAnsi="Times New Roman" w:cs="Times New Roman"/>
        </w:rPr>
        <w:t xml:space="preserve">Transmission Owner </w:t>
      </w:r>
      <w:r w:rsidR="004732BB">
        <w:rPr>
          <w:rFonts w:ascii="Times New Roman" w:hAnsi="Times New Roman" w:cs="Times New Roman"/>
        </w:rPr>
        <w:t>in all rounds of the six</w:t>
      </w:r>
      <w:r w:rsidR="0056741D">
        <w:rPr>
          <w:rFonts w:ascii="Times New Roman" w:hAnsi="Times New Roman" w:cs="Times New Roman"/>
        </w:rPr>
        <w:t>-</w:t>
      </w:r>
      <w:r w:rsidR="004732BB">
        <w:rPr>
          <w:rFonts w:ascii="Times New Roman" w:hAnsi="Times New Roman" w:cs="Times New Roman"/>
        </w:rPr>
        <w:t>month Sub-Auction of each Centralized TCC Auction conducted by the ISO.</w:t>
      </w:r>
      <w:r w:rsidR="005331B7">
        <w:rPr>
          <w:rFonts w:ascii="Times New Roman" w:hAnsi="Times New Roman" w:cs="Times New Roman"/>
        </w:rPr>
        <w:t xml:space="preserve">  </w:t>
      </w:r>
      <w:r w:rsidR="004732BB">
        <w:rPr>
          <w:rFonts w:ascii="Times New Roman" w:hAnsi="Times New Roman" w:cs="Times New Roman"/>
        </w:rPr>
        <w:t xml:space="preserve">The ISO shall disburse </w:t>
      </w:r>
      <w:r w:rsidR="002C4498">
        <w:rPr>
          <w:rFonts w:ascii="Times New Roman" w:hAnsi="Times New Roman" w:cs="Times New Roman"/>
        </w:rPr>
        <w:t xml:space="preserve">an Eligible </w:t>
      </w:r>
      <w:r w:rsidR="00F31B3E">
        <w:rPr>
          <w:rFonts w:ascii="Times New Roman" w:hAnsi="Times New Roman" w:cs="Times New Roman"/>
        </w:rPr>
        <w:t xml:space="preserve">Transmission Owner </w:t>
      </w:r>
      <w:r w:rsidR="004732BB">
        <w:rPr>
          <w:rFonts w:ascii="Times New Roman" w:hAnsi="Times New Roman" w:cs="Times New Roman"/>
        </w:rPr>
        <w:t>the auction revenues</w:t>
      </w:r>
      <w:r w:rsidR="00F31B3E">
        <w:rPr>
          <w:rFonts w:ascii="Times New Roman" w:hAnsi="Times New Roman" w:cs="Times New Roman"/>
        </w:rPr>
        <w:t xml:space="preserve"> resulting from the sale of its offered Incremental TCCs</w:t>
      </w:r>
      <w:r w:rsidR="00195C8B">
        <w:rPr>
          <w:rFonts w:ascii="Times New Roman" w:hAnsi="Times New Roman" w:cs="Times New Roman"/>
        </w:rPr>
        <w:t>.</w:t>
      </w:r>
      <w:r w:rsidR="0056741D">
        <w:rPr>
          <w:rFonts w:ascii="Times New Roman" w:hAnsi="Times New Roman" w:cs="Times New Roman"/>
        </w:rPr>
        <w:t xml:space="preserve">  </w:t>
      </w:r>
      <w:r w:rsidR="004732BB">
        <w:rPr>
          <w:rFonts w:ascii="Times New Roman" w:hAnsi="Times New Roman" w:cs="Times New Roman"/>
        </w:rPr>
        <w:t xml:space="preserve">The total amount of the auction revenues disbursed to </w:t>
      </w:r>
      <w:r w:rsidR="002C4498">
        <w:rPr>
          <w:rFonts w:ascii="Times New Roman" w:hAnsi="Times New Roman" w:cs="Times New Roman"/>
        </w:rPr>
        <w:t>an Eligible</w:t>
      </w:r>
      <w:r w:rsidR="00044450">
        <w:rPr>
          <w:rFonts w:ascii="Times New Roman" w:hAnsi="Times New Roman" w:cs="Times New Roman"/>
        </w:rPr>
        <w:t xml:space="preserve"> </w:t>
      </w:r>
      <w:r w:rsidR="00195C8B">
        <w:rPr>
          <w:rFonts w:ascii="Times New Roman" w:hAnsi="Times New Roman" w:cs="Times New Roman"/>
        </w:rPr>
        <w:t xml:space="preserve">Transmission Owner </w:t>
      </w:r>
      <w:r w:rsidR="007A014B">
        <w:rPr>
          <w:rFonts w:ascii="Times New Roman" w:hAnsi="Times New Roman" w:cs="Times New Roman"/>
        </w:rPr>
        <w:t>pursuant to this Section 6.</w:t>
      </w:r>
      <w:r w:rsidR="009D2164">
        <w:rPr>
          <w:rFonts w:ascii="Times New Roman" w:hAnsi="Times New Roman" w:cs="Times New Roman"/>
        </w:rPr>
        <w:t>19</w:t>
      </w:r>
      <w:r w:rsidR="004732BB">
        <w:rPr>
          <w:rFonts w:ascii="Times New Roman" w:hAnsi="Times New Roman" w:cs="Times New Roman"/>
        </w:rPr>
        <w:t xml:space="preserve">.3.3 shall be used in the calculation of the </w:t>
      </w:r>
      <w:r w:rsidR="00E01D7F">
        <w:rPr>
          <w:rFonts w:ascii="Times New Roman" w:hAnsi="Times New Roman" w:cs="Times New Roman"/>
        </w:rPr>
        <w:t>C</w:t>
      </w:r>
      <w:r w:rsidR="004732BB">
        <w:rPr>
          <w:rFonts w:ascii="Times New Roman" w:hAnsi="Times New Roman" w:cs="Times New Roman"/>
        </w:rPr>
        <w:t xml:space="preserve">FC </w:t>
      </w:r>
      <w:r w:rsidR="007A014B">
        <w:rPr>
          <w:rFonts w:ascii="Times New Roman" w:hAnsi="Times New Roman" w:cs="Times New Roman"/>
        </w:rPr>
        <w:t xml:space="preserve">Charge </w:t>
      </w:r>
      <w:r w:rsidR="00F31B3E">
        <w:rPr>
          <w:rFonts w:ascii="Times New Roman" w:hAnsi="Times New Roman" w:cs="Times New Roman"/>
        </w:rPr>
        <w:t>and LIPA CFC Charge</w:t>
      </w:r>
      <w:r w:rsidR="007A014B">
        <w:rPr>
          <w:rFonts w:ascii="Times New Roman" w:hAnsi="Times New Roman" w:cs="Times New Roman"/>
        </w:rPr>
        <w:t>, as set forth in Section 6.</w:t>
      </w:r>
      <w:r w:rsidR="009D2164">
        <w:rPr>
          <w:rFonts w:ascii="Times New Roman" w:hAnsi="Times New Roman" w:cs="Times New Roman"/>
        </w:rPr>
        <w:t>19</w:t>
      </w:r>
      <w:r w:rsidR="004732BB">
        <w:rPr>
          <w:rFonts w:ascii="Times New Roman" w:hAnsi="Times New Roman" w:cs="Times New Roman"/>
        </w:rPr>
        <w:t>.3.5.</w:t>
      </w:r>
      <w:r w:rsidR="005331B7">
        <w:rPr>
          <w:rFonts w:ascii="Times New Roman" w:hAnsi="Times New Roman" w:cs="Times New Roman"/>
        </w:rPr>
        <w:t xml:space="preserve">  </w:t>
      </w:r>
      <w:r w:rsidR="004732BB">
        <w:rPr>
          <w:rFonts w:ascii="Times New Roman" w:hAnsi="Times New Roman" w:cs="Times New Roman"/>
        </w:rPr>
        <w:t>Inc</w:t>
      </w:r>
      <w:r w:rsidR="007A014B">
        <w:rPr>
          <w:rFonts w:ascii="Times New Roman" w:hAnsi="Times New Roman" w:cs="Times New Roman"/>
        </w:rPr>
        <w:t>remental TCCs associated with a</w:t>
      </w:r>
      <w:r w:rsidR="004732BB"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 w:rsidR="004732BB">
        <w:rPr>
          <w:rFonts w:ascii="Times New Roman" w:hAnsi="Times New Roman" w:cs="Times New Roman"/>
        </w:rPr>
        <w:t xml:space="preserve"> shall continue to be offered for the duration of the Incremental TCCs, established pursuant to the terms of Attachment M of the ISO OATT.</w:t>
      </w:r>
      <w:r w:rsidR="00DD1EF3">
        <w:rPr>
          <w:rFonts w:ascii="Times New Roman" w:hAnsi="Times New Roman" w:cs="Times New Roman"/>
        </w:rPr>
        <w:t xml:space="preserve"> </w:t>
      </w:r>
    </w:p>
    <w:p w:rsidR="004732BB" w:rsidP="002C4498" w14:paraId="196ADA55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revenue offse</w:t>
      </w:r>
      <w:r w:rsidR="007A014B">
        <w:rPr>
          <w:rFonts w:ascii="Times New Roman" w:hAnsi="Times New Roman" w:cs="Times New Roman"/>
        </w:rPr>
        <w:t>t discussed in this Section 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.3.3 shall commence upon the first payment of revenues related to Incremental TCCs associat</w:t>
      </w:r>
      <w:r w:rsidR="00F14CCE">
        <w:rPr>
          <w:rFonts w:ascii="Times New Roman" w:hAnsi="Times New Roman" w:cs="Times New Roman"/>
        </w:rPr>
        <w:t>ed with the implementation of a</w:t>
      </w:r>
      <w:r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on or after the date the </w:t>
      </w:r>
      <w:r w:rsidR="00195C8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FC</w:t>
      </w:r>
      <w:r w:rsidR="008F22AC"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 w:rsidR="00F31B3E">
        <w:rPr>
          <w:rFonts w:ascii="Times New Roman" w:hAnsi="Times New Roman" w:cs="Times New Roman"/>
        </w:rPr>
        <w:t xml:space="preserve">or LIPA CFC Charge </w:t>
      </w:r>
      <w:r>
        <w:rPr>
          <w:rFonts w:ascii="Times New Roman" w:hAnsi="Times New Roman" w:cs="Times New Roman"/>
        </w:rPr>
        <w:t>is implemented.</w:t>
      </w:r>
      <w:r w:rsidR="005331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</w:t>
      </w:r>
      <w:r w:rsidR="00195C8B">
        <w:rPr>
          <w:rFonts w:ascii="Times New Roman" w:hAnsi="Times New Roman" w:cs="Times New Roman"/>
        </w:rPr>
        <w:t>C</w:t>
      </w:r>
      <w:r w:rsidR="007A014B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C</w:t>
      </w:r>
      <w:r w:rsidR="007A014B"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 w:rsidR="00DA150E">
        <w:rPr>
          <w:rFonts w:ascii="Times New Roman" w:hAnsi="Times New Roman" w:cs="Times New Roman"/>
        </w:rPr>
        <w:t>and</w:t>
      </w:r>
      <w:r w:rsidR="00373801">
        <w:rPr>
          <w:rFonts w:ascii="Times New Roman" w:hAnsi="Times New Roman" w:cs="Times New Roman"/>
        </w:rPr>
        <w:t xml:space="preserve"> LIPA CFC Charge </w:t>
      </w:r>
      <w:r>
        <w:rPr>
          <w:rFonts w:ascii="Times New Roman" w:hAnsi="Times New Roman" w:cs="Times New Roman"/>
        </w:rPr>
        <w:t>and the revenue offset related to Incremental TCCs associat</w:t>
      </w:r>
      <w:r w:rsidR="00F14CCE">
        <w:rPr>
          <w:rFonts w:ascii="Times New Roman" w:hAnsi="Times New Roman" w:cs="Times New Roman"/>
        </w:rPr>
        <w:t>ed with the implementation of a</w:t>
      </w:r>
      <w:r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not require and shall not be dependent upon a reopening or review of</w:t>
      </w:r>
      <w:r w:rsidR="00E01D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2C4498">
        <w:rPr>
          <w:rFonts w:ascii="Times New Roman" w:hAnsi="Times New Roman" w:cs="Times New Roman"/>
        </w:rPr>
        <w:t>Eligible</w:t>
      </w:r>
      <w:r w:rsidR="00044450">
        <w:rPr>
          <w:rFonts w:ascii="Times New Roman" w:hAnsi="Times New Roman" w:cs="Times New Roman"/>
        </w:rPr>
        <w:t xml:space="preserve"> </w:t>
      </w:r>
      <w:r w:rsidR="00E01D7F">
        <w:rPr>
          <w:rFonts w:ascii="Times New Roman" w:hAnsi="Times New Roman" w:cs="Times New Roman"/>
        </w:rPr>
        <w:t>Transmission Owner’s or LIPA</w:t>
      </w:r>
      <w:r>
        <w:rPr>
          <w:rFonts w:ascii="Times New Roman" w:hAnsi="Times New Roman" w:cs="Times New Roman"/>
        </w:rPr>
        <w:t xml:space="preserve">’s revenue requirements for </w:t>
      </w:r>
      <w:r w:rsidR="00E01D7F">
        <w:rPr>
          <w:rFonts w:ascii="Times New Roman" w:hAnsi="Times New Roman" w:cs="Times New Roman"/>
        </w:rPr>
        <w:t xml:space="preserve">(i) </w:t>
      </w:r>
      <w:r>
        <w:rPr>
          <w:rFonts w:ascii="Times New Roman" w:hAnsi="Times New Roman" w:cs="Times New Roman"/>
        </w:rPr>
        <w:t xml:space="preserve">the </w:t>
      </w:r>
      <w:r w:rsidR="00E01D7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FC </w:t>
      </w:r>
      <w:r w:rsidR="008F22AC">
        <w:rPr>
          <w:rFonts w:ascii="Times New Roman" w:hAnsi="Times New Roman" w:cs="Times New Roman"/>
        </w:rPr>
        <w:t xml:space="preserve">Charge </w:t>
      </w:r>
      <w:r w:rsidR="00373801">
        <w:rPr>
          <w:rFonts w:ascii="Times New Roman" w:hAnsi="Times New Roman" w:cs="Times New Roman"/>
        </w:rPr>
        <w:t xml:space="preserve">or LIPA CFC Charge </w:t>
      </w:r>
      <w:r w:rsidR="008F22AC">
        <w:rPr>
          <w:rFonts w:ascii="Times New Roman" w:hAnsi="Times New Roman" w:cs="Times New Roman"/>
        </w:rPr>
        <w:t xml:space="preserve">for </w:t>
      </w:r>
      <w:r w:rsidR="00E01D7F">
        <w:rPr>
          <w:rFonts w:ascii="Times New Roman" w:hAnsi="Times New Roman" w:cs="Times New Roman"/>
        </w:rPr>
        <w:t xml:space="preserve">any other </w:t>
      </w:r>
      <w:r w:rsidR="00896B46">
        <w:rPr>
          <w:rFonts w:ascii="Times New Roman" w:hAnsi="Times New Roman" w:cs="Times New Roman"/>
        </w:rPr>
        <w:t>CLCPA Eligible Project</w:t>
      </w:r>
      <w:r w:rsidR="008F22AC">
        <w:rPr>
          <w:rFonts w:ascii="Times New Roman" w:hAnsi="Times New Roman" w:cs="Times New Roman"/>
        </w:rPr>
        <w:t xml:space="preserve"> pursuant to this Section 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of the ISO OATT, (ii) </w:t>
      </w:r>
      <w:r w:rsidR="008F22AC">
        <w:rPr>
          <w:rFonts w:ascii="Times New Roman" w:hAnsi="Times New Roman" w:cs="Times New Roman"/>
        </w:rPr>
        <w:t xml:space="preserve">the revenue requirement for </w:t>
      </w:r>
      <w:r>
        <w:rPr>
          <w:rFonts w:ascii="Times New Roman" w:hAnsi="Times New Roman" w:cs="Times New Roman"/>
        </w:rPr>
        <w:t xml:space="preserve">charges set forth in another rate schedule of the ISO OATT, or (iii) the </w:t>
      </w:r>
      <w:r w:rsidR="008F22AC">
        <w:rPr>
          <w:rFonts w:ascii="Times New Roman" w:hAnsi="Times New Roman" w:cs="Times New Roman"/>
        </w:rPr>
        <w:t xml:space="preserve">revenue requirement for the </w:t>
      </w:r>
      <w:r>
        <w:rPr>
          <w:rFonts w:ascii="Times New Roman" w:hAnsi="Times New Roman" w:cs="Times New Roman"/>
        </w:rPr>
        <w:t>TSCs set forth in Attachment H of the ISO OATT.</w:t>
      </w:r>
      <w:r w:rsidR="00DD1EF3">
        <w:rPr>
          <w:rFonts w:ascii="Times New Roman" w:hAnsi="Times New Roman" w:cs="Times New Roman"/>
        </w:rPr>
        <w:t xml:space="preserve"> </w:t>
      </w:r>
    </w:p>
    <w:p w:rsidR="004732BB" w:rsidP="002C4498" w14:paraId="3346A74D" w14:textId="77777777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.3.3.1</w:t>
      </w:r>
      <w:r>
        <w:rPr>
          <w:rFonts w:ascii="Times New Roman" w:hAnsi="Times New Roman" w:cs="Times New Roman"/>
        </w:rPr>
        <w:tab/>
        <w:t xml:space="preserve">With respect to </w:t>
      </w:r>
      <w:r w:rsidR="00896B46">
        <w:rPr>
          <w:rFonts w:ascii="Times New Roman" w:hAnsi="Times New Roman" w:cs="Times New Roman"/>
        </w:rPr>
        <w:t>CLCPA Eligible Project</w:t>
      </w:r>
      <w:r w:rsidR="00E01D7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only, </w:t>
      </w:r>
      <w:r w:rsidR="002C4498">
        <w:rPr>
          <w:rFonts w:ascii="Times New Roman" w:hAnsi="Times New Roman" w:cs="Times New Roman"/>
        </w:rPr>
        <w:t>an Eligible</w:t>
      </w:r>
      <w:r w:rsidR="00044450">
        <w:rPr>
          <w:rFonts w:ascii="Times New Roman" w:hAnsi="Times New Roman" w:cs="Times New Roman"/>
        </w:rPr>
        <w:t xml:space="preserve"> </w:t>
      </w:r>
      <w:r w:rsidR="00E01D7F"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shall not be charged O/R-t-S Congestion Rent Shortfall Charges, U/D Congestion Rent Shortfall Charges, O/R-t-S Auction Revenue Shortfall Charges or U/D Auction Revenue Shortfall Charges or be paid O/R-t-S Congestion Rent Surplus Payments, U/D Congestion Rent Surplus Payments, O/R-t-S Auction Revenue Surplus Payments or U/D Auction Revenue Surplus Payments under Section 20.2.4 and Section 20.3.6 o</w:t>
      </w:r>
      <w:r w:rsidR="0072283E">
        <w:rPr>
          <w:rFonts w:ascii="Times New Roman" w:hAnsi="Times New Roman" w:cs="Times New Roman"/>
        </w:rPr>
        <w:t>f Attachment N of the ISO OATT.</w:t>
      </w:r>
      <w:r w:rsidR="00DD1E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Outage charges related to any Incrementa</w:t>
      </w:r>
      <w:r w:rsidR="00176E31">
        <w:rPr>
          <w:rFonts w:ascii="Times New Roman" w:hAnsi="Times New Roman" w:cs="Times New Roman"/>
        </w:rPr>
        <w:t>l TCCs awarded by the ISO for a</w:t>
      </w:r>
      <w:r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be assessed to the </w:t>
      </w:r>
      <w:r w:rsidR="002C4498">
        <w:rPr>
          <w:rFonts w:ascii="Times New Roman" w:hAnsi="Times New Roman" w:cs="Times New Roman"/>
        </w:rPr>
        <w:t>Eligible</w:t>
      </w:r>
      <w:r w:rsidR="00044450">
        <w:rPr>
          <w:rFonts w:ascii="Times New Roman" w:hAnsi="Times New Roman" w:cs="Times New Roman"/>
        </w:rPr>
        <w:t xml:space="preserve"> </w:t>
      </w:r>
      <w:r w:rsidR="008F22AC">
        <w:rPr>
          <w:rFonts w:ascii="Times New Roman" w:hAnsi="Times New Roman" w:cs="Times New Roman"/>
        </w:rPr>
        <w:t>Transmission Owner</w:t>
      </w:r>
      <w:r>
        <w:rPr>
          <w:rFonts w:ascii="Times New Roman" w:hAnsi="Times New Roman" w:cs="Times New Roman"/>
        </w:rPr>
        <w:t xml:space="preserve">, and payable by the </w:t>
      </w:r>
      <w:r w:rsidR="002C4498">
        <w:rPr>
          <w:rFonts w:ascii="Times New Roman" w:hAnsi="Times New Roman" w:cs="Times New Roman"/>
        </w:rPr>
        <w:t>Eligible</w:t>
      </w:r>
      <w:r w:rsidR="00044450">
        <w:rPr>
          <w:rFonts w:ascii="Times New Roman" w:hAnsi="Times New Roman" w:cs="Times New Roman"/>
        </w:rPr>
        <w:t xml:space="preserve"> </w:t>
      </w:r>
      <w:r w:rsidR="008F22AC"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to the ISO, pursuant to Section 19.2.4</w:t>
      </w:r>
      <w:r w:rsidR="00B15864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 xml:space="preserve"> of Attachment M of the ISO OATT for an Expander not subject to Section 20.2.5 of Attachment N of the ISO OATT.</w:t>
      </w:r>
      <w:r>
        <w:rPr>
          <w:rFonts w:ascii="Times New Roman" w:hAnsi="Times New Roman" w:cs="Times New Roman"/>
        </w:rPr>
        <w:tab/>
      </w:r>
    </w:p>
    <w:p w:rsidR="004732BB" w:rsidP="002C4498" w14:paraId="388D0632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.3.4</w:t>
      </w:r>
      <w:r>
        <w:rPr>
          <w:rFonts w:ascii="Times New Roman" w:hAnsi="Times New Roman" w:cs="Times New Roman"/>
        </w:rPr>
        <w:tab/>
        <w:t xml:space="preserve">The billing units for the </w:t>
      </w:r>
      <w:r w:rsidR="00272504"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 w:rsidR="0072283E">
        <w:rPr>
          <w:rFonts w:ascii="Times New Roman" w:hAnsi="Times New Roman" w:cs="Times New Roman"/>
        </w:rPr>
        <w:t xml:space="preserve">Charge </w:t>
      </w:r>
      <w:r w:rsidR="00B15864">
        <w:rPr>
          <w:rFonts w:ascii="Times New Roman" w:hAnsi="Times New Roman" w:cs="Times New Roman"/>
        </w:rPr>
        <w:t>and LIPA CFC Charge</w:t>
      </w:r>
      <w:r>
        <w:rPr>
          <w:rFonts w:ascii="Times New Roman" w:hAnsi="Times New Roman" w:cs="Times New Roman"/>
        </w:rPr>
        <w:t xml:space="preserve"> for the Billing Period shall be based on the Actual Energy Withdrawals</w:t>
      </w:r>
      <w:r w:rsidR="00B15864">
        <w:rPr>
          <w:rFonts w:ascii="Times New Roman" w:hAnsi="Times New Roman" w:cs="Times New Roman"/>
        </w:rPr>
        <w:t>, exc</w:t>
      </w:r>
      <w:r w:rsidR="00A375CE">
        <w:rPr>
          <w:rFonts w:ascii="Times New Roman" w:hAnsi="Times New Roman" w:cs="Times New Roman"/>
        </w:rPr>
        <w:t>luding</w:t>
      </w:r>
      <w:r w:rsidR="00B15864">
        <w:rPr>
          <w:rFonts w:ascii="Times New Roman" w:hAnsi="Times New Roman" w:cs="Times New Roman"/>
        </w:rPr>
        <w:t xml:space="preserve"> Withdrawal Billing Units for Exports and Wheels Through, of the Responsible LSEs</w:t>
      </w:r>
      <w:r>
        <w:rPr>
          <w:rFonts w:ascii="Times New Roman" w:hAnsi="Times New Roman" w:cs="Times New Roman"/>
        </w:rPr>
        <w:t>.</w:t>
      </w:r>
    </w:p>
    <w:p w:rsidR="004732BB" w:rsidP="000222AC" w14:paraId="1533821C" w14:textId="77777777">
      <w:pPr>
        <w:pStyle w:val="Heading4"/>
        <w:keepNext/>
        <w:widowControl/>
        <w:tabs>
          <w:tab w:val="left" w:pos="1800"/>
        </w:tabs>
        <w:ind w:left="180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="009D2164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.3.5</w:t>
      </w:r>
      <w:r>
        <w:rPr>
          <w:rFonts w:ascii="Times New Roman" w:hAnsi="Times New Roman" w:cs="Times New Roman"/>
          <w:b/>
          <w:bCs/>
        </w:rPr>
        <w:tab/>
        <w:t>Cost Recovery Methodology</w:t>
      </w:r>
    </w:p>
    <w:p w:rsidR="00AC457C" w:rsidRPr="00AC457C" w14:paraId="74132CC2" w14:textId="77777777"/>
    <w:p w:rsidR="00915406" w:rsidRPr="00832D9B" w:rsidP="002C4498" w14:paraId="1EA8FE59" w14:textId="77777777">
      <w:pPr>
        <w:widowControl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32D9B">
        <w:rPr>
          <w:rFonts w:ascii="Times New Roman" w:eastAsia="Times New Roman" w:hAnsi="Times New Roman" w:cs="Times New Roman"/>
        </w:rPr>
        <w:t xml:space="preserve">The ISO shall calculate a CFC </w:t>
      </w:r>
      <w:r w:rsidR="00055677">
        <w:rPr>
          <w:rFonts w:ascii="Times New Roman" w:eastAsia="Times New Roman" w:hAnsi="Times New Roman" w:cs="Times New Roman"/>
        </w:rPr>
        <w:t>C</w:t>
      </w:r>
      <w:r w:rsidRPr="00832D9B">
        <w:rPr>
          <w:rFonts w:ascii="Times New Roman" w:eastAsia="Times New Roman" w:hAnsi="Times New Roman" w:cs="Times New Roman"/>
        </w:rPr>
        <w:t>harge</w:t>
      </w:r>
      <w:r>
        <w:rPr>
          <w:rFonts w:ascii="Times New Roman" w:eastAsia="Times New Roman" w:hAnsi="Times New Roman" w:cs="Times New Roman"/>
        </w:rPr>
        <w:t xml:space="preserve"> </w:t>
      </w:r>
      <w:r w:rsidR="00B15864">
        <w:rPr>
          <w:rFonts w:ascii="Times New Roman" w:eastAsia="Times New Roman" w:hAnsi="Times New Roman" w:cs="Times New Roman"/>
        </w:rPr>
        <w:t xml:space="preserve">or LIPA CFC Charge, as applicable, </w:t>
      </w:r>
      <w:r w:rsidRPr="00832D9B">
        <w:rPr>
          <w:rFonts w:ascii="Times New Roman" w:eastAsia="Times New Roman" w:hAnsi="Times New Roman" w:cs="Times New Roman"/>
        </w:rPr>
        <w:t xml:space="preserve">for </w:t>
      </w:r>
      <w:r w:rsidR="00B15864">
        <w:rPr>
          <w:rFonts w:ascii="Times New Roman" w:eastAsia="Times New Roman" w:hAnsi="Times New Roman" w:cs="Times New Roman"/>
        </w:rPr>
        <w:t xml:space="preserve">the </w:t>
      </w:r>
      <w:r w:rsidR="00B15864">
        <w:rPr>
          <w:rFonts w:ascii="Times New Roman" w:hAnsi="Times New Roman" w:cs="Times New Roman"/>
        </w:rPr>
        <w:t>CLCPA Eligible Project</w:t>
      </w:r>
      <w:r w:rsidR="00A804C7">
        <w:rPr>
          <w:rFonts w:ascii="Times New Roman" w:hAnsi="Times New Roman" w:cs="Times New Roman"/>
        </w:rPr>
        <w:t>(</w:t>
      </w:r>
      <w:r w:rsidR="00B15864">
        <w:rPr>
          <w:rFonts w:ascii="Times New Roman" w:hAnsi="Times New Roman" w:cs="Times New Roman"/>
        </w:rPr>
        <w:t>s</w:t>
      </w:r>
      <w:r w:rsidR="00A804C7">
        <w:rPr>
          <w:rFonts w:ascii="Times New Roman" w:hAnsi="Times New Roman" w:cs="Times New Roman"/>
        </w:rPr>
        <w:t>)</w:t>
      </w:r>
      <w:r w:rsidR="00B15864">
        <w:rPr>
          <w:rFonts w:ascii="Times New Roman" w:hAnsi="Times New Roman" w:cs="Times New Roman"/>
        </w:rPr>
        <w:t xml:space="preserve"> of each </w:t>
      </w:r>
      <w:r w:rsidR="002C4498">
        <w:rPr>
          <w:rFonts w:ascii="Times New Roman" w:hAnsi="Times New Roman" w:cs="Times New Roman"/>
        </w:rPr>
        <w:t>Eligible</w:t>
      </w:r>
      <w:r w:rsidR="00044450">
        <w:rPr>
          <w:rFonts w:ascii="Times New Roman" w:hAnsi="Times New Roman" w:cs="Times New Roman"/>
        </w:rPr>
        <w:t xml:space="preserve"> </w:t>
      </w:r>
      <w:r w:rsidR="00B15864">
        <w:rPr>
          <w:rFonts w:ascii="Times New Roman" w:hAnsi="Times New Roman" w:cs="Times New Roman"/>
        </w:rPr>
        <w:t xml:space="preserve">Transmission Owner that will be </w:t>
      </w:r>
      <w:r w:rsidR="00FC3517">
        <w:rPr>
          <w:rFonts w:ascii="Times New Roman" w:hAnsi="Times New Roman" w:cs="Times New Roman"/>
        </w:rPr>
        <w:t xml:space="preserve">applicable </w:t>
      </w:r>
      <w:r w:rsidR="00B15864">
        <w:rPr>
          <w:rFonts w:ascii="Times New Roman" w:hAnsi="Times New Roman" w:cs="Times New Roman"/>
        </w:rPr>
        <w:t xml:space="preserve">to </w:t>
      </w:r>
      <w:r w:rsidRPr="00832D9B">
        <w:rPr>
          <w:rFonts w:ascii="Times New Roman" w:eastAsia="Times New Roman" w:hAnsi="Times New Roman" w:cs="Times New Roman"/>
        </w:rPr>
        <w:t>each Responsible LSE</w:t>
      </w:r>
      <w:r w:rsidR="008E3A1F">
        <w:rPr>
          <w:rFonts w:ascii="Times New Roman" w:eastAsia="Times New Roman" w:hAnsi="Times New Roman" w:cs="Times New Roman"/>
        </w:rPr>
        <w:t xml:space="preserve"> as follows:</w:t>
      </w:r>
    </w:p>
    <w:p w:rsidR="00A804C7" w14:paraId="54325726" w14:textId="77777777">
      <w:pPr>
        <w:rPr>
          <w:rFonts w:ascii="Times New Roman" w:eastAsia="Calibri" w:hAnsi="Times New Roman" w:cs="Times New Roman"/>
          <w:color w:val="000000"/>
          <w:sz w:val="20"/>
        </w:rPr>
      </w:pPr>
    </w:p>
    <w:p w:rsidR="008E3A1F" w14:paraId="2A463D33" w14:textId="77777777">
      <m:oMathPara>
        <m:oMath>
          <m:sSub>
            <m:sSubPr>
              <m:ctrlPr>
                <w:rPr>
                  <w:rFonts w:ascii="Cambria Math" w:hAnsi="Cambria Math" w:cs="Helv"/>
                  <w:color w:val="000000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Helv"/>
                  <w:color w:val="000000"/>
                  <w:sz w:val="20"/>
                </w:rPr>
                <m:t>Charge</m:t>
              </m:r>
            </m:e>
            <m:sub>
              <m:r>
                <m:rPr>
                  <m:sty m:val="p"/>
                </m:rPr>
                <w:rPr>
                  <w:rFonts w:ascii="Cambria Math" w:hAnsi="Cambria Math" w:cs="Helv"/>
                  <w:color w:val="000000"/>
                  <w:sz w:val="20"/>
                </w:rPr>
                <m:t>B,L,P</m:t>
              </m:r>
            </m:sub>
          </m:sSub>
          <m:r>
            <m:rPr>
              <m:sty m:val="p"/>
            </m:rPr>
            <w:rPr>
              <w:rFonts w:ascii="Cambria Math" w:hAnsi="Cambria Math" w:cs="Helv"/>
              <w:color w:val="000000"/>
              <w:sz w:val="20"/>
            </w:rPr>
            <m:t>=</m:t>
          </m:r>
          <m:d>
            <m:dPr>
              <m:ctrlPr>
                <w:rPr>
                  <w:rFonts w:ascii="Cambria Math" w:hAnsi="Cambria Math" w:cs="Helv"/>
                  <w:color w:val="000000"/>
                  <w:sz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AnnualRR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P,B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Helv"/>
                  <w:color w:val="000000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IncrementalTransmissionRightsRevenue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P,B</m:t>
                  </m:r>
                </m:sub>
              </m:sSub>
              <m:r>
                <w:rPr>
                  <w:rFonts w:ascii="Cambria Math" w:hAnsi="Cambria Math" w:cs="Helv"/>
                  <w:color w:val="000000"/>
                  <w:sz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OutageCostAdjustment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P,B</m:t>
                  </m:r>
                </m:sub>
              </m:sSub>
            </m:e>
          </m:d>
          <m:r>
            <w:rPr>
              <w:rFonts w:ascii="Cambria Math" w:hAnsi="Cambria Math" w:cs="Helv"/>
              <w:color w:val="000000"/>
              <w:sz w:val="20"/>
            </w:rPr>
            <m:t>×</m:t>
          </m:r>
          <m:d>
            <m:dPr>
              <m:ctrlPr>
                <w:rPr>
                  <w:rFonts w:ascii="Cambria Math" w:hAnsi="Cambria Math" w:cs="Helv"/>
                  <w:i/>
                  <w:color w:val="000000"/>
                  <w:sz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LSEWithrawalUnits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L,B</m:t>
                  </m:r>
                </m:sub>
              </m:sSub>
              <m:r>
                <w:rPr>
                  <w:rFonts w:ascii="Cambria Math" w:hAnsi="Cambria Math" w:cs="Helv"/>
                  <w:color w:val="000000"/>
                  <w:sz w:val="20"/>
                </w:rPr>
                <m:t>/</m:t>
              </m:r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TotalWithdrawalUnits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B</m:t>
                  </m:r>
                </m:sub>
              </m:sSub>
            </m:e>
          </m:d>
        </m:oMath>
      </m:oMathPara>
    </w:p>
    <w:p w:rsidR="00915406" w:rsidRPr="00915406" w:rsidP="002C4498" w14:paraId="63A692AF" w14:textId="77777777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P="002C4498" w14:paraId="08563685" w14:textId="77777777">
      <w:pPr>
        <w:widowControl/>
        <w:spacing w:line="257" w:lineRule="auto"/>
        <w:ind w:firstLine="720"/>
        <w:rPr>
          <w:rFonts w:ascii="Times New Roman" w:eastAsia="Calibri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Where:</w:t>
      </w:r>
    </w:p>
    <w:p w:rsidR="00915406" w:rsidRPr="00915406" w:rsidP="002C4498" w14:paraId="6E7631DA" w14:textId="77777777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P="002C4498" w14:paraId="47637879" w14:textId="77777777">
      <w:pPr>
        <w:widowControl/>
        <w:spacing w:line="257" w:lineRule="auto"/>
        <w:ind w:firstLine="720"/>
        <w:rPr>
          <w:rFonts w:ascii="Times New Roman" w:eastAsia="Calibri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 xml:space="preserve">L = </w:t>
      </w:r>
      <w:r w:rsidR="00A804C7">
        <w:rPr>
          <w:rFonts w:ascii="Times New Roman" w:eastAsia="Calibri" w:hAnsi="Times New Roman" w:cs="Times New Roman"/>
        </w:rPr>
        <w:t xml:space="preserve">the relevant </w:t>
      </w:r>
      <w:r w:rsidRPr="00915406">
        <w:rPr>
          <w:rFonts w:ascii="Times New Roman" w:eastAsia="Calibri" w:hAnsi="Times New Roman" w:cs="Times New Roman"/>
        </w:rPr>
        <w:t>Responsible LSE</w:t>
      </w:r>
      <w:r w:rsidR="00A804C7">
        <w:rPr>
          <w:rFonts w:ascii="Times New Roman" w:eastAsia="Calibri" w:hAnsi="Times New Roman" w:cs="Times New Roman"/>
        </w:rPr>
        <w:t>;</w:t>
      </w:r>
      <w:r w:rsidRPr="00915406">
        <w:rPr>
          <w:rFonts w:ascii="Times New Roman" w:eastAsia="Calibri" w:hAnsi="Times New Roman" w:cs="Times New Roman"/>
        </w:rPr>
        <w:t xml:space="preserve"> </w:t>
      </w:r>
    </w:p>
    <w:p w:rsidR="00915406" w:rsidRPr="00915406" w:rsidP="002C4498" w14:paraId="4E119299" w14:textId="77777777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P="002C4498" w14:paraId="1331CCDA" w14:textId="77777777">
      <w:pPr>
        <w:widowControl/>
        <w:spacing w:line="257" w:lineRule="auto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</w:t>
      </w:r>
      <w:r w:rsidRPr="00915406">
        <w:rPr>
          <w:rFonts w:ascii="Times New Roman" w:eastAsia="Calibri" w:hAnsi="Times New Roman" w:cs="Times New Roman"/>
        </w:rPr>
        <w:t xml:space="preserve"> = </w:t>
      </w:r>
      <w:r>
        <w:rPr>
          <w:rFonts w:ascii="Times New Roman" w:eastAsia="Calibri" w:hAnsi="Times New Roman" w:cs="Times New Roman"/>
        </w:rPr>
        <w:t>t</w:t>
      </w:r>
      <w:r w:rsidRPr="00915406">
        <w:rPr>
          <w:rFonts w:ascii="Times New Roman" w:eastAsia="Calibri" w:hAnsi="Times New Roman" w:cs="Times New Roman"/>
        </w:rPr>
        <w:t xml:space="preserve">he relevant </w:t>
      </w:r>
      <w:r>
        <w:rPr>
          <w:rFonts w:ascii="Times New Roman" w:eastAsia="Calibri" w:hAnsi="Times New Roman" w:cs="Times New Roman"/>
        </w:rPr>
        <w:t>Billing Period;</w:t>
      </w:r>
      <w:r w:rsidRPr="00915406">
        <w:rPr>
          <w:rFonts w:ascii="Times New Roman" w:eastAsia="Calibri" w:hAnsi="Times New Roman" w:cs="Times New Roman"/>
        </w:rPr>
        <w:t xml:space="preserve"> </w:t>
      </w:r>
    </w:p>
    <w:p w:rsidR="00915406" w:rsidRPr="00915406" w:rsidP="002C4498" w14:paraId="788C95CB" w14:textId="77777777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P="00356A3A" w14:paraId="445B7B57" w14:textId="77777777">
      <w:pPr>
        <w:widowControl/>
        <w:spacing w:line="257" w:lineRule="auto"/>
        <w:ind w:left="720"/>
        <w:rPr>
          <w:rFonts w:ascii="Times New Roman" w:eastAsia="Calibri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 xml:space="preserve">P = </w:t>
      </w:r>
      <w:r w:rsidR="00A804C7">
        <w:rPr>
          <w:rFonts w:ascii="Times New Roman" w:eastAsia="Calibri" w:hAnsi="Times New Roman" w:cs="Times New Roman"/>
        </w:rPr>
        <w:t xml:space="preserve">the </w:t>
      </w:r>
      <w:r w:rsidR="00FC3517">
        <w:rPr>
          <w:rFonts w:ascii="Times New Roman" w:eastAsia="Calibri" w:hAnsi="Times New Roman" w:cs="Times New Roman"/>
        </w:rPr>
        <w:t xml:space="preserve">relevant </w:t>
      </w:r>
      <w:r w:rsidR="00055677">
        <w:rPr>
          <w:rFonts w:ascii="Times New Roman" w:eastAsia="Calibri" w:hAnsi="Times New Roman" w:cs="Times New Roman"/>
        </w:rPr>
        <w:t>CLCP</w:t>
      </w:r>
      <w:r w:rsidR="00A43F04">
        <w:rPr>
          <w:rFonts w:ascii="Times New Roman" w:eastAsia="Calibri" w:hAnsi="Times New Roman" w:cs="Times New Roman"/>
        </w:rPr>
        <w:t>A</w:t>
      </w:r>
      <w:r w:rsidR="00055677">
        <w:rPr>
          <w:rFonts w:ascii="Times New Roman" w:eastAsia="Calibri" w:hAnsi="Times New Roman" w:cs="Times New Roman"/>
        </w:rPr>
        <w:t xml:space="preserve"> Eligible Project</w:t>
      </w:r>
      <w:r w:rsidR="00A804C7">
        <w:rPr>
          <w:rFonts w:ascii="Times New Roman" w:eastAsia="Calibri" w:hAnsi="Times New Roman" w:cs="Times New Roman"/>
        </w:rPr>
        <w:t xml:space="preserve"> of </w:t>
      </w:r>
      <w:r w:rsidR="002C4498">
        <w:rPr>
          <w:rFonts w:ascii="Times New Roman" w:eastAsia="Calibri" w:hAnsi="Times New Roman" w:cs="Times New Roman"/>
        </w:rPr>
        <w:t>an Eligible</w:t>
      </w:r>
      <w:r w:rsidR="00044450">
        <w:rPr>
          <w:rFonts w:ascii="Times New Roman" w:eastAsia="Calibri" w:hAnsi="Times New Roman" w:cs="Times New Roman"/>
        </w:rPr>
        <w:t xml:space="preserve"> </w:t>
      </w:r>
      <w:r w:rsidR="00A804C7">
        <w:rPr>
          <w:rFonts w:ascii="Times New Roman" w:eastAsia="Calibri" w:hAnsi="Times New Roman" w:cs="Times New Roman"/>
        </w:rPr>
        <w:t>Transmission Owner</w:t>
      </w:r>
      <w:r w:rsidR="00331594">
        <w:rPr>
          <w:rFonts w:ascii="Times New Roman" w:eastAsia="Calibri" w:hAnsi="Times New Roman" w:cs="Times New Roman"/>
        </w:rPr>
        <w:t xml:space="preserve"> (or set of CLCPA Eligible Projects of an Eligible Transmission Owner)</w:t>
      </w:r>
      <w:r w:rsidR="00A804C7">
        <w:rPr>
          <w:rFonts w:ascii="Times New Roman" w:eastAsia="Calibri" w:hAnsi="Times New Roman" w:cs="Times New Roman"/>
        </w:rPr>
        <w:t>;</w:t>
      </w:r>
    </w:p>
    <w:p w:rsidR="00915406" w:rsidRPr="00915406" w:rsidP="002C4498" w14:paraId="04979658" w14:textId="77777777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P="002C4498" w14:paraId="466F6A5C" w14:textId="77777777">
      <w:pPr>
        <w:widowControl/>
        <w:spacing w:line="257" w:lineRule="auto"/>
        <w:ind w:left="720"/>
        <w:jc w:val="both"/>
        <w:rPr>
          <w:rFonts w:ascii="Times New Roman" w:eastAsia="Times New Roman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AnnualRR</w:t>
      </w:r>
      <w:r w:rsidRPr="00915406">
        <w:rPr>
          <w:rFonts w:ascii="Times New Roman" w:eastAsia="Calibri" w:hAnsi="Times New Roman" w:cs="Times New Roman"/>
          <w:vertAlign w:val="subscript"/>
        </w:rPr>
        <w:t>P,</w:t>
      </w:r>
      <w:r w:rsidR="000222AC">
        <w:rPr>
          <w:rFonts w:ascii="Times New Roman" w:eastAsia="Calibri" w:hAnsi="Times New Roman" w:cs="Times New Roman"/>
          <w:vertAlign w:val="subscript"/>
        </w:rPr>
        <w:t>B</w:t>
      </w:r>
      <w:r w:rsidRPr="00915406">
        <w:rPr>
          <w:rFonts w:ascii="Times New Roman" w:eastAsia="Calibri" w:hAnsi="Times New Roman" w:cs="Times New Roman"/>
          <w:vertAlign w:val="subscript"/>
        </w:rPr>
        <w:t xml:space="preserve"> </w:t>
      </w:r>
      <w:r w:rsidRPr="00915406">
        <w:rPr>
          <w:rFonts w:ascii="Times New Roman" w:eastAsia="Calibri" w:hAnsi="Times New Roman" w:cs="Times New Roman"/>
        </w:rPr>
        <w:t xml:space="preserve">= </w:t>
      </w:r>
      <w:r w:rsidRPr="00915406">
        <w:rPr>
          <w:rFonts w:ascii="Times New Roman" w:eastAsia="Times New Roman" w:hAnsi="Times New Roman" w:cs="Times New Roman"/>
        </w:rPr>
        <w:t xml:space="preserve">the </w:t>
      </w:r>
      <w:r w:rsidR="0009337C">
        <w:rPr>
          <w:rFonts w:ascii="Times New Roman" w:eastAsia="Times New Roman" w:hAnsi="Times New Roman" w:cs="Times New Roman"/>
        </w:rPr>
        <w:t>pro rat</w:t>
      </w:r>
      <w:r w:rsidR="00223699">
        <w:rPr>
          <w:rFonts w:ascii="Times New Roman" w:eastAsia="Times New Roman" w:hAnsi="Times New Roman" w:cs="Times New Roman"/>
        </w:rPr>
        <w:t>a share of the</w:t>
      </w:r>
      <w:r w:rsidR="0009337C">
        <w:rPr>
          <w:rFonts w:ascii="Times New Roman" w:eastAsia="Times New Roman" w:hAnsi="Times New Roman" w:cs="Times New Roman"/>
        </w:rPr>
        <w:t xml:space="preserve"> </w:t>
      </w:r>
      <w:r w:rsidRPr="00915406">
        <w:rPr>
          <w:rFonts w:ascii="Times New Roman" w:eastAsia="Times New Roman" w:hAnsi="Times New Roman" w:cs="Times New Roman"/>
        </w:rPr>
        <w:t xml:space="preserve">annual revenue requirement for each CLCPA Eligible Project </w:t>
      </w:r>
      <w:r w:rsidR="00331594">
        <w:rPr>
          <w:rFonts w:ascii="Times New Roman" w:eastAsia="Calibri" w:hAnsi="Times New Roman" w:cs="Times New Roman"/>
        </w:rPr>
        <w:t xml:space="preserve">(or set of CLCPA Eligible Projects of an Eligible Transmission Owner) </w:t>
      </w:r>
      <w:r w:rsidR="0009337C">
        <w:rPr>
          <w:rFonts w:ascii="Times New Roman" w:eastAsia="Times New Roman" w:hAnsi="Times New Roman" w:cs="Times New Roman"/>
        </w:rPr>
        <w:t xml:space="preserve">P, </w:t>
      </w:r>
      <w:r w:rsidRPr="00915406">
        <w:rPr>
          <w:rFonts w:ascii="Times New Roman" w:eastAsia="Times New Roman" w:hAnsi="Times New Roman" w:cs="Times New Roman"/>
        </w:rPr>
        <w:t>as discussed in Section 6.</w:t>
      </w:r>
      <w:r w:rsidR="009D2164">
        <w:rPr>
          <w:rFonts w:ascii="Times New Roman" w:eastAsia="Times New Roman" w:hAnsi="Times New Roman" w:cs="Times New Roman"/>
        </w:rPr>
        <w:t>19</w:t>
      </w:r>
      <w:r w:rsidRPr="00915406">
        <w:rPr>
          <w:rFonts w:ascii="Times New Roman" w:eastAsia="Times New Roman" w:hAnsi="Times New Roman" w:cs="Times New Roman"/>
        </w:rPr>
        <w:t xml:space="preserve">.2 above, allocated </w:t>
      </w:r>
      <w:r w:rsidR="0009337C">
        <w:rPr>
          <w:rFonts w:ascii="Times New Roman" w:eastAsia="Times New Roman" w:hAnsi="Times New Roman" w:cs="Times New Roman"/>
        </w:rPr>
        <w:t>for Billing Period B</w:t>
      </w:r>
      <w:r w:rsidRPr="00915406">
        <w:rPr>
          <w:rFonts w:ascii="Times New Roman" w:eastAsia="Times New Roman" w:hAnsi="Times New Roman" w:cs="Times New Roman"/>
        </w:rPr>
        <w:t>;</w:t>
      </w:r>
    </w:p>
    <w:p w:rsidR="00915406" w:rsidRPr="00915406" w:rsidP="002C4498" w14:paraId="3B5034B2" w14:textId="77777777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P="002C4498" w14:paraId="0F027260" w14:textId="77777777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IncrementalTransmissionRightsRevenue</w:t>
      </w:r>
      <w:r w:rsidRPr="00915406">
        <w:rPr>
          <w:rFonts w:ascii="Times New Roman" w:eastAsia="Calibri" w:hAnsi="Times New Roman" w:cs="Times New Roman"/>
          <w:vertAlign w:val="subscript"/>
        </w:rPr>
        <w:t>P,</w:t>
      </w:r>
      <w:r w:rsidR="00C30AAD">
        <w:rPr>
          <w:rFonts w:ascii="Times New Roman" w:eastAsia="Calibri" w:hAnsi="Times New Roman" w:cs="Times New Roman"/>
          <w:vertAlign w:val="subscript"/>
        </w:rPr>
        <w:t>B</w:t>
      </w:r>
      <w:r w:rsidRPr="00915406">
        <w:rPr>
          <w:rFonts w:ascii="Times New Roman" w:eastAsia="Calibri" w:hAnsi="Times New Roman" w:cs="Times New Roman"/>
          <w:vertAlign w:val="subscript"/>
        </w:rPr>
        <w:t xml:space="preserve"> = </w:t>
      </w:r>
      <w:r w:rsidRPr="00915406">
        <w:rPr>
          <w:rFonts w:ascii="Times New Roman" w:eastAsia="Times New Roman" w:hAnsi="Times New Roman" w:cs="Times New Roman"/>
        </w:rPr>
        <w:t xml:space="preserve">the auction revenue derived from the sale of </w:t>
      </w:r>
      <w:r w:rsidR="00FC3517">
        <w:rPr>
          <w:rFonts w:ascii="Times New Roman" w:eastAsia="Times New Roman" w:hAnsi="Times New Roman" w:cs="Times New Roman"/>
        </w:rPr>
        <w:t xml:space="preserve">the </w:t>
      </w:r>
      <w:r w:rsidRPr="00915406">
        <w:rPr>
          <w:rFonts w:ascii="Times New Roman" w:eastAsia="Times New Roman" w:hAnsi="Times New Roman" w:cs="Times New Roman"/>
        </w:rPr>
        <w:t xml:space="preserve">Incremental TCCs </w:t>
      </w:r>
      <w:r w:rsidR="00FC3517">
        <w:rPr>
          <w:rFonts w:ascii="Times New Roman" w:eastAsia="Times New Roman" w:hAnsi="Times New Roman" w:cs="Times New Roman"/>
        </w:rPr>
        <w:t xml:space="preserve">awarded to the </w:t>
      </w:r>
      <w:r w:rsidR="002C4498">
        <w:rPr>
          <w:rFonts w:ascii="Times New Roman" w:eastAsia="Times New Roman" w:hAnsi="Times New Roman" w:cs="Times New Roman"/>
        </w:rPr>
        <w:t>Eligible</w:t>
      </w:r>
      <w:r w:rsidR="00044450">
        <w:rPr>
          <w:rFonts w:ascii="Times New Roman" w:eastAsia="Times New Roman" w:hAnsi="Times New Roman" w:cs="Times New Roman"/>
        </w:rPr>
        <w:t xml:space="preserve"> </w:t>
      </w:r>
      <w:r w:rsidR="00FC3517">
        <w:rPr>
          <w:rFonts w:ascii="Times New Roman" w:eastAsia="Times New Roman" w:hAnsi="Times New Roman" w:cs="Times New Roman"/>
        </w:rPr>
        <w:t xml:space="preserve">Transmission Owner for each CLCPA Eligible Project </w:t>
      </w:r>
      <w:r w:rsidR="00331594">
        <w:rPr>
          <w:rFonts w:ascii="Times New Roman" w:eastAsia="Calibri" w:hAnsi="Times New Roman" w:cs="Times New Roman"/>
        </w:rPr>
        <w:t xml:space="preserve">(or set of CLCPA Eligible Projects of an Eligible Transmission Owner) </w:t>
      </w:r>
      <w:r w:rsidR="00FC3517">
        <w:rPr>
          <w:rFonts w:ascii="Times New Roman" w:eastAsia="Times New Roman" w:hAnsi="Times New Roman" w:cs="Times New Roman"/>
        </w:rPr>
        <w:t xml:space="preserve">P </w:t>
      </w:r>
      <w:r w:rsidRPr="00915406">
        <w:rPr>
          <w:rFonts w:ascii="Times New Roman" w:eastAsia="Times New Roman" w:hAnsi="Times New Roman" w:cs="Times New Roman"/>
        </w:rPr>
        <w:t xml:space="preserve">plus payments received by the </w:t>
      </w:r>
      <w:r w:rsidR="002C4498">
        <w:rPr>
          <w:rFonts w:ascii="Times New Roman" w:eastAsia="Times New Roman" w:hAnsi="Times New Roman" w:cs="Times New Roman"/>
        </w:rPr>
        <w:t>Eligible</w:t>
      </w:r>
      <w:r w:rsidR="00044450">
        <w:rPr>
          <w:rFonts w:ascii="Times New Roman" w:eastAsia="Times New Roman" w:hAnsi="Times New Roman" w:cs="Times New Roman"/>
        </w:rPr>
        <w:t xml:space="preserve"> </w:t>
      </w:r>
      <w:r w:rsidRPr="00915406">
        <w:rPr>
          <w:rFonts w:ascii="Times New Roman" w:eastAsia="Times New Roman" w:hAnsi="Times New Roman" w:cs="Times New Roman"/>
        </w:rPr>
        <w:t>Transmission Owner</w:t>
      </w:r>
      <w:r w:rsidR="00223699">
        <w:rPr>
          <w:rFonts w:ascii="Times New Roman" w:eastAsia="Times New Roman" w:hAnsi="Times New Roman" w:cs="Times New Roman"/>
        </w:rPr>
        <w:t xml:space="preserve"> for such Incremental TCCs</w:t>
      </w:r>
      <w:r w:rsidRPr="00915406">
        <w:rPr>
          <w:rFonts w:ascii="Times New Roman" w:eastAsia="Times New Roman" w:hAnsi="Times New Roman" w:cs="Times New Roman"/>
        </w:rPr>
        <w:t xml:space="preserve"> pursuant to Section 20.2.3 of Attachment N of the ISO OATT, as discussed in Section 6.</w:t>
      </w:r>
      <w:r w:rsidR="009D2164">
        <w:rPr>
          <w:rFonts w:ascii="Times New Roman" w:eastAsia="Times New Roman" w:hAnsi="Times New Roman" w:cs="Times New Roman"/>
        </w:rPr>
        <w:t>19</w:t>
      </w:r>
      <w:r w:rsidRPr="00915406">
        <w:rPr>
          <w:rFonts w:ascii="Times New Roman" w:eastAsia="Times New Roman" w:hAnsi="Times New Roman" w:cs="Times New Roman"/>
        </w:rPr>
        <w:t xml:space="preserve">.3.3 above, allocated for </w:t>
      </w:r>
      <w:r w:rsidR="00FC3517">
        <w:rPr>
          <w:rFonts w:ascii="Times New Roman" w:eastAsia="Times New Roman" w:hAnsi="Times New Roman" w:cs="Times New Roman"/>
        </w:rPr>
        <w:t>Billing Period B</w:t>
      </w:r>
      <w:r w:rsidRPr="00915406">
        <w:rPr>
          <w:rFonts w:ascii="Times New Roman" w:eastAsia="Times New Roman" w:hAnsi="Times New Roman" w:cs="Times New Roman"/>
        </w:rPr>
        <w:t>.  The revenues from the sale of Incremental TCCs in the ISO’s six</w:t>
      </w:r>
      <w:r w:rsidR="0056741D">
        <w:rPr>
          <w:rFonts w:ascii="Times New Roman" w:eastAsia="Times New Roman" w:hAnsi="Times New Roman" w:cs="Times New Roman"/>
        </w:rPr>
        <w:t>-</w:t>
      </w:r>
      <w:r w:rsidRPr="00915406">
        <w:rPr>
          <w:rFonts w:ascii="Times New Roman" w:eastAsia="Times New Roman" w:hAnsi="Times New Roman" w:cs="Times New Roman"/>
        </w:rPr>
        <w:t>month Sub-Auctions of each Centralized TCC Auction shall be allocated uniformly across all hours of Billing Period</w:t>
      </w:r>
      <w:r w:rsidR="00FC3517">
        <w:rPr>
          <w:rFonts w:ascii="Times New Roman" w:eastAsia="Times New Roman" w:hAnsi="Times New Roman" w:cs="Times New Roman"/>
        </w:rPr>
        <w:t xml:space="preserve"> B</w:t>
      </w:r>
      <w:r w:rsidRPr="00915406">
        <w:rPr>
          <w:rFonts w:ascii="Times New Roman" w:eastAsia="Times New Roman" w:hAnsi="Times New Roman" w:cs="Times New Roman"/>
        </w:rPr>
        <w:t xml:space="preserve">; </w:t>
      </w:r>
    </w:p>
    <w:p w:rsidR="00915406" w:rsidRPr="00915406" w:rsidP="002C4498" w14:paraId="6BEA7AF4" w14:textId="77777777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P="002C4498" w14:paraId="1D7BD7AE" w14:textId="77777777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OutageCostAdjustment</w:t>
      </w:r>
      <w:r w:rsidRPr="00915406">
        <w:rPr>
          <w:rFonts w:ascii="Times New Roman" w:eastAsia="Calibri" w:hAnsi="Times New Roman" w:cs="Times New Roman"/>
          <w:vertAlign w:val="subscript"/>
        </w:rPr>
        <w:t>P,</w:t>
      </w:r>
      <w:r w:rsidR="00C30AAD">
        <w:rPr>
          <w:rFonts w:ascii="Times New Roman" w:eastAsia="Calibri" w:hAnsi="Times New Roman" w:cs="Times New Roman"/>
          <w:vertAlign w:val="subscript"/>
        </w:rPr>
        <w:t>B</w:t>
      </w:r>
      <w:r w:rsidRPr="00915406">
        <w:rPr>
          <w:rFonts w:ascii="Times New Roman" w:eastAsia="Calibri" w:hAnsi="Times New Roman" w:cs="Times New Roman"/>
          <w:vertAlign w:val="subscript"/>
        </w:rPr>
        <w:t xml:space="preserve"> </w:t>
      </w:r>
      <w:r w:rsidRPr="00915406">
        <w:rPr>
          <w:rFonts w:ascii="Times New Roman" w:eastAsia="Calibri" w:hAnsi="Times New Roman" w:cs="Times New Roman"/>
        </w:rPr>
        <w:t xml:space="preserve">= </w:t>
      </w:r>
      <w:r w:rsidRPr="00915406">
        <w:rPr>
          <w:rFonts w:ascii="Times New Roman" w:eastAsia="Times New Roman" w:hAnsi="Times New Roman" w:cs="Times New Roman"/>
        </w:rPr>
        <w:t xml:space="preserve">the </w:t>
      </w:r>
      <w:r w:rsidR="00FC3517">
        <w:rPr>
          <w:rFonts w:ascii="Times New Roman" w:eastAsia="Times New Roman" w:hAnsi="Times New Roman" w:cs="Times New Roman"/>
        </w:rPr>
        <w:t>o</w:t>
      </w:r>
      <w:r w:rsidRPr="00915406">
        <w:rPr>
          <w:rFonts w:ascii="Times New Roman" w:eastAsia="Times New Roman" w:hAnsi="Times New Roman" w:cs="Times New Roman"/>
        </w:rPr>
        <w:t>utage charges</w:t>
      </w:r>
      <w:r w:rsidR="00302C0D">
        <w:rPr>
          <w:rFonts w:ascii="Times New Roman" w:eastAsia="Times New Roman" w:hAnsi="Times New Roman" w:cs="Times New Roman"/>
        </w:rPr>
        <w:t>,</w:t>
      </w:r>
      <w:r w:rsidRPr="00915406">
        <w:rPr>
          <w:rFonts w:ascii="Times New Roman" w:eastAsia="Times New Roman" w:hAnsi="Times New Roman" w:cs="Times New Roman"/>
        </w:rPr>
        <w:t xml:space="preserve"> </w:t>
      </w:r>
      <w:r w:rsidR="00302C0D">
        <w:rPr>
          <w:rFonts w:ascii="Times New Roman" w:eastAsia="Times New Roman" w:hAnsi="Times New Roman" w:cs="Times New Roman"/>
        </w:rPr>
        <w:t>as discussed in</w:t>
      </w:r>
      <w:r w:rsidRPr="00915406">
        <w:rPr>
          <w:rFonts w:ascii="Times New Roman" w:eastAsia="Times New Roman" w:hAnsi="Times New Roman" w:cs="Times New Roman"/>
        </w:rPr>
        <w:t xml:space="preserve"> Section 6.</w:t>
      </w:r>
      <w:r w:rsidR="009D2164">
        <w:rPr>
          <w:rFonts w:ascii="Times New Roman" w:eastAsia="Times New Roman" w:hAnsi="Times New Roman" w:cs="Times New Roman"/>
        </w:rPr>
        <w:t>19</w:t>
      </w:r>
      <w:r w:rsidRPr="00915406">
        <w:rPr>
          <w:rFonts w:ascii="Times New Roman" w:eastAsia="Times New Roman" w:hAnsi="Times New Roman" w:cs="Times New Roman"/>
        </w:rPr>
        <w:t>.3.3.1 above</w:t>
      </w:r>
      <w:r w:rsidR="00223699">
        <w:rPr>
          <w:rFonts w:ascii="Times New Roman" w:eastAsia="Times New Roman" w:hAnsi="Times New Roman" w:cs="Times New Roman"/>
        </w:rPr>
        <w:t>,</w:t>
      </w:r>
      <w:r w:rsidR="00FC3517">
        <w:rPr>
          <w:rFonts w:ascii="Times New Roman" w:eastAsia="Times New Roman" w:hAnsi="Times New Roman" w:cs="Times New Roman"/>
        </w:rPr>
        <w:t xml:space="preserve"> for the Incremental TCCs awarded to the </w:t>
      </w:r>
      <w:r w:rsidR="002C4498">
        <w:rPr>
          <w:rFonts w:ascii="Times New Roman" w:eastAsia="Times New Roman" w:hAnsi="Times New Roman" w:cs="Times New Roman"/>
        </w:rPr>
        <w:t>Eligible</w:t>
      </w:r>
      <w:r w:rsidR="00044450">
        <w:rPr>
          <w:rFonts w:ascii="Times New Roman" w:eastAsia="Times New Roman" w:hAnsi="Times New Roman" w:cs="Times New Roman"/>
        </w:rPr>
        <w:t xml:space="preserve"> </w:t>
      </w:r>
      <w:r w:rsidR="00FC3517">
        <w:rPr>
          <w:rFonts w:ascii="Times New Roman" w:eastAsia="Times New Roman" w:hAnsi="Times New Roman" w:cs="Times New Roman"/>
        </w:rPr>
        <w:t xml:space="preserve">Transmission Owner for each CLCPA Eligible Project </w:t>
      </w:r>
      <w:r w:rsidR="00331594">
        <w:rPr>
          <w:rFonts w:ascii="Times New Roman" w:eastAsia="Calibri" w:hAnsi="Times New Roman" w:cs="Times New Roman"/>
        </w:rPr>
        <w:t xml:space="preserve">(or set of CLCPA Eligible Projects of an Eligible Transmission Owner) </w:t>
      </w:r>
      <w:r w:rsidR="00FC3517">
        <w:rPr>
          <w:rFonts w:ascii="Times New Roman" w:eastAsia="Times New Roman" w:hAnsi="Times New Roman" w:cs="Times New Roman"/>
        </w:rPr>
        <w:t>P</w:t>
      </w:r>
      <w:r w:rsidR="007137E1">
        <w:rPr>
          <w:rFonts w:ascii="Times New Roman" w:eastAsia="Times New Roman" w:hAnsi="Times New Roman" w:cs="Times New Roman"/>
        </w:rPr>
        <w:t xml:space="preserve"> </w:t>
      </w:r>
      <w:r w:rsidR="00302C0D">
        <w:rPr>
          <w:rFonts w:ascii="Times New Roman" w:eastAsia="Times New Roman" w:hAnsi="Times New Roman" w:cs="Times New Roman"/>
        </w:rPr>
        <w:t xml:space="preserve">aggregated across </w:t>
      </w:r>
      <w:r w:rsidR="007137E1">
        <w:rPr>
          <w:rFonts w:ascii="Times New Roman" w:eastAsia="Times New Roman" w:hAnsi="Times New Roman" w:cs="Times New Roman"/>
        </w:rPr>
        <w:t>all hours in Billing Period B</w:t>
      </w:r>
      <w:r w:rsidR="003F2EBB">
        <w:rPr>
          <w:rFonts w:ascii="Times New Roman" w:eastAsia="Times New Roman" w:hAnsi="Times New Roman" w:cs="Times New Roman"/>
        </w:rPr>
        <w:t>;</w:t>
      </w:r>
    </w:p>
    <w:p w:rsidR="00DA2CED" w:rsidP="002C4498" w14:paraId="330DFD90" w14:textId="77777777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</w:p>
    <w:p w:rsidR="00DA2CED" w:rsidP="002C4498" w14:paraId="3AC53E80" w14:textId="77777777">
      <w:pPr>
        <w:widowControl/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LSEWithdrawalUnits</w:t>
      </w:r>
      <w:r>
        <w:rPr>
          <w:rFonts w:ascii="Times New Roman" w:eastAsia="Times New Roman" w:hAnsi="Times New Roman" w:cs="Times New Roman"/>
          <w:vertAlign w:val="subscript"/>
        </w:rPr>
        <w:t>L,B</w:t>
      </w:r>
      <w:r>
        <w:rPr>
          <w:rFonts w:ascii="Times New Roman" w:eastAsia="Times New Roman" w:hAnsi="Times New Roman" w:cs="Times New Roman"/>
        </w:rPr>
        <w:t xml:space="preserve"> = </w:t>
      </w:r>
      <w:r w:rsidR="003F2EBB">
        <w:rPr>
          <w:rFonts w:ascii="Times New Roman" w:eastAsia="Times New Roman" w:hAnsi="Times New Roman" w:cs="Times New Roman"/>
        </w:rPr>
        <w:t>Actual Energy Withdrawals</w:t>
      </w:r>
      <w:r w:rsidR="00DD238F">
        <w:rPr>
          <w:rFonts w:ascii="Times New Roman" w:eastAsia="Times New Roman" w:hAnsi="Times New Roman" w:cs="Times New Roman"/>
        </w:rPr>
        <w:t xml:space="preserve"> </w:t>
      </w:r>
      <w:r w:rsidR="00DD238F">
        <w:rPr>
          <w:rFonts w:ascii="Times New Roman" w:hAnsi="Times New Roman" w:cs="Times New Roman"/>
        </w:rPr>
        <w:t>for Responsible LSE L</w:t>
      </w:r>
      <w:r w:rsidR="003F2EBB">
        <w:rPr>
          <w:rFonts w:ascii="Times New Roman" w:eastAsia="Times New Roman" w:hAnsi="Times New Roman" w:cs="Times New Roman"/>
        </w:rPr>
        <w:t>, excluding</w:t>
      </w:r>
      <w:r w:rsidR="009816DD">
        <w:rPr>
          <w:rFonts w:ascii="Times New Roman" w:eastAsia="Times New Roman" w:hAnsi="Times New Roman" w:cs="Times New Roman"/>
        </w:rPr>
        <w:t xml:space="preserve"> </w:t>
      </w:r>
      <w:r w:rsidR="003F2EBB">
        <w:rPr>
          <w:rFonts w:ascii="Times New Roman" w:hAnsi="Times New Roman" w:cs="Times New Roman"/>
        </w:rPr>
        <w:t>Withdrawal Billing Units for Exports and Wheels Through, for all Load Zones</w:t>
      </w:r>
      <w:r w:rsidR="000222AC">
        <w:rPr>
          <w:rFonts w:ascii="Times New Roman" w:hAnsi="Times New Roman" w:cs="Times New Roman"/>
        </w:rPr>
        <w:t xml:space="preserve"> </w:t>
      </w:r>
      <w:r w:rsidR="003F2EBB">
        <w:rPr>
          <w:rFonts w:ascii="Times New Roman" w:hAnsi="Times New Roman" w:cs="Times New Roman"/>
        </w:rPr>
        <w:t>aggregated across all hours in Billing Period B;</w:t>
      </w:r>
      <w:r w:rsidR="000222AC">
        <w:rPr>
          <w:rFonts w:ascii="Times New Roman" w:hAnsi="Times New Roman" w:cs="Times New Roman"/>
        </w:rPr>
        <w:t xml:space="preserve"> and</w:t>
      </w:r>
    </w:p>
    <w:p w:rsidR="000222AC" w:rsidP="002C4498" w14:paraId="3BFB8F63" w14:textId="77777777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</w:p>
    <w:p w:rsidR="000222AC" w:rsidRPr="000222AC" w:rsidP="002C4498" w14:paraId="3CB8AF78" w14:textId="77777777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TotalWithdrawalUnits</w:t>
      </w:r>
      <w:r>
        <w:rPr>
          <w:rFonts w:ascii="Times New Roman" w:eastAsia="Times New Roman" w:hAnsi="Times New Roman" w:cs="Times New Roman"/>
          <w:vertAlign w:val="subscript"/>
        </w:rPr>
        <w:t>B</w:t>
      </w:r>
      <w:r>
        <w:rPr>
          <w:rFonts w:ascii="Times New Roman" w:eastAsia="Times New Roman" w:hAnsi="Times New Roman" w:cs="Times New Roman"/>
        </w:rPr>
        <w:t xml:space="preserve"> = Actual Energy Withdrawals</w:t>
      </w:r>
      <w:r w:rsidR="007137E1">
        <w:rPr>
          <w:rFonts w:ascii="Times New Roman" w:eastAsia="Times New Roman" w:hAnsi="Times New Roman" w:cs="Times New Roman"/>
        </w:rPr>
        <w:t xml:space="preserve"> for all Responsible LSEs</w:t>
      </w:r>
      <w:r>
        <w:rPr>
          <w:rFonts w:ascii="Times New Roman" w:eastAsia="Times New Roman" w:hAnsi="Times New Roman" w:cs="Times New Roman"/>
        </w:rPr>
        <w:t>, excluding</w:t>
      </w:r>
      <w:r w:rsidR="009816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Withdrawal Billing Units for Exports and Wheels Through, for all Load Zones aggregated across all hours in Billing Period B.</w:t>
      </w:r>
    </w:p>
    <w:p w:rsidR="004732BB" w:rsidP="000222AC" w14:paraId="143054A8" w14:textId="77777777">
      <w:pPr>
        <w:widowControl/>
        <w:tabs>
          <w:tab w:val="left" w:pos="720"/>
        </w:tabs>
        <w:rPr>
          <w:rFonts w:ascii="Times New Roman" w:hAnsi="Times New Roman" w:cs="Times New Roman"/>
        </w:rPr>
      </w:pPr>
    </w:p>
    <w:p w:rsidR="004732BB" w:rsidP="002C4498" w14:paraId="1D2C5E24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.3.6</w:t>
      </w:r>
      <w:r>
        <w:rPr>
          <w:rFonts w:ascii="Times New Roman" w:hAnsi="Times New Roman" w:cs="Times New Roman"/>
        </w:rPr>
        <w:tab/>
      </w:r>
      <w:r w:rsidRPr="00E524AA">
        <w:rPr>
          <w:rFonts w:ascii="Times New Roman" w:hAnsi="Times New Roman" w:cs="Times New Roman"/>
        </w:rPr>
        <w:t xml:space="preserve">The ISO will collect the appropriate </w:t>
      </w:r>
      <w:r w:rsidRPr="00E524AA" w:rsidR="00272504">
        <w:rPr>
          <w:rFonts w:ascii="Times New Roman" w:hAnsi="Times New Roman" w:cs="Times New Roman"/>
        </w:rPr>
        <w:t>CFC</w:t>
      </w:r>
      <w:r w:rsidRPr="00E524AA" w:rsidR="001659AE">
        <w:rPr>
          <w:rFonts w:ascii="Times New Roman" w:hAnsi="Times New Roman" w:cs="Times New Roman"/>
        </w:rPr>
        <w:t xml:space="preserve"> Charge</w:t>
      </w:r>
      <w:r w:rsidRPr="00E524AA">
        <w:rPr>
          <w:rFonts w:ascii="Times New Roman" w:hAnsi="Times New Roman" w:cs="Times New Roman"/>
        </w:rPr>
        <w:t xml:space="preserve"> </w:t>
      </w:r>
      <w:r w:rsidR="007137E1">
        <w:rPr>
          <w:rFonts w:ascii="Times New Roman" w:hAnsi="Times New Roman" w:cs="Times New Roman"/>
        </w:rPr>
        <w:t xml:space="preserve">and LIPA CFC Charge </w:t>
      </w:r>
      <w:r w:rsidRPr="00E524AA">
        <w:rPr>
          <w:rFonts w:ascii="Times New Roman" w:hAnsi="Times New Roman" w:cs="Times New Roman"/>
        </w:rPr>
        <w:t>revenues each Billing Period and remit those revenues to the</w:t>
      </w:r>
      <w:r w:rsidRPr="00E524AA" w:rsidR="001659AE">
        <w:rPr>
          <w:rFonts w:ascii="Times New Roman" w:hAnsi="Times New Roman" w:cs="Times New Roman"/>
        </w:rPr>
        <w:t xml:space="preserve"> appropriate </w:t>
      </w:r>
      <w:r w:rsidR="002C4498">
        <w:rPr>
          <w:rFonts w:ascii="Times New Roman" w:hAnsi="Times New Roman" w:cs="Times New Roman"/>
        </w:rPr>
        <w:t xml:space="preserve">Eligible </w:t>
      </w:r>
      <w:r w:rsidRPr="00E524AA" w:rsidR="001659AE">
        <w:rPr>
          <w:rFonts w:ascii="Times New Roman" w:hAnsi="Times New Roman" w:cs="Times New Roman"/>
        </w:rPr>
        <w:t xml:space="preserve">Transmission Owner </w:t>
      </w:r>
      <w:r w:rsidRPr="00E524AA">
        <w:rPr>
          <w:rFonts w:ascii="Times New Roman" w:hAnsi="Times New Roman" w:cs="Times New Roman"/>
        </w:rPr>
        <w:t>in accordance with the ISO’s</w:t>
      </w:r>
      <w:r>
        <w:rPr>
          <w:rFonts w:ascii="Times New Roman" w:hAnsi="Times New Roman" w:cs="Times New Roman"/>
        </w:rPr>
        <w:t xml:space="preserve"> billing and settlement procedures</w:t>
      </w:r>
      <w:r w:rsidR="00176E31">
        <w:rPr>
          <w:rFonts w:ascii="Times New Roman" w:hAnsi="Times New Roman" w:cs="Times New Roman"/>
        </w:rPr>
        <w:t>.</w:t>
      </w:r>
    </w:p>
    <w:p w:rsidR="00F31F42" w:rsidP="00004E92" w14:paraId="4A244BE4" w14:textId="77777777">
      <w:pPr>
        <w:pStyle w:val="Heading3"/>
        <w:keepNext/>
        <w:keepLines/>
        <w:widowControl/>
        <w:tabs>
          <w:tab w:val="left" w:pos="1080"/>
        </w:tabs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="009D2164">
        <w:rPr>
          <w:rFonts w:ascii="Times New Roman" w:hAnsi="Times New Roman" w:cs="Times New Roman"/>
          <w:b/>
          <w:bCs/>
        </w:rPr>
        <w:t>19</w:t>
      </w:r>
      <w:r w:rsidR="004732BB">
        <w:rPr>
          <w:rFonts w:ascii="Times New Roman" w:hAnsi="Times New Roman" w:cs="Times New Roman"/>
          <w:b/>
          <w:bCs/>
        </w:rPr>
        <w:t>.4</w:t>
      </w:r>
      <w:r w:rsidR="004732BB">
        <w:rPr>
          <w:rFonts w:ascii="Times New Roman" w:hAnsi="Times New Roman" w:cs="Times New Roman"/>
          <w:b/>
          <w:bCs/>
        </w:rPr>
        <w:tab/>
        <w:t xml:space="preserve">Recovery of Costs Incurred by </w:t>
      </w:r>
      <w:r w:rsidR="005A53B8">
        <w:rPr>
          <w:rFonts w:ascii="Times New Roman" w:hAnsi="Times New Roman" w:cs="Times New Roman"/>
          <w:b/>
          <w:bCs/>
        </w:rPr>
        <w:t xml:space="preserve">a </w:t>
      </w:r>
      <w:r w:rsidR="004732BB">
        <w:rPr>
          <w:rFonts w:ascii="Times New Roman" w:hAnsi="Times New Roman" w:cs="Times New Roman"/>
          <w:b/>
          <w:bCs/>
        </w:rPr>
        <w:t>Transmission Owner</w:t>
      </w:r>
      <w:r w:rsidR="005A53B8">
        <w:rPr>
          <w:rFonts w:ascii="Times New Roman" w:hAnsi="Times New Roman" w:cs="Times New Roman"/>
          <w:b/>
          <w:bCs/>
        </w:rPr>
        <w:t xml:space="preserve"> Other than LIPA</w:t>
      </w:r>
    </w:p>
    <w:p w:rsidR="004732BB" w14:paraId="6D80483C" w14:textId="77777777">
      <w:pPr>
        <w:pStyle w:val="Heading3"/>
        <w:keepNext/>
        <w:keepLines/>
        <w:widowControl/>
        <w:tabs>
          <w:tab w:val="left" w:pos="1080"/>
        </w:tabs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732BB" w:rsidP="00A2361C" w14:paraId="6D6020E7" w14:textId="77777777">
      <w:pPr>
        <w:widowControl/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.4.1</w:t>
      </w:r>
      <w:r>
        <w:rPr>
          <w:rFonts w:ascii="Times New Roman" w:hAnsi="Times New Roman" w:cs="Times New Roman"/>
        </w:rPr>
        <w:tab/>
        <w:t xml:space="preserve">The </w:t>
      </w:r>
      <w:r w:rsidR="00272504"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 w:rsidR="007E5D9A">
        <w:rPr>
          <w:rFonts w:ascii="Times New Roman" w:hAnsi="Times New Roman" w:cs="Times New Roman"/>
        </w:rPr>
        <w:t xml:space="preserve">Charge </w:t>
      </w:r>
      <w:r w:rsidR="005A53B8">
        <w:rPr>
          <w:rFonts w:ascii="Times New Roman" w:hAnsi="Times New Roman" w:cs="Times New Roman"/>
        </w:rPr>
        <w:t xml:space="preserve">for </w:t>
      </w:r>
      <w:r w:rsidR="002C4498">
        <w:rPr>
          <w:rFonts w:ascii="Times New Roman" w:hAnsi="Times New Roman" w:cs="Times New Roman"/>
        </w:rPr>
        <w:t>an Eligible</w:t>
      </w:r>
      <w:r w:rsidR="00044450">
        <w:rPr>
          <w:rFonts w:ascii="Times New Roman" w:hAnsi="Times New Roman" w:cs="Times New Roman"/>
        </w:rPr>
        <w:t xml:space="preserve"> </w:t>
      </w:r>
      <w:r w:rsidR="005A53B8">
        <w:rPr>
          <w:rFonts w:ascii="Times New Roman" w:hAnsi="Times New Roman" w:cs="Times New Roman"/>
        </w:rPr>
        <w:t xml:space="preserve">Transmission Owner other than LIPA </w:t>
      </w:r>
      <w:r>
        <w:rPr>
          <w:rFonts w:ascii="Times New Roman" w:hAnsi="Times New Roman" w:cs="Times New Roman"/>
        </w:rPr>
        <w:t>shall be used as the cost recovery mechanism for</w:t>
      </w:r>
      <w:r w:rsidR="007E5D9A">
        <w:rPr>
          <w:rFonts w:ascii="Times New Roman" w:hAnsi="Times New Roman" w:cs="Times New Roman"/>
        </w:rPr>
        <w:t xml:space="preserve"> the recovery of the costs</w:t>
      </w:r>
      <w:r w:rsidR="006900B4">
        <w:rPr>
          <w:rFonts w:ascii="Times New Roman" w:hAnsi="Times New Roman" w:cs="Times New Roman"/>
        </w:rPr>
        <w:t xml:space="preserve">, as approved for recovery through this Rate Schedule </w:t>
      </w:r>
      <w:r w:rsidR="009D2164">
        <w:rPr>
          <w:rFonts w:ascii="Times New Roman" w:hAnsi="Times New Roman" w:cs="Times New Roman"/>
        </w:rPr>
        <w:t>19</w:t>
      </w:r>
      <w:r w:rsidR="006900B4">
        <w:rPr>
          <w:rFonts w:ascii="Times New Roman" w:hAnsi="Times New Roman" w:cs="Times New Roman"/>
        </w:rPr>
        <w:t xml:space="preserve"> of the ISO OATT,</w:t>
      </w:r>
      <w:r w:rsidR="007E5D9A">
        <w:rPr>
          <w:rFonts w:ascii="Times New Roman" w:hAnsi="Times New Roman" w:cs="Times New Roman"/>
        </w:rPr>
        <w:t xml:space="preserve"> of </w:t>
      </w:r>
      <w:r w:rsidR="00055677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und</w:t>
      </w:r>
      <w:r w:rsidR="00F66A1C">
        <w:rPr>
          <w:rFonts w:ascii="Times New Roman" w:hAnsi="Times New Roman" w:cs="Times New Roman"/>
        </w:rPr>
        <w:t xml:space="preserve">ertaken by </w:t>
      </w:r>
      <w:r w:rsidR="005A53B8">
        <w:rPr>
          <w:rFonts w:ascii="Times New Roman" w:hAnsi="Times New Roman" w:cs="Times New Roman"/>
        </w:rPr>
        <w:t>such</w:t>
      </w:r>
      <w:r w:rsidR="00F66A1C">
        <w:rPr>
          <w:rFonts w:ascii="Times New Roman" w:hAnsi="Times New Roman" w:cs="Times New Roman"/>
        </w:rPr>
        <w:t xml:space="preserve"> Transmission Owner</w:t>
      </w:r>
      <w:r>
        <w:rPr>
          <w:rFonts w:ascii="Times New Roman" w:hAnsi="Times New Roman" w:cs="Times New Roman"/>
        </w:rPr>
        <w:t>.</w:t>
      </w:r>
      <w:r w:rsidR="005331B7">
        <w:rPr>
          <w:rFonts w:ascii="Times New Roman" w:hAnsi="Times New Roman" w:cs="Times New Roman"/>
        </w:rPr>
        <w:t xml:space="preserve">  </w:t>
      </w:r>
    </w:p>
    <w:p w:rsidR="004732BB" w:rsidP="002C4498" w14:paraId="1BDB288B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.4.2</w:t>
      </w:r>
      <w:r>
        <w:rPr>
          <w:rFonts w:ascii="Times New Roman" w:hAnsi="Times New Roman" w:cs="Times New Roman"/>
        </w:rPr>
        <w:tab/>
      </w:r>
      <w:r w:rsidRPr="007901D2">
        <w:rPr>
          <w:rFonts w:ascii="Times New Roman" w:hAnsi="Times New Roman" w:cs="Times New Roman"/>
        </w:rPr>
        <w:t>The period for cost recovery</w:t>
      </w:r>
      <w:r w:rsidR="00034B94">
        <w:rPr>
          <w:rFonts w:ascii="Times New Roman" w:hAnsi="Times New Roman" w:cs="Times New Roman"/>
        </w:rPr>
        <w:t xml:space="preserve">, including the recovery of </w:t>
      </w:r>
      <w:r w:rsidR="00BB3F45">
        <w:rPr>
          <w:rFonts w:ascii="Times New Roman" w:hAnsi="Times New Roman" w:cs="Times New Roman"/>
        </w:rPr>
        <w:t>any approved construction work in progress (“</w:t>
      </w:r>
      <w:r w:rsidR="00034B94">
        <w:rPr>
          <w:rFonts w:ascii="Times New Roman" w:hAnsi="Times New Roman" w:cs="Times New Roman"/>
        </w:rPr>
        <w:t>CWIP</w:t>
      </w:r>
      <w:r w:rsidR="00BB3F45">
        <w:rPr>
          <w:rFonts w:ascii="Times New Roman" w:hAnsi="Times New Roman" w:cs="Times New Roman"/>
        </w:rPr>
        <w:t>”)</w:t>
      </w:r>
      <w:r w:rsidR="00034B94">
        <w:rPr>
          <w:rFonts w:ascii="Times New Roman" w:hAnsi="Times New Roman" w:cs="Times New Roman"/>
        </w:rPr>
        <w:t xml:space="preserve"> or </w:t>
      </w:r>
      <w:r w:rsidR="00BB3F45">
        <w:rPr>
          <w:rFonts w:ascii="Times New Roman" w:hAnsi="Times New Roman" w:cs="Times New Roman"/>
        </w:rPr>
        <w:t>allowance for funds used during construction (“</w:t>
      </w:r>
      <w:r w:rsidR="00034B94">
        <w:rPr>
          <w:rFonts w:ascii="Times New Roman" w:hAnsi="Times New Roman" w:cs="Times New Roman"/>
        </w:rPr>
        <w:t>AFUDC</w:t>
      </w:r>
      <w:r w:rsidR="00BB3F45">
        <w:rPr>
          <w:rFonts w:ascii="Times New Roman" w:hAnsi="Times New Roman" w:cs="Times New Roman"/>
        </w:rPr>
        <w:t>”)</w:t>
      </w:r>
      <w:r w:rsidR="00034B94">
        <w:rPr>
          <w:rFonts w:ascii="Times New Roman" w:hAnsi="Times New Roman" w:cs="Times New Roman"/>
        </w:rPr>
        <w:t xml:space="preserve">, if applicable, </w:t>
      </w:r>
      <w:r w:rsidRPr="007901D2">
        <w:rPr>
          <w:rFonts w:ascii="Times New Roman" w:hAnsi="Times New Roman" w:cs="Times New Roman"/>
        </w:rPr>
        <w:t>will be determined</w:t>
      </w:r>
      <w:r w:rsidR="00F72227">
        <w:rPr>
          <w:rFonts w:ascii="Times New Roman" w:hAnsi="Times New Roman" w:cs="Times New Roman"/>
        </w:rPr>
        <w:t xml:space="preserve"> in accordance with the CSRA.  Unless otherwise provided in the CSRA or otherwise approved</w:t>
      </w:r>
      <w:r w:rsidR="004E489F">
        <w:rPr>
          <w:rFonts w:ascii="Times New Roman" w:hAnsi="Times New Roman" w:cs="Times New Roman"/>
        </w:rPr>
        <w:t xml:space="preserve"> by an applicable Governmental Authority</w:t>
      </w:r>
      <w:r w:rsidR="00F547B5">
        <w:rPr>
          <w:rFonts w:ascii="Times New Roman" w:hAnsi="Times New Roman" w:cs="Times New Roman"/>
        </w:rPr>
        <w:t xml:space="preserve">, </w:t>
      </w:r>
      <w:r w:rsidR="004E489F">
        <w:rPr>
          <w:rFonts w:ascii="Times New Roman" w:hAnsi="Times New Roman" w:cs="Times New Roman"/>
        </w:rPr>
        <w:t>the period of recovery</w:t>
      </w:r>
      <w:r w:rsidR="00F72227">
        <w:rPr>
          <w:rFonts w:ascii="Times New Roman" w:hAnsi="Times New Roman" w:cs="Times New Roman"/>
        </w:rPr>
        <w:t xml:space="preserve"> </w:t>
      </w:r>
      <w:r w:rsidR="003F589A">
        <w:rPr>
          <w:rFonts w:ascii="Times New Roman" w:hAnsi="Times New Roman" w:cs="Times New Roman"/>
        </w:rPr>
        <w:t xml:space="preserve">for </w:t>
      </w:r>
      <w:r w:rsidR="00F72227">
        <w:rPr>
          <w:rFonts w:ascii="Times New Roman" w:hAnsi="Times New Roman" w:cs="Times New Roman"/>
        </w:rPr>
        <w:t xml:space="preserve">Eligible Projects </w:t>
      </w:r>
      <w:r w:rsidR="00F547B5">
        <w:rPr>
          <w:rFonts w:ascii="Times New Roman" w:hAnsi="Times New Roman" w:cs="Times New Roman"/>
        </w:rPr>
        <w:t>shall begin when a CLCPA Eligible Project enters service</w:t>
      </w:r>
      <w:r w:rsidR="00F72227">
        <w:rPr>
          <w:rFonts w:ascii="Times New Roman" w:hAnsi="Times New Roman" w:cs="Times New Roman"/>
        </w:rPr>
        <w:t xml:space="preserve">, or </w:t>
      </w:r>
      <w:r w:rsidR="003F589A">
        <w:rPr>
          <w:rFonts w:ascii="Times New Roman" w:hAnsi="Times New Roman" w:cs="Times New Roman"/>
        </w:rPr>
        <w:t xml:space="preserve">if such </w:t>
      </w:r>
      <w:r w:rsidR="00F72227">
        <w:rPr>
          <w:rFonts w:ascii="Times New Roman" w:hAnsi="Times New Roman" w:cs="Times New Roman"/>
        </w:rPr>
        <w:t>Eligible Project</w:t>
      </w:r>
      <w:r w:rsidR="003F589A">
        <w:rPr>
          <w:rFonts w:ascii="Times New Roman" w:hAnsi="Times New Roman" w:cs="Times New Roman"/>
        </w:rPr>
        <w:t xml:space="preserve"> shall not</w:t>
      </w:r>
      <w:r w:rsidR="00F72227">
        <w:rPr>
          <w:rFonts w:ascii="Times New Roman" w:hAnsi="Times New Roman" w:cs="Times New Roman"/>
        </w:rPr>
        <w:t xml:space="preserve"> enter service, after the Eligible Transmission Owner ceases construction of the project.</w:t>
      </w:r>
      <w:r w:rsidR="005674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The</w:t>
      </w:r>
      <w:r w:rsidR="00F72227">
        <w:rPr>
          <w:rFonts w:ascii="Times New Roman" w:hAnsi="Times New Roman" w:cs="Times New Roman"/>
        </w:rPr>
        <w:t xml:space="preserve"> Eligible</w:t>
      </w:r>
      <w:r>
        <w:rPr>
          <w:rFonts w:ascii="Times New Roman" w:hAnsi="Times New Roman" w:cs="Times New Roman"/>
        </w:rPr>
        <w:t xml:space="preserve"> Transmission Owner, or, at its request, the ISO</w:t>
      </w:r>
      <w:r w:rsidR="00004E92">
        <w:rPr>
          <w:rFonts w:ascii="Times New Roman" w:hAnsi="Times New Roman" w:cs="Times New Roman"/>
        </w:rPr>
        <w:t xml:space="preserve"> on behalf of the </w:t>
      </w:r>
      <w:r w:rsidR="002C4498">
        <w:rPr>
          <w:rFonts w:ascii="Times New Roman" w:hAnsi="Times New Roman" w:cs="Times New Roman"/>
        </w:rPr>
        <w:t>Eligible</w:t>
      </w:r>
      <w:r w:rsidR="00044450">
        <w:rPr>
          <w:rFonts w:ascii="Times New Roman" w:hAnsi="Times New Roman" w:cs="Times New Roman"/>
        </w:rPr>
        <w:t xml:space="preserve"> </w:t>
      </w:r>
      <w:r w:rsidR="00004E92">
        <w:rPr>
          <w:rFonts w:ascii="Times New Roman" w:hAnsi="Times New Roman" w:cs="Times New Roman"/>
        </w:rPr>
        <w:t>Transmission Owner</w:t>
      </w:r>
      <w:r>
        <w:rPr>
          <w:rFonts w:ascii="Times New Roman" w:hAnsi="Times New Roman" w:cs="Times New Roman"/>
        </w:rPr>
        <w:t xml:space="preserve">, shall </w:t>
      </w:r>
      <w:r w:rsidRPr="002C4498">
        <w:rPr>
          <w:rFonts w:ascii="Times New Roman" w:hAnsi="Times New Roman" w:cs="Times New Roman"/>
        </w:rPr>
        <w:t>either</w:t>
      </w:r>
      <w:r>
        <w:rPr>
          <w:rFonts w:ascii="Times New Roman" w:hAnsi="Times New Roman" w:cs="Times New Roman"/>
        </w:rPr>
        <w:t xml:space="preserve"> make a Section 205 filing with the Commission or make an informational filing under a formula rate to provide for the Commission’s review and approval</w:t>
      </w:r>
      <w:r w:rsidR="00BB3F45">
        <w:rPr>
          <w:rFonts w:ascii="Times New Roman" w:hAnsi="Times New Roman" w:cs="Times New Roman"/>
        </w:rPr>
        <w:t>/acceptance</w:t>
      </w:r>
      <w:r>
        <w:rPr>
          <w:rFonts w:ascii="Times New Roman" w:hAnsi="Times New Roman" w:cs="Times New Roman"/>
        </w:rPr>
        <w:t xml:space="preserve"> of the project cost and resulting revenue requirement to be recovered through the </w:t>
      </w:r>
      <w:r w:rsidR="00272504">
        <w:rPr>
          <w:rFonts w:ascii="Times New Roman" w:hAnsi="Times New Roman" w:cs="Times New Roman"/>
        </w:rPr>
        <w:t>CFC</w:t>
      </w:r>
      <w:r w:rsidR="008F22AC">
        <w:rPr>
          <w:rFonts w:ascii="Times New Roman" w:hAnsi="Times New Roman" w:cs="Times New Roman"/>
        </w:rPr>
        <w:t xml:space="preserve"> Charge</w:t>
      </w:r>
      <w:r w:rsidR="00BB3F45">
        <w:rPr>
          <w:rFonts w:ascii="Times New Roman" w:hAnsi="Times New Roman" w:cs="Times New Roman"/>
        </w:rPr>
        <w:t xml:space="preserve"> for </w:t>
      </w:r>
      <w:r w:rsidR="002C4498">
        <w:rPr>
          <w:rFonts w:ascii="Times New Roman" w:hAnsi="Times New Roman" w:cs="Times New Roman"/>
        </w:rPr>
        <w:t>an Eligible</w:t>
      </w:r>
      <w:r w:rsidR="00BB3F45">
        <w:rPr>
          <w:rFonts w:ascii="Times New Roman" w:hAnsi="Times New Roman" w:cs="Times New Roman"/>
        </w:rPr>
        <w:t xml:space="preserve"> Transmission Owner other than LIPA</w:t>
      </w:r>
      <w:r>
        <w:rPr>
          <w:rFonts w:ascii="Times New Roman" w:hAnsi="Times New Roman" w:cs="Times New Roman"/>
        </w:rPr>
        <w:t>.</w:t>
      </w:r>
      <w:r w:rsidR="005331B7">
        <w:rPr>
          <w:rFonts w:ascii="Times New Roman" w:hAnsi="Times New Roman" w:cs="Times New Roman"/>
        </w:rPr>
        <w:t xml:space="preserve">  </w:t>
      </w:r>
      <w:r w:rsidR="00004E92">
        <w:rPr>
          <w:rFonts w:ascii="Times New Roman" w:hAnsi="Times New Roman" w:cs="Times New Roman"/>
        </w:rPr>
        <w:t xml:space="preserve">The </w:t>
      </w:r>
      <w:r w:rsidR="002C4498">
        <w:rPr>
          <w:rFonts w:ascii="Times New Roman" w:hAnsi="Times New Roman" w:cs="Times New Roman"/>
        </w:rPr>
        <w:t>Eligible</w:t>
      </w:r>
      <w:r w:rsidR="00044450">
        <w:rPr>
          <w:rFonts w:ascii="Times New Roman" w:hAnsi="Times New Roman" w:cs="Times New Roman"/>
        </w:rPr>
        <w:t xml:space="preserve"> </w:t>
      </w:r>
      <w:r w:rsidR="00004E92">
        <w:rPr>
          <w:rFonts w:ascii="Times New Roman" w:hAnsi="Times New Roman" w:cs="Times New Roman"/>
        </w:rPr>
        <w:t xml:space="preserve">Transmission Owner shall bear the burden of resolving all concerns about the contents of the filing that might be raised in such proceeding.  </w:t>
      </w:r>
      <w:r>
        <w:rPr>
          <w:rFonts w:ascii="Times New Roman" w:hAnsi="Times New Roman" w:cs="Times New Roman"/>
        </w:rPr>
        <w:t xml:space="preserve">The ISO will begin to calculate and bill the </w:t>
      </w:r>
      <w:r w:rsidR="00272504">
        <w:rPr>
          <w:rFonts w:ascii="Times New Roman" w:hAnsi="Times New Roman" w:cs="Times New Roman"/>
        </w:rPr>
        <w:t>CFC</w:t>
      </w:r>
      <w:r w:rsidR="00324466"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in accordance with the </w:t>
      </w:r>
      <w:r w:rsidR="00543AF5">
        <w:rPr>
          <w:rFonts w:ascii="Times New Roman" w:hAnsi="Times New Roman" w:cs="Times New Roman"/>
        </w:rPr>
        <w:t xml:space="preserve">applicable </w:t>
      </w:r>
      <w:r>
        <w:rPr>
          <w:rFonts w:ascii="Times New Roman" w:hAnsi="Times New Roman" w:cs="Times New Roman"/>
        </w:rPr>
        <w:t>period for cost recovery</w:t>
      </w:r>
      <w:r w:rsidR="00B06DF5">
        <w:rPr>
          <w:rFonts w:ascii="Times New Roman" w:hAnsi="Times New Roman" w:cs="Times New Roman"/>
        </w:rPr>
        <w:t xml:space="preserve"> for each CLCPA Eligible Project</w:t>
      </w:r>
      <w:r>
        <w:rPr>
          <w:rFonts w:ascii="Times New Roman" w:hAnsi="Times New Roman" w:cs="Times New Roman"/>
        </w:rPr>
        <w:t>.</w:t>
      </w:r>
    </w:p>
    <w:p w:rsidR="004732BB" w:rsidP="00004E92" w14:paraId="41AF2241" w14:textId="77777777">
      <w:pPr>
        <w:pStyle w:val="Heading3"/>
        <w:keepNext/>
        <w:keepLines/>
        <w:widowControl/>
        <w:tabs>
          <w:tab w:val="left" w:pos="1080"/>
        </w:tabs>
        <w:spacing w:line="480" w:lineRule="auto"/>
        <w:ind w:left="108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="009D2164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.5</w:t>
      </w:r>
      <w:r>
        <w:rPr>
          <w:rFonts w:ascii="Times New Roman" w:hAnsi="Times New Roman" w:cs="Times New Roman"/>
          <w:b/>
          <w:bCs/>
        </w:rPr>
        <w:tab/>
      </w:r>
      <w:r w:rsidR="0023202A">
        <w:rPr>
          <w:rFonts w:ascii="Times New Roman" w:hAnsi="Times New Roman" w:cs="Times New Roman"/>
          <w:b/>
          <w:bCs/>
        </w:rPr>
        <w:t xml:space="preserve">Recovery of Costs </w:t>
      </w:r>
      <w:r w:rsidR="00A1248C">
        <w:rPr>
          <w:rFonts w:ascii="Times New Roman" w:hAnsi="Times New Roman" w:cs="Times New Roman"/>
          <w:b/>
          <w:bCs/>
        </w:rPr>
        <w:t xml:space="preserve">Incurred </w:t>
      </w:r>
      <w:r w:rsidR="0023202A">
        <w:rPr>
          <w:rFonts w:ascii="Times New Roman" w:hAnsi="Times New Roman" w:cs="Times New Roman"/>
          <w:b/>
          <w:bCs/>
        </w:rPr>
        <w:t xml:space="preserve">by </w:t>
      </w:r>
      <w:r w:rsidR="00034B94">
        <w:rPr>
          <w:rFonts w:ascii="Times New Roman" w:hAnsi="Times New Roman" w:cs="Times New Roman"/>
          <w:b/>
          <w:bCs/>
        </w:rPr>
        <w:t>LIPA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732BB" w14:paraId="76C1F592" w14:textId="77777777">
      <w:pPr>
        <w:widowControl/>
        <w:spacing w:line="480" w:lineRule="auto"/>
        <w:ind w:left="1440" w:hanging="720"/>
        <w:rPr>
          <w:rFonts w:ascii="Times New Roman" w:hAnsi="Times New Roman" w:cs="Times New Roman"/>
          <w:b/>
          <w:bCs/>
        </w:rPr>
      </w:pPr>
      <w:r w:rsidRPr="0023202A">
        <w:rPr>
          <w:rFonts w:ascii="Times New Roman" w:hAnsi="Times New Roman"/>
          <w:b/>
        </w:rPr>
        <w:t>6.</w:t>
      </w:r>
      <w:r w:rsidR="009D2164">
        <w:rPr>
          <w:rFonts w:ascii="Times New Roman" w:hAnsi="Times New Roman" w:cs="Times New Roman"/>
          <w:b/>
        </w:rPr>
        <w:t>19</w:t>
      </w:r>
      <w:r w:rsidRPr="001369BB">
        <w:rPr>
          <w:rFonts w:ascii="Times New Roman" w:hAnsi="Times New Roman" w:cs="Times New Roman"/>
          <w:b/>
        </w:rPr>
        <w:t>.5.1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Cost Recovery for LIPA</w:t>
      </w:r>
    </w:p>
    <w:p w:rsidR="00695B02" w:rsidP="002C4498" w14:paraId="09F6D9B4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 w:rsidR="00034B94">
        <w:rPr>
          <w:rFonts w:ascii="Times New Roman" w:hAnsi="Times New Roman" w:cs="Times New Roman"/>
        </w:rPr>
        <w:t>.5.1</w:t>
      </w:r>
      <w:r w:rsidR="004732BB">
        <w:rPr>
          <w:rFonts w:ascii="Times New Roman" w:hAnsi="Times New Roman" w:cs="Times New Roman"/>
        </w:rPr>
        <w:t>.1</w:t>
      </w:r>
      <w:r w:rsidR="004732BB">
        <w:rPr>
          <w:rFonts w:ascii="Times New Roman" w:hAnsi="Times New Roman" w:cs="Times New Roman"/>
        </w:rPr>
        <w:tab/>
      </w:r>
      <w:r w:rsidR="00802CC5">
        <w:rPr>
          <w:rFonts w:ascii="Times New Roman" w:hAnsi="Times New Roman" w:cs="Times New Roman"/>
        </w:rPr>
        <w:t>The LIPA CFC Charge shall be used as the cost recovery mechanism for the recovery of the costs</w:t>
      </w:r>
      <w:r w:rsidR="00223699">
        <w:rPr>
          <w:rFonts w:ascii="Times New Roman" w:hAnsi="Times New Roman" w:cs="Times New Roman"/>
        </w:rPr>
        <w:t xml:space="preserve">, as approved for recovery </w:t>
      </w:r>
      <w:r w:rsidR="00A539A5">
        <w:rPr>
          <w:rFonts w:ascii="Times New Roman" w:hAnsi="Times New Roman" w:cs="Times New Roman"/>
        </w:rPr>
        <w:t>pursuant to the CSRA</w:t>
      </w:r>
      <w:r w:rsidR="00223699">
        <w:rPr>
          <w:rFonts w:ascii="Times New Roman" w:hAnsi="Times New Roman" w:cs="Times New Roman"/>
        </w:rPr>
        <w:t>,</w:t>
      </w:r>
      <w:r w:rsidR="00802CC5">
        <w:rPr>
          <w:rFonts w:ascii="Times New Roman" w:hAnsi="Times New Roman" w:cs="Times New Roman"/>
        </w:rPr>
        <w:t xml:space="preserve"> of </w:t>
      </w:r>
      <w:r w:rsidR="00223699">
        <w:rPr>
          <w:rFonts w:ascii="Times New Roman" w:hAnsi="Times New Roman" w:cs="Times New Roman"/>
        </w:rPr>
        <w:t>each</w:t>
      </w:r>
      <w:r w:rsidR="00802CC5">
        <w:rPr>
          <w:rFonts w:ascii="Times New Roman" w:hAnsi="Times New Roman" w:cs="Times New Roman"/>
        </w:rPr>
        <w:t xml:space="preserve"> CLCPA Eligible Project undertaken by LIPA.</w:t>
      </w:r>
      <w:r w:rsidR="00C019AD">
        <w:rPr>
          <w:rFonts w:ascii="Times New Roman" w:hAnsi="Times New Roman" w:cs="Times New Roman"/>
        </w:rPr>
        <w:t xml:space="preserve"> </w:t>
      </w:r>
      <w:r w:rsidR="00413AB7">
        <w:rPr>
          <w:rFonts w:ascii="Times New Roman" w:hAnsi="Times New Roman" w:cs="Times New Roman"/>
        </w:rPr>
        <w:t>LIPA is an Unregulated Transmitting Utility and</w:t>
      </w:r>
      <w:r w:rsidR="0056741D">
        <w:rPr>
          <w:rFonts w:ascii="Times New Roman" w:hAnsi="Times New Roman" w:cs="Times New Roman"/>
        </w:rPr>
        <w:t xml:space="preserve"> </w:t>
      </w:r>
      <w:r w:rsidRPr="00197A07" w:rsidR="00197A07">
        <w:rPr>
          <w:rFonts w:ascii="Times New Roman" w:hAnsi="Times New Roman" w:cs="Times New Roman"/>
        </w:rPr>
        <w:t>pursuant to Section 201(f) of the Federal Power Act, is not subject to the Commission’s jurisdiction under Sections 205 and 206(a) of the Federal Power Act.</w:t>
      </w:r>
      <w:r w:rsidR="00413AB7">
        <w:rPr>
          <w:rFonts w:ascii="Times New Roman" w:hAnsi="Times New Roman" w:cs="Times New Roman"/>
        </w:rPr>
        <w:t xml:space="preserve"> </w:t>
      </w:r>
      <w:r w:rsidR="00197A07">
        <w:rPr>
          <w:rFonts w:ascii="Times New Roman" w:hAnsi="Times New Roman" w:cs="Times New Roman"/>
        </w:rPr>
        <w:t>LIPA’s</w:t>
      </w:r>
      <w:r w:rsidR="00413AB7">
        <w:rPr>
          <w:rFonts w:ascii="Times New Roman" w:hAnsi="Times New Roman" w:cs="Times New Roman"/>
        </w:rPr>
        <w:t xml:space="preserve"> revenue requirement for calculating the LIPA CFC Charge is</w:t>
      </w:r>
      <w:r w:rsidR="004732BB">
        <w:rPr>
          <w:rFonts w:ascii="Times New Roman" w:hAnsi="Times New Roman" w:cs="Times New Roman"/>
        </w:rPr>
        <w:t xml:space="preserve"> approved by the L</w:t>
      </w:r>
      <w:r w:rsidR="008708C9">
        <w:rPr>
          <w:rFonts w:ascii="Times New Roman" w:hAnsi="Times New Roman" w:cs="Times New Roman"/>
        </w:rPr>
        <w:t>IPA</w:t>
      </w:r>
      <w:r w:rsidR="004732BB">
        <w:rPr>
          <w:rFonts w:ascii="Times New Roman" w:hAnsi="Times New Roman" w:cs="Times New Roman"/>
        </w:rPr>
        <w:t xml:space="preserve"> Board of Trustees pursuant to Article 5, Title 1-A of the New York Public Authorities Law, Sections 1020-f(u) and 1020-s.</w:t>
      </w:r>
      <w:r>
        <w:rPr>
          <w:rFonts w:ascii="Times New Roman" w:hAnsi="Times New Roman" w:cs="Times New Roman"/>
        </w:rPr>
        <w:t xml:space="preserve"> </w:t>
      </w:r>
      <w:r w:rsidR="00A236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costs that may be included in the revenue requirement for calculating the LIPA CFC Charge </w:t>
      </w:r>
      <w:r w:rsidRPr="007901D2">
        <w:rPr>
          <w:rFonts w:ascii="Times New Roman" w:hAnsi="Times New Roman" w:cs="Times New Roman"/>
        </w:rPr>
        <w:t>include all reasonably incurred costs</w:t>
      </w:r>
      <w:r w:rsidR="00095457">
        <w:rPr>
          <w:rFonts w:ascii="Times New Roman" w:hAnsi="Times New Roman" w:cs="Times New Roman"/>
        </w:rPr>
        <w:t xml:space="preserve"> </w:t>
      </w:r>
      <w:r w:rsidRPr="007901D2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 xml:space="preserve"> to the preparation of proposals for, and the development, financing, construction, operation, and maintenance of, a CLCPA Eligible Project, including those costs explicitly permitted for recovery pursuant to the CSRA.</w:t>
      </w:r>
      <w:r w:rsidR="008A5E1F">
        <w:rPr>
          <w:rFonts w:ascii="Times New Roman" w:hAnsi="Times New Roman" w:cs="Times New Roman"/>
        </w:rPr>
        <w:t xml:space="preserve"> The period for cost recovery for each CLCPA Eligible Project undertaken by LIPA</w:t>
      </w:r>
      <w:r w:rsidR="00964CB4">
        <w:rPr>
          <w:rFonts w:ascii="Times New Roman" w:hAnsi="Times New Roman" w:cs="Times New Roman"/>
        </w:rPr>
        <w:t xml:space="preserve"> shall be determined by the LIPA Board of Trustees</w:t>
      </w:r>
      <w:r w:rsidR="00A539A5">
        <w:rPr>
          <w:rFonts w:ascii="Times New Roman" w:hAnsi="Times New Roman" w:cs="Times New Roman"/>
        </w:rPr>
        <w:t>, provided that such period of recovery is consistent with the terms of the CSRA</w:t>
      </w:r>
      <w:r w:rsidR="00964CB4">
        <w:rPr>
          <w:rFonts w:ascii="Times New Roman" w:hAnsi="Times New Roman" w:cs="Times New Roman"/>
        </w:rPr>
        <w:t>.</w:t>
      </w:r>
    </w:p>
    <w:p w:rsidR="004732BB" w:rsidP="00E271D2" w14:paraId="5E0A8503" w14:textId="77777777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5B84">
        <w:rPr>
          <w:rFonts w:ascii="Times New Roman" w:hAnsi="Times New Roman" w:cs="Times New Roman"/>
        </w:rPr>
        <w:t>6.</w:t>
      </w:r>
      <w:r w:rsidR="009D2164">
        <w:rPr>
          <w:rFonts w:ascii="Times New Roman" w:hAnsi="Times New Roman" w:cs="Times New Roman"/>
        </w:rPr>
        <w:t>19</w:t>
      </w:r>
      <w:r w:rsidR="00413AB7">
        <w:rPr>
          <w:rFonts w:ascii="Times New Roman" w:hAnsi="Times New Roman" w:cs="Times New Roman"/>
        </w:rPr>
        <w:t>.5.</w:t>
      </w:r>
      <w:r w:rsidR="00B01D41">
        <w:rPr>
          <w:rFonts w:ascii="Times New Roman" w:hAnsi="Times New Roman" w:cs="Times New Roman"/>
        </w:rPr>
        <w:t>1</w:t>
      </w:r>
      <w:r w:rsidR="00413AB7">
        <w:rPr>
          <w:rFonts w:ascii="Times New Roman" w:hAnsi="Times New Roman" w:cs="Times New Roman"/>
        </w:rPr>
        <w:t>.2</w:t>
      </w:r>
      <w:r w:rsidR="00413AB7">
        <w:rPr>
          <w:rFonts w:ascii="Times New Roman" w:hAnsi="Times New Roman" w:cs="Times New Roman"/>
        </w:rPr>
        <w:tab/>
      </w:r>
      <w:r w:rsidR="00964CB4">
        <w:rPr>
          <w:rFonts w:ascii="Times New Roman" w:hAnsi="Times New Roman" w:cs="Times New Roman"/>
        </w:rPr>
        <w:t>If requested to do so by LIPA, t</w:t>
      </w:r>
      <w:r>
        <w:rPr>
          <w:rFonts w:ascii="Times New Roman" w:hAnsi="Times New Roman" w:cs="Times New Roman"/>
        </w:rPr>
        <w:t xml:space="preserve">he ISO shall file </w:t>
      </w:r>
      <w:r w:rsidR="0045293E">
        <w:rPr>
          <w:rFonts w:ascii="Times New Roman" w:hAnsi="Times New Roman" w:cs="Times New Roman"/>
        </w:rPr>
        <w:t>LIPA’s</w:t>
      </w:r>
      <w:r>
        <w:rPr>
          <w:rFonts w:ascii="Times New Roman" w:hAnsi="Times New Roman" w:cs="Times New Roman"/>
        </w:rPr>
        <w:t xml:space="preserve"> revenue requirement for </w:t>
      </w:r>
      <w:r w:rsidR="00964CB4">
        <w:rPr>
          <w:rFonts w:ascii="Times New Roman" w:hAnsi="Times New Roman" w:cs="Times New Roman"/>
        </w:rPr>
        <w:t xml:space="preserve">each CLCPA Eligible Project undertaken by LIPA </w:t>
      </w:r>
      <w:r w:rsidR="00413AB7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Commission review under the same “comparability” standard as is applied to review of changes in LIPA’s TSC under</w:t>
      </w:r>
      <w:r w:rsidR="00413AB7">
        <w:rPr>
          <w:rFonts w:ascii="Times New Roman" w:hAnsi="Times New Roman" w:cs="Times New Roman"/>
        </w:rPr>
        <w:t xml:space="preserve"> Attachment H of the ISO OATT. </w:t>
      </w:r>
      <w:r>
        <w:rPr>
          <w:rFonts w:ascii="Times New Roman" w:hAnsi="Times New Roman" w:cs="Times New Roman"/>
        </w:rPr>
        <w:t>LIPA shall bear the burden of resolving all concerns about the contents of the filing that might be raised in such proceeding.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Upon the Commission’s acceptance for filing of LIPA’s revenue requirement </w:t>
      </w:r>
      <w:r w:rsidR="00964CB4">
        <w:rPr>
          <w:rFonts w:ascii="Times New Roman" w:hAnsi="Times New Roman" w:cs="Times New Roman"/>
        </w:rPr>
        <w:t>for each CLCPA Eligible Project undertaken by LIPA</w:t>
      </w:r>
      <w:r w:rsidR="00032447">
        <w:rPr>
          <w:rFonts w:ascii="Times New Roman" w:hAnsi="Times New Roman" w:cs="Times New Roman"/>
        </w:rPr>
        <w:t>, the ISO will calculate and bill</w:t>
      </w:r>
      <w:r w:rsidRPr="009E3148" w:rsidR="009E3148">
        <w:rPr>
          <w:rFonts w:ascii="Times New Roman" w:hAnsi="Times New Roman" w:cs="Times New Roman"/>
        </w:rPr>
        <w:t xml:space="preserve"> </w:t>
      </w:r>
      <w:r w:rsidR="009E3148">
        <w:rPr>
          <w:rFonts w:ascii="Times New Roman" w:hAnsi="Times New Roman" w:cs="Times New Roman"/>
        </w:rPr>
        <w:t>a LIPA CFC Charge in accordance with the approved period for cost recovery for each CLCPA Eligi</w:t>
      </w:r>
      <w:r w:rsidR="00E271D2">
        <w:rPr>
          <w:rFonts w:ascii="Times New Roman" w:hAnsi="Times New Roman" w:cs="Times New Roman"/>
        </w:rPr>
        <w:t>ble Project undertaken by LIPA.</w:t>
      </w:r>
    </w:p>
    <w:p w:rsidR="006816D5" w:rsidP="002C4498" w14:paraId="549DADE3" w14:textId="77777777">
      <w:pPr>
        <w:pStyle w:val="Heading4"/>
        <w:keepNext/>
        <w:widowControl/>
        <w:tabs>
          <w:tab w:val="left" w:pos="1890"/>
        </w:tabs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36499D">
        <w:rPr>
          <w:rFonts w:ascii="Times New Roman" w:hAnsi="Times New Roman" w:cs="Times New Roman"/>
          <w:b/>
          <w:bCs/>
        </w:rPr>
        <w:t>.</w:t>
      </w:r>
      <w:r w:rsidR="009D2164">
        <w:rPr>
          <w:rFonts w:ascii="Times New Roman" w:hAnsi="Times New Roman" w:cs="Times New Roman"/>
          <w:b/>
          <w:bCs/>
        </w:rPr>
        <w:t>19</w:t>
      </w:r>
      <w:r w:rsidR="0036499D">
        <w:rPr>
          <w:rFonts w:ascii="Times New Roman" w:hAnsi="Times New Roman" w:cs="Times New Roman"/>
          <w:b/>
          <w:bCs/>
        </w:rPr>
        <w:t>.</w:t>
      </w:r>
      <w:r w:rsidR="004732BB">
        <w:rPr>
          <w:rFonts w:ascii="Times New Roman" w:hAnsi="Times New Roman" w:cs="Times New Roman"/>
          <w:b/>
          <w:bCs/>
        </w:rPr>
        <w:t>5.</w:t>
      </w:r>
      <w:r w:rsidR="00EF1CEC">
        <w:rPr>
          <w:rFonts w:ascii="Times New Roman" w:hAnsi="Times New Roman" w:cs="Times New Roman"/>
          <w:b/>
          <w:bCs/>
        </w:rPr>
        <w:t>2</w:t>
      </w:r>
      <w:r w:rsidR="004732BB">
        <w:rPr>
          <w:rFonts w:ascii="Times New Roman" w:hAnsi="Times New Roman" w:cs="Times New Roman"/>
          <w:b/>
          <w:bCs/>
        </w:rPr>
        <w:tab/>
      </w:r>
      <w:r w:rsidRPr="00413AB7" w:rsidR="004732BB">
        <w:rPr>
          <w:rFonts w:ascii="Times New Roman" w:hAnsi="Times New Roman"/>
          <w:b/>
        </w:rPr>
        <w:t>Savings Clause</w:t>
      </w:r>
      <w:r w:rsidR="00DD1EF3">
        <w:rPr>
          <w:rFonts w:ascii="Times New Roman" w:hAnsi="Times New Roman" w:cs="Times New Roman"/>
        </w:rPr>
        <w:t xml:space="preserve"> </w:t>
      </w:r>
    </w:p>
    <w:p w:rsidR="004732BB" w:rsidRPr="00413AB7" w:rsidP="002C4498" w14:paraId="4024C996" w14:textId="77777777">
      <w:pPr>
        <w:pStyle w:val="Heading4"/>
        <w:keepNext/>
        <w:widowControl/>
        <w:tabs>
          <w:tab w:val="left" w:pos="1890"/>
        </w:tabs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The inclusion in the ISO OATT</w:t>
      </w:r>
      <w:r w:rsidR="00FA75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in a filing with the Com</w:t>
      </w:r>
      <w:r w:rsidR="00525B84">
        <w:rPr>
          <w:rFonts w:ascii="Times New Roman" w:hAnsi="Times New Roman" w:cs="Times New Roman"/>
        </w:rPr>
        <w:t>mission pursuant to Section 6.</w:t>
      </w:r>
      <w:r w:rsidR="009D216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.5 </w:t>
      </w:r>
      <w:r w:rsidR="00964CB4">
        <w:rPr>
          <w:rFonts w:ascii="Times New Roman" w:hAnsi="Times New Roman" w:cs="Times New Roman"/>
        </w:rPr>
        <w:t>of the ISO OATT</w:t>
      </w:r>
      <w:r w:rsidR="00FA75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of the revenue requirement for recovery of costs incurred by LIPA </w:t>
      </w:r>
      <w:r w:rsidR="00FA7523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</w:t>
      </w:r>
      <w:r w:rsidR="00455F0F">
        <w:rPr>
          <w:rFonts w:ascii="Times New Roman" w:hAnsi="Times New Roman" w:cs="Times New Roman"/>
        </w:rPr>
        <w:t xml:space="preserve"> CLCPA</w:t>
      </w:r>
      <w:r>
        <w:rPr>
          <w:rFonts w:ascii="Times New Roman" w:hAnsi="Times New Roman" w:cs="Times New Roman"/>
        </w:rPr>
        <w:t xml:space="preserve"> </w:t>
      </w:r>
      <w:r w:rsidR="00896B46">
        <w:rPr>
          <w:rFonts w:ascii="Times New Roman" w:hAnsi="Times New Roman" w:cs="Times New Roman"/>
        </w:rPr>
        <w:t>Eligible Project</w:t>
      </w:r>
      <w:r>
        <w:rPr>
          <w:rFonts w:ascii="Times New Roman" w:hAnsi="Times New Roman" w:cs="Times New Roman"/>
        </w:rPr>
        <w:t xml:space="preserve"> </w:t>
      </w:r>
      <w:r w:rsidR="00FA7523">
        <w:rPr>
          <w:rFonts w:ascii="Times New Roman" w:hAnsi="Times New Roman" w:cs="Times New Roman"/>
        </w:rPr>
        <w:t xml:space="preserve">undertaken by LIPA, </w:t>
      </w:r>
      <w:r>
        <w:rPr>
          <w:rFonts w:ascii="Times New Roman" w:hAnsi="Times New Roman" w:cs="Times New Roman"/>
        </w:rPr>
        <w:t xml:space="preserve">or the inclusion of such revenue requirement in </w:t>
      </w:r>
      <w:r w:rsidR="000556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LIPA </w:t>
      </w:r>
      <w:r w:rsidR="00272504">
        <w:rPr>
          <w:rFonts w:ascii="Times New Roman" w:hAnsi="Times New Roman" w:cs="Times New Roman"/>
        </w:rPr>
        <w:t>CFC</w:t>
      </w:r>
      <w:r w:rsidR="0036499D"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>, shall not be deemed to modify the treatment of such rates as non-jurisdictional pursuant to Section 201(f) of the FPA.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8/22/2022 - Docket #: ER22-2154-001 -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8/22/2022 - Docket #: ER22-2154-001 -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8/22/2022 - Docket #: ER22-2154-001 -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 OATT Schedule 19 Rate Mechanism for the Recovery of 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 OATT Schedule 19 Rate Mechanism for the Recovery of 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 OATT Schedule 19 Rate Mechanism for the Recovery of 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0A"/>
    <w:rsid w:val="00004E92"/>
    <w:rsid w:val="00005DD3"/>
    <w:rsid w:val="0001032E"/>
    <w:rsid w:val="0001684D"/>
    <w:rsid w:val="00021934"/>
    <w:rsid w:val="000222AC"/>
    <w:rsid w:val="00032447"/>
    <w:rsid w:val="00034B94"/>
    <w:rsid w:val="00044450"/>
    <w:rsid w:val="00054B09"/>
    <w:rsid w:val="00055677"/>
    <w:rsid w:val="000652D8"/>
    <w:rsid w:val="00066C5B"/>
    <w:rsid w:val="00084515"/>
    <w:rsid w:val="0008714F"/>
    <w:rsid w:val="0009337C"/>
    <w:rsid w:val="00095457"/>
    <w:rsid w:val="000A319E"/>
    <w:rsid w:val="000A5680"/>
    <w:rsid w:val="000B0B42"/>
    <w:rsid w:val="000C5B76"/>
    <w:rsid w:val="000D7076"/>
    <w:rsid w:val="000D7222"/>
    <w:rsid w:val="001058D3"/>
    <w:rsid w:val="00113D7E"/>
    <w:rsid w:val="0012782D"/>
    <w:rsid w:val="001369BB"/>
    <w:rsid w:val="001370B9"/>
    <w:rsid w:val="001370CC"/>
    <w:rsid w:val="001659AE"/>
    <w:rsid w:val="00176E31"/>
    <w:rsid w:val="001811D5"/>
    <w:rsid w:val="00183862"/>
    <w:rsid w:val="00185184"/>
    <w:rsid w:val="00195C8B"/>
    <w:rsid w:val="00197A07"/>
    <w:rsid w:val="001A0D92"/>
    <w:rsid w:val="001A36E1"/>
    <w:rsid w:val="001B219B"/>
    <w:rsid w:val="001C0292"/>
    <w:rsid w:val="001C0FB2"/>
    <w:rsid w:val="001C513F"/>
    <w:rsid w:val="001D692F"/>
    <w:rsid w:val="001E0FD9"/>
    <w:rsid w:val="001E6776"/>
    <w:rsid w:val="001F1758"/>
    <w:rsid w:val="0020048F"/>
    <w:rsid w:val="00223699"/>
    <w:rsid w:val="0023202A"/>
    <w:rsid w:val="00232647"/>
    <w:rsid w:val="002434C4"/>
    <w:rsid w:val="0025541A"/>
    <w:rsid w:val="002628D0"/>
    <w:rsid w:val="00271624"/>
    <w:rsid w:val="00272504"/>
    <w:rsid w:val="0027300E"/>
    <w:rsid w:val="00292DB9"/>
    <w:rsid w:val="00295535"/>
    <w:rsid w:val="002A0AF4"/>
    <w:rsid w:val="002A5C4D"/>
    <w:rsid w:val="002B2466"/>
    <w:rsid w:val="002B4AE0"/>
    <w:rsid w:val="002C4498"/>
    <w:rsid w:val="002D0985"/>
    <w:rsid w:val="002D3D07"/>
    <w:rsid w:val="002D4E48"/>
    <w:rsid w:val="002E3170"/>
    <w:rsid w:val="002E377B"/>
    <w:rsid w:val="002E4A7C"/>
    <w:rsid w:val="002E4C3E"/>
    <w:rsid w:val="00302C0D"/>
    <w:rsid w:val="00312898"/>
    <w:rsid w:val="00324466"/>
    <w:rsid w:val="00331594"/>
    <w:rsid w:val="003504D7"/>
    <w:rsid w:val="00356A3A"/>
    <w:rsid w:val="0036499D"/>
    <w:rsid w:val="00371BA2"/>
    <w:rsid w:val="00373801"/>
    <w:rsid w:val="00386703"/>
    <w:rsid w:val="0039397A"/>
    <w:rsid w:val="003A4233"/>
    <w:rsid w:val="003B13EA"/>
    <w:rsid w:val="003D131A"/>
    <w:rsid w:val="003F2EBB"/>
    <w:rsid w:val="003F4C0F"/>
    <w:rsid w:val="003F589A"/>
    <w:rsid w:val="003F7F55"/>
    <w:rsid w:val="00410870"/>
    <w:rsid w:val="00413AB7"/>
    <w:rsid w:val="00415265"/>
    <w:rsid w:val="0042489A"/>
    <w:rsid w:val="00436482"/>
    <w:rsid w:val="004429D1"/>
    <w:rsid w:val="0044410E"/>
    <w:rsid w:val="00445833"/>
    <w:rsid w:val="0045293E"/>
    <w:rsid w:val="00455F0F"/>
    <w:rsid w:val="00461229"/>
    <w:rsid w:val="004732BB"/>
    <w:rsid w:val="00475F57"/>
    <w:rsid w:val="00494254"/>
    <w:rsid w:val="004C1EC3"/>
    <w:rsid w:val="004C2BBE"/>
    <w:rsid w:val="004C62E5"/>
    <w:rsid w:val="004D06C3"/>
    <w:rsid w:val="004D4974"/>
    <w:rsid w:val="004E0174"/>
    <w:rsid w:val="004E489F"/>
    <w:rsid w:val="004F02E6"/>
    <w:rsid w:val="00500B49"/>
    <w:rsid w:val="00502F37"/>
    <w:rsid w:val="00516BA8"/>
    <w:rsid w:val="00525B84"/>
    <w:rsid w:val="005331B7"/>
    <w:rsid w:val="00543AF5"/>
    <w:rsid w:val="005501C4"/>
    <w:rsid w:val="00561E1F"/>
    <w:rsid w:val="00564BB0"/>
    <w:rsid w:val="005658AC"/>
    <w:rsid w:val="0056741D"/>
    <w:rsid w:val="00571DB1"/>
    <w:rsid w:val="00572EB6"/>
    <w:rsid w:val="00575167"/>
    <w:rsid w:val="00590915"/>
    <w:rsid w:val="005945E3"/>
    <w:rsid w:val="005967A5"/>
    <w:rsid w:val="005A062E"/>
    <w:rsid w:val="005A4340"/>
    <w:rsid w:val="005A53B8"/>
    <w:rsid w:val="005B7B38"/>
    <w:rsid w:val="005D555B"/>
    <w:rsid w:val="005E007D"/>
    <w:rsid w:val="005E010A"/>
    <w:rsid w:val="005E02F8"/>
    <w:rsid w:val="005E0B5D"/>
    <w:rsid w:val="005E5948"/>
    <w:rsid w:val="00616665"/>
    <w:rsid w:val="00625498"/>
    <w:rsid w:val="00643081"/>
    <w:rsid w:val="006543C7"/>
    <w:rsid w:val="0066794E"/>
    <w:rsid w:val="0067142D"/>
    <w:rsid w:val="00675716"/>
    <w:rsid w:val="0068139A"/>
    <w:rsid w:val="006816D5"/>
    <w:rsid w:val="006900B4"/>
    <w:rsid w:val="00695B02"/>
    <w:rsid w:val="006B1BBF"/>
    <w:rsid w:val="006C5125"/>
    <w:rsid w:val="006C6C58"/>
    <w:rsid w:val="006D5D15"/>
    <w:rsid w:val="006D5F85"/>
    <w:rsid w:val="006E31F9"/>
    <w:rsid w:val="006F10F4"/>
    <w:rsid w:val="00707D20"/>
    <w:rsid w:val="00710099"/>
    <w:rsid w:val="007137E1"/>
    <w:rsid w:val="0072283E"/>
    <w:rsid w:val="00734722"/>
    <w:rsid w:val="00747772"/>
    <w:rsid w:val="00750C36"/>
    <w:rsid w:val="00753498"/>
    <w:rsid w:val="00754111"/>
    <w:rsid w:val="0076730F"/>
    <w:rsid w:val="00772C18"/>
    <w:rsid w:val="007901D2"/>
    <w:rsid w:val="007967AB"/>
    <w:rsid w:val="007A014B"/>
    <w:rsid w:val="007A1DD6"/>
    <w:rsid w:val="007C3345"/>
    <w:rsid w:val="007E234F"/>
    <w:rsid w:val="007E34A9"/>
    <w:rsid w:val="007E5D9A"/>
    <w:rsid w:val="007F59A5"/>
    <w:rsid w:val="007F5E48"/>
    <w:rsid w:val="00802CC5"/>
    <w:rsid w:val="00813803"/>
    <w:rsid w:val="0081398E"/>
    <w:rsid w:val="00813D6A"/>
    <w:rsid w:val="00816EC0"/>
    <w:rsid w:val="008203C8"/>
    <w:rsid w:val="00826F7E"/>
    <w:rsid w:val="00832D9B"/>
    <w:rsid w:val="00841EAD"/>
    <w:rsid w:val="00846221"/>
    <w:rsid w:val="0085560A"/>
    <w:rsid w:val="00864045"/>
    <w:rsid w:val="00867DC0"/>
    <w:rsid w:val="008708C9"/>
    <w:rsid w:val="00873070"/>
    <w:rsid w:val="00874F2F"/>
    <w:rsid w:val="00882036"/>
    <w:rsid w:val="00884BA5"/>
    <w:rsid w:val="0088502E"/>
    <w:rsid w:val="00885634"/>
    <w:rsid w:val="00885FAA"/>
    <w:rsid w:val="008868A3"/>
    <w:rsid w:val="00887048"/>
    <w:rsid w:val="00893A8D"/>
    <w:rsid w:val="00896B46"/>
    <w:rsid w:val="0089798D"/>
    <w:rsid w:val="008A0D52"/>
    <w:rsid w:val="008A1063"/>
    <w:rsid w:val="008A5E1F"/>
    <w:rsid w:val="008C3DCB"/>
    <w:rsid w:val="008D0F44"/>
    <w:rsid w:val="008D79C8"/>
    <w:rsid w:val="008D7FF9"/>
    <w:rsid w:val="008E3A1F"/>
    <w:rsid w:val="008E556A"/>
    <w:rsid w:val="008F1789"/>
    <w:rsid w:val="008F22AC"/>
    <w:rsid w:val="009034E0"/>
    <w:rsid w:val="00915406"/>
    <w:rsid w:val="00933C7A"/>
    <w:rsid w:val="00936444"/>
    <w:rsid w:val="009518F4"/>
    <w:rsid w:val="00952FED"/>
    <w:rsid w:val="00953B16"/>
    <w:rsid w:val="00964CB4"/>
    <w:rsid w:val="00975420"/>
    <w:rsid w:val="009816DD"/>
    <w:rsid w:val="00985760"/>
    <w:rsid w:val="009A1A52"/>
    <w:rsid w:val="009C3DCC"/>
    <w:rsid w:val="009D2164"/>
    <w:rsid w:val="009D2177"/>
    <w:rsid w:val="009E3148"/>
    <w:rsid w:val="00A0127B"/>
    <w:rsid w:val="00A0255D"/>
    <w:rsid w:val="00A1248C"/>
    <w:rsid w:val="00A20225"/>
    <w:rsid w:val="00A21805"/>
    <w:rsid w:val="00A2361C"/>
    <w:rsid w:val="00A375CE"/>
    <w:rsid w:val="00A43F04"/>
    <w:rsid w:val="00A441BB"/>
    <w:rsid w:val="00A5009F"/>
    <w:rsid w:val="00A51470"/>
    <w:rsid w:val="00A539A5"/>
    <w:rsid w:val="00A567E8"/>
    <w:rsid w:val="00A622E0"/>
    <w:rsid w:val="00A804C7"/>
    <w:rsid w:val="00A831B8"/>
    <w:rsid w:val="00A91118"/>
    <w:rsid w:val="00A96264"/>
    <w:rsid w:val="00A96530"/>
    <w:rsid w:val="00AA2218"/>
    <w:rsid w:val="00AC37C1"/>
    <w:rsid w:val="00AC457C"/>
    <w:rsid w:val="00AC49CC"/>
    <w:rsid w:val="00AD7C7A"/>
    <w:rsid w:val="00AE72D0"/>
    <w:rsid w:val="00AF3725"/>
    <w:rsid w:val="00AF3BF8"/>
    <w:rsid w:val="00AF3D4C"/>
    <w:rsid w:val="00AF3E3F"/>
    <w:rsid w:val="00B01D41"/>
    <w:rsid w:val="00B06DF5"/>
    <w:rsid w:val="00B15864"/>
    <w:rsid w:val="00B1636F"/>
    <w:rsid w:val="00B25DB4"/>
    <w:rsid w:val="00B30D9B"/>
    <w:rsid w:val="00B33EF6"/>
    <w:rsid w:val="00B54A12"/>
    <w:rsid w:val="00B60743"/>
    <w:rsid w:val="00B622B9"/>
    <w:rsid w:val="00BB3F45"/>
    <w:rsid w:val="00BB4362"/>
    <w:rsid w:val="00BC4A12"/>
    <w:rsid w:val="00BE2971"/>
    <w:rsid w:val="00BE3C63"/>
    <w:rsid w:val="00BE7232"/>
    <w:rsid w:val="00C019AD"/>
    <w:rsid w:val="00C05AF1"/>
    <w:rsid w:val="00C07653"/>
    <w:rsid w:val="00C14D0A"/>
    <w:rsid w:val="00C1722C"/>
    <w:rsid w:val="00C24D17"/>
    <w:rsid w:val="00C30AAD"/>
    <w:rsid w:val="00C36885"/>
    <w:rsid w:val="00C47E07"/>
    <w:rsid w:val="00C60D98"/>
    <w:rsid w:val="00C657B3"/>
    <w:rsid w:val="00C75520"/>
    <w:rsid w:val="00C83EAF"/>
    <w:rsid w:val="00C91C4D"/>
    <w:rsid w:val="00C929D0"/>
    <w:rsid w:val="00CA4461"/>
    <w:rsid w:val="00CA5425"/>
    <w:rsid w:val="00CA64E2"/>
    <w:rsid w:val="00CB2CFA"/>
    <w:rsid w:val="00CB32A4"/>
    <w:rsid w:val="00CC1B25"/>
    <w:rsid w:val="00CC49FA"/>
    <w:rsid w:val="00CD1588"/>
    <w:rsid w:val="00CE4B24"/>
    <w:rsid w:val="00CE6BF5"/>
    <w:rsid w:val="00CF044C"/>
    <w:rsid w:val="00CF30FF"/>
    <w:rsid w:val="00D24AFC"/>
    <w:rsid w:val="00D304A6"/>
    <w:rsid w:val="00D33A1A"/>
    <w:rsid w:val="00D341CC"/>
    <w:rsid w:val="00D46B11"/>
    <w:rsid w:val="00D507BD"/>
    <w:rsid w:val="00D771FA"/>
    <w:rsid w:val="00D900BC"/>
    <w:rsid w:val="00DA150E"/>
    <w:rsid w:val="00DA2CED"/>
    <w:rsid w:val="00DA2DDF"/>
    <w:rsid w:val="00DB23E1"/>
    <w:rsid w:val="00DB3D67"/>
    <w:rsid w:val="00DC5407"/>
    <w:rsid w:val="00DC6E50"/>
    <w:rsid w:val="00DD1EF3"/>
    <w:rsid w:val="00DD238F"/>
    <w:rsid w:val="00DD3FCD"/>
    <w:rsid w:val="00DD7213"/>
    <w:rsid w:val="00DF1DD4"/>
    <w:rsid w:val="00E01A5C"/>
    <w:rsid w:val="00E01D7F"/>
    <w:rsid w:val="00E03DFE"/>
    <w:rsid w:val="00E271D2"/>
    <w:rsid w:val="00E33AE3"/>
    <w:rsid w:val="00E35C08"/>
    <w:rsid w:val="00E524AA"/>
    <w:rsid w:val="00E56441"/>
    <w:rsid w:val="00E61DBA"/>
    <w:rsid w:val="00E63DFE"/>
    <w:rsid w:val="00EA259E"/>
    <w:rsid w:val="00EB103D"/>
    <w:rsid w:val="00EB7195"/>
    <w:rsid w:val="00EE7609"/>
    <w:rsid w:val="00EF0669"/>
    <w:rsid w:val="00EF1CEC"/>
    <w:rsid w:val="00EF2A04"/>
    <w:rsid w:val="00F03A51"/>
    <w:rsid w:val="00F06C7A"/>
    <w:rsid w:val="00F07CAE"/>
    <w:rsid w:val="00F14CCE"/>
    <w:rsid w:val="00F1555F"/>
    <w:rsid w:val="00F15871"/>
    <w:rsid w:val="00F31B3E"/>
    <w:rsid w:val="00F31F42"/>
    <w:rsid w:val="00F345C7"/>
    <w:rsid w:val="00F4087D"/>
    <w:rsid w:val="00F42823"/>
    <w:rsid w:val="00F454B2"/>
    <w:rsid w:val="00F4570D"/>
    <w:rsid w:val="00F50F4E"/>
    <w:rsid w:val="00F547B5"/>
    <w:rsid w:val="00F554A7"/>
    <w:rsid w:val="00F651F4"/>
    <w:rsid w:val="00F65D55"/>
    <w:rsid w:val="00F66A1C"/>
    <w:rsid w:val="00F72227"/>
    <w:rsid w:val="00F85B31"/>
    <w:rsid w:val="00F96770"/>
    <w:rsid w:val="00FA7523"/>
    <w:rsid w:val="00FC3517"/>
    <w:rsid w:val="00FC360B"/>
    <w:rsid w:val="00FF08CF"/>
    <w:rsid w:val="00FF720E"/>
    <w:rsid w:val="06610ACA"/>
    <w:rsid w:val="131C3190"/>
    <w:rsid w:val="3CECCBB4"/>
    <w:rsid w:val="3DFAA5C1"/>
    <w:rsid w:val="41D0DF0A"/>
    <w:rsid w:val="4DF26C58"/>
    <w:rsid w:val="4EE5BF29"/>
    <w:rsid w:val="4F4B3AB9"/>
    <w:rsid w:val="5278D554"/>
    <w:rsid w:val="538B36AB"/>
    <w:rsid w:val="5AD770A5"/>
    <w:rsid w:val="6225BCD1"/>
    <w:rsid w:val="718254F5"/>
    <w:rsid w:val="722A5BA2"/>
    <w:rsid w:val="78192573"/>
    <w:rsid w:val="781EEF3E"/>
    <w:rsid w:val="7C3675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E1EF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="Times New Roman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232"/>
    <w:rPr>
      <w:rFonts w:ascii="Microsoft Sans Serif" w:hAnsi="Microsoft Sans Serif" w:cs="Microsoft Sans Seri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2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225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225"/>
    <w:rPr>
      <w:rFonts w:ascii="Microsoft Sans Serif" w:hAnsi="Microsoft Sans Serif" w:cs="Microsoft Sans Serif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1C8C3D33633449AB90F154B1B522A" ma:contentTypeVersion="6" ma:contentTypeDescription="Create a new document." ma:contentTypeScope="" ma:versionID="6ed3b78a1da9bca9e571c02343e73fa7">
  <xsd:schema xmlns:xsd="http://www.w3.org/2001/XMLSchema" xmlns:xs="http://www.w3.org/2001/XMLSchema" xmlns:p="http://schemas.microsoft.com/office/2006/metadata/properties" xmlns:ns2="a2b46315-19db-4f0b-9616-ffd096861e5c" xmlns:ns3="5772c258-aa6e-4797-a9b9-ecae4aca707f" targetNamespace="http://schemas.microsoft.com/office/2006/metadata/properties" ma:root="true" ma:fieldsID="d694cd6ffba348273838801d63fc7162" ns2:_="" ns3:_="">
    <xsd:import namespace="a2b46315-19db-4f0b-9616-ffd096861e5c"/>
    <xsd:import namespace="5772c258-aa6e-4797-a9b9-ecae4aca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46315-19db-4f0b-9616-ffd096861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c258-aa6e-4797-a9b9-ecae4aca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72c258-aa6e-4797-a9b9-ecae4aca707f">
      <UserInfo>
        <DisplayName>Kosel, Howard</DisplayName>
        <AccountId>13</AccountId>
        <AccountType/>
      </UserInfo>
      <UserInfo>
        <DisplayName>Nehrozoglu, Aydemir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5423-5EF4-4611-B625-412E0BC15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46315-19db-4f0b-9616-ffd096861e5c"/>
    <ds:schemaRef ds:uri="5772c258-aa6e-4797-a9b9-ecae4aca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72EA8-0973-4199-ADA4-B2589C554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A57BD-DCAF-4A84-9D8C-6CD5F299DDEE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5772c258-aa6e-4797-a9b9-ecae4aca707f"/>
    <ds:schemaRef ds:uri="http://schemas.microsoft.com/office/infopath/2007/PartnerControls"/>
    <ds:schemaRef ds:uri="http://schemas.openxmlformats.org/package/2006/metadata/core-properties"/>
    <ds:schemaRef ds:uri="a2b46315-19db-4f0b-9616-ffd096861e5c"/>
  </ds:schemaRefs>
</ds:datastoreItem>
</file>

<file path=customXml/itemProps4.xml><?xml version="1.0" encoding="utf-8"?>
<ds:datastoreItem xmlns:ds="http://schemas.openxmlformats.org/officeDocument/2006/customXml" ds:itemID="{968BACB9-091D-497D-8CF7-36E36527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Ezell, Lisa</dc:creator>
  <cp:lastModifiedBy>TMS IIS</cp:lastModifiedBy>
  <cp:revision>2</cp:revision>
  <cp:lastPrinted>2021-11-03T18:52:00Z</cp:lastPrinted>
  <dcterms:created xsi:type="dcterms:W3CDTF">2023-09-15T17:32:00Z</dcterms:created>
  <dcterms:modified xsi:type="dcterms:W3CDTF">2023-09-15T17:32:00Z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0x0101006581C8C3D33633449AB90F154B1B522A</vt:lpwstr>
  </property>
  <property fmtid="{D5CDD505-2E9C-101B-9397-08002B2CF9AE}" pid="3" name="eDOCS AutoSave">
    <vt:lpwstr>20220106142931315</vt:lpwstr>
  </property>
  <property fmtid="{D5CDD505-2E9C-101B-9397-08002B2CF9AE}" pid="4" name="MSIP_Label_6490586b-6766-439a-826f-fa6da183971c_ActionId">
    <vt:lpwstr>2bd08526-050f-40e7-bdd5-0000a3a32e3f</vt:lpwstr>
  </property>
  <property fmtid="{D5CDD505-2E9C-101B-9397-08002B2CF9AE}" pid="5" name="MSIP_Label_6490586b-6766-439a-826f-fa6da183971c_ContentBits">
    <vt:lpwstr>0</vt:lpwstr>
  </property>
  <property fmtid="{D5CDD505-2E9C-101B-9397-08002B2CF9AE}" pid="6" name="MSIP_Label_6490586b-6766-439a-826f-fa6da183971c_Enabled">
    <vt:lpwstr>true</vt:lpwstr>
  </property>
  <property fmtid="{D5CDD505-2E9C-101B-9397-08002B2CF9AE}" pid="7" name="MSIP_Label_6490586b-6766-439a-826f-fa6da183971c_Method">
    <vt:lpwstr>Standard</vt:lpwstr>
  </property>
  <property fmtid="{D5CDD505-2E9C-101B-9397-08002B2CF9AE}" pid="8" name="MSIP_Label_6490586b-6766-439a-826f-fa6da183971c_Name">
    <vt:lpwstr>General</vt:lpwstr>
  </property>
  <property fmtid="{D5CDD505-2E9C-101B-9397-08002B2CF9AE}" pid="9" name="MSIP_Label_6490586b-6766-439a-826f-fa6da183971c_SetDate">
    <vt:lpwstr>2021-10-18T20:40:54Z</vt:lpwstr>
  </property>
  <property fmtid="{D5CDD505-2E9C-101B-9397-08002B2CF9AE}" pid="10" name="MSIP_Label_6490586b-6766-439a-826f-fa6da183971c_SiteId">
    <vt:lpwstr>e9aef9b7-25ca-4518-a881-33e546773136</vt:lpwstr>
  </property>
  <property fmtid="{D5CDD505-2E9C-101B-9397-08002B2CF9AE}" pid="11" name="_AdHocReviewCycleID">
    <vt:i4>1292982356</vt:i4>
  </property>
  <property fmtid="{D5CDD505-2E9C-101B-9397-08002B2CF9AE}" pid="12" name="_AuthorEmail">
    <vt:lpwstr>GBissell@nyiso.com</vt:lpwstr>
  </property>
  <property fmtid="{D5CDD505-2E9C-101B-9397-08002B2CF9AE}" pid="13" name="_AuthorEmailDisplayName">
    <vt:lpwstr>Bissell, Garrett E</vt:lpwstr>
  </property>
  <property fmtid="{D5CDD505-2E9C-101B-9397-08002B2CF9AE}" pid="14" name="_dlc_DocIdItemGuid">
    <vt:lpwstr>2ec8649a-42f1-418d-812c-6279f2504ee6</vt:lpwstr>
  </property>
  <property fmtid="{D5CDD505-2E9C-101B-9397-08002B2CF9AE}" pid="15" name="_EmailSubject">
    <vt:lpwstr>[EXT] Re: &lt;External Sender&gt; Re: Timing of Filing</vt:lpwstr>
  </property>
  <property fmtid="{D5CDD505-2E9C-101B-9397-08002B2CF9AE}" pid="16" name="_NewReviewCycle">
    <vt:lpwstr/>
  </property>
  <property fmtid="{D5CDD505-2E9C-101B-9397-08002B2CF9AE}" pid="17" name="_ReviewingToolsShownOnce">
    <vt:lpwstr/>
  </property>
</Properties>
</file>