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7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4176B4">
      <w:pPr>
        <w:pStyle w:val="Heading3"/>
      </w:pPr>
      <w:bookmarkStart w:id="0" w:name="_Toc263346008"/>
      <w:bookmarkStart w:id="1" w:name="_GoBack"/>
      <w:bookmarkEnd w:id="1"/>
      <w:r>
        <w:t>6.12.5</w:t>
      </w:r>
      <w:r>
        <w:tab/>
      </w:r>
      <w:bookmarkEnd w:id="0"/>
      <w:r>
        <w:t xml:space="preserve">Attachment 1 – Rate Mechanism for the Recovery of the Hurley Avenue Highway System Deliverability Upgrade </w:t>
      </w:r>
    </w:p>
    <w:p w:rsidR="004176B4">
      <w:pPr>
        <w:pStyle w:val="Heading4"/>
      </w:pPr>
      <w:bookmarkStart w:id="2" w:name="_Toc263346009"/>
      <w:r>
        <w:t>6.12.5.1</w:t>
      </w:r>
      <w:r>
        <w:tab/>
      </w:r>
      <w:bookmarkEnd w:id="2"/>
      <w:r>
        <w:t>Applicability</w:t>
      </w:r>
    </w:p>
    <w:p w:rsidR="004176B4">
      <w:pPr>
        <w:pStyle w:val="Bodypara"/>
      </w:pPr>
      <w:r>
        <w:t>This Attachment 1 to Rate Schedule 12 of the ISO</w:t>
      </w:r>
      <w:r>
        <w:t xml:space="preserve"> OATT establishes the HFC for the recovery of costs for the Hurley Avenue Highway System Deliverability Upgrade (“Project”).  Central Hudson Gas &amp; Electric Corporation (“Central Hudson”) may recover eligible costs for the Project in accordance with the req</w:t>
      </w:r>
      <w:r>
        <w:t>uirements of Rate Schedule 12 of the ISO OATT.  For purposes of Rate Schedule 12 of the ISO OATT: (i) the Project shall constitute the applicable “Highway SDU”; and (ii) Central Hudson shall constitute the applicable “Transmission Owner” to recover costs f</w:t>
      </w:r>
      <w:r>
        <w:t>or the Project through the HFC.</w:t>
      </w:r>
    </w:p>
    <w:p w:rsidR="004176B4">
      <w:pPr>
        <w:pStyle w:val="Heading4"/>
      </w:pPr>
      <w:bookmarkStart w:id="3" w:name="_Toc263346010"/>
      <w:r>
        <w:t>6.12.5.2</w:t>
      </w:r>
      <w:r>
        <w:tab/>
      </w:r>
      <w:bookmarkEnd w:id="3"/>
      <w:r>
        <w:t>Project Revenue Requirement</w:t>
      </w:r>
    </w:p>
    <w:p w:rsidR="004176B4">
      <w:pPr>
        <w:pStyle w:val="Bodypara"/>
      </w:pPr>
      <w:r>
        <w:t>For purposes of Rate Schedule 12 of the ISO OATT, the revenue requirement for the Project shall be determined in accordance with the formula rate template provided in Section 6.12.5.2.1 o</w:t>
      </w:r>
      <w:r>
        <w:t>f this Attachment and the procedures set forth in Section 6.12.5.2.2 of this Attachment.</w:t>
      </w:r>
    </w:p>
    <w:p w:rsidR="004176B4">
      <w:pPr>
        <w:pStyle w:val="Bodypara"/>
      </w:pPr>
    </w:p>
    <w:sectPr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5/20/2020 - Docket #: ER20-715-001 -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5/20/2020 - Docket #: ER20-715-001 -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5/20/2020 - Docket #: ER20-715-001 -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6.12.5-6.12.5.2 OATT Schedule 12 - Attachment 1 – Rate Mecha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6.12.5-6.12.5.2 OATT Schedule 12 - Attachment 1 – Rate Mecha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6.12.5-6.12.5.2 OATT Schedule 12 - Attachment 1 – Rate Mecha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5192B7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2">
    <w:nsid w:val="028144F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267C0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47184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53749F"/>
    <w:multiLevelType w:val="hybridMultilevel"/>
    <w:tmpl w:val="7EB435D6"/>
    <w:lvl w:ilvl="0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340" w:hanging="360"/>
      </w:pPr>
    </w:lvl>
    <w:lvl w:ilvl="2" w:tentative="1">
      <w:start w:val="1"/>
      <w:numFmt w:val="lowerRoman"/>
      <w:lvlText w:val="%3."/>
      <w:lvlJc w:val="right"/>
      <w:pPr>
        <w:ind w:left="3060" w:hanging="180"/>
      </w:pPr>
    </w:lvl>
    <w:lvl w:ilvl="3" w:tentative="1">
      <w:start w:val="1"/>
      <w:numFmt w:val="decimal"/>
      <w:lvlText w:val="%4."/>
      <w:lvlJc w:val="left"/>
      <w:pPr>
        <w:ind w:left="3780" w:hanging="360"/>
      </w:pPr>
    </w:lvl>
    <w:lvl w:ilvl="4" w:tentative="1">
      <w:start w:val="1"/>
      <w:numFmt w:val="lowerLetter"/>
      <w:lvlText w:val="%5."/>
      <w:lvlJc w:val="left"/>
      <w:pPr>
        <w:ind w:left="4500" w:hanging="360"/>
      </w:pPr>
    </w:lvl>
    <w:lvl w:ilvl="5" w:tentative="1">
      <w:start w:val="1"/>
      <w:numFmt w:val="lowerRoman"/>
      <w:lvlText w:val="%6."/>
      <w:lvlJc w:val="right"/>
      <w:pPr>
        <w:ind w:left="5220" w:hanging="180"/>
      </w:pPr>
    </w:lvl>
    <w:lvl w:ilvl="6" w:tentative="1">
      <w:start w:val="1"/>
      <w:numFmt w:val="decimal"/>
      <w:lvlText w:val="%7."/>
      <w:lvlJc w:val="left"/>
      <w:pPr>
        <w:ind w:left="5940" w:hanging="360"/>
      </w:pPr>
    </w:lvl>
    <w:lvl w:ilvl="7" w:tentative="1">
      <w:start w:val="1"/>
      <w:numFmt w:val="lowerLetter"/>
      <w:lvlText w:val="%8."/>
      <w:lvlJc w:val="left"/>
      <w:pPr>
        <w:ind w:left="6660" w:hanging="360"/>
      </w:pPr>
    </w:lvl>
    <w:lvl w:ilvl="8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2BCA263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8B0D9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EB796C"/>
    <w:multiLevelType w:val="multilevel"/>
    <w:tmpl w:val="55B46142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2674F8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cs="Times New Roman"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3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4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5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6">
    <w:nsid w:val="43B538B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623667E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9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20">
    <w:nsid w:val="4C342490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F496F2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06A2B64"/>
    <w:multiLevelType w:val="hybridMultilevel"/>
    <w:tmpl w:val="BFF24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2D1603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56D74A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6C74AD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AE0078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C0D3440"/>
    <w:multiLevelType w:val="hybridMultilevel"/>
    <w:tmpl w:val="7138F9EC"/>
    <w:lvl w:ilvl="0">
      <w:start w:val="6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8">
    <w:nsid w:val="6181686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0">
    <w:nsid w:val="6A115C80"/>
    <w:multiLevelType w:val="multilevel"/>
    <w:tmpl w:val="1F4ADD22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2160" w:firstLine="72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144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0" w:firstLine="216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(%5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6">
      <w:start w:val="1"/>
      <w:numFmt w:val="none"/>
      <w:suff w:val="nothing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suff w:val="nothing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suff w:val="nothing"/>
      <w:lvlJc w:val="left"/>
      <w:pPr>
        <w:tabs>
          <w:tab w:val="num" w:pos="6120"/>
        </w:tabs>
        <w:ind w:left="5760" w:firstLine="0"/>
      </w:pPr>
    </w:lvl>
  </w:abstractNum>
  <w:abstractNum w:abstractNumId="31">
    <w:nsid w:val="6C12412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C6C4BCD"/>
    <w:multiLevelType w:val="hybrid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4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5">
    <w:nsid w:val="74A4092C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60F6AD9"/>
    <w:multiLevelType w:val="hybridMultilevel"/>
    <w:tmpl w:val="A9B40E98"/>
    <w:lvl w:ilvl="0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37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38">
    <w:nsid w:val="76723868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6EE4C3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82150F0"/>
    <w:multiLevelType w:val="multilevel"/>
    <w:tmpl w:val="568EFD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2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30"/>
  </w:num>
  <w:num w:numId="3">
    <w:abstractNumId w:val="36"/>
  </w:num>
  <w:num w:numId="4">
    <w:abstractNumId w:val="27"/>
  </w:num>
  <w:num w:numId="5">
    <w:abstractNumId w:val="37"/>
  </w:num>
  <w:num w:numId="6">
    <w:abstractNumId w:val="13"/>
  </w:num>
  <w:num w:numId="7">
    <w:abstractNumId w:val="14"/>
  </w:num>
  <w:num w:numId="8">
    <w:abstractNumId w:val="33"/>
  </w:num>
  <w:num w:numId="9">
    <w:abstractNumId w:val="12"/>
  </w:num>
  <w:num w:numId="10">
    <w:abstractNumId w:val="34"/>
  </w:num>
  <w:num w:numId="11">
    <w:abstractNumId w:val="19"/>
  </w:num>
  <w:num w:numId="12">
    <w:abstractNumId w:val="18"/>
  </w:num>
  <w:num w:numId="13">
    <w:abstractNumId w:val="15"/>
  </w:num>
  <w:num w:numId="14">
    <w:abstractNumId w:val="3"/>
  </w:num>
  <w:num w:numId="15">
    <w:abstractNumId w:val="11"/>
  </w:num>
  <w:num w:numId="16">
    <w:abstractNumId w:val="29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1"/>
  </w:num>
  <w:num w:numId="26">
    <w:abstractNumId w:val="22"/>
  </w:num>
  <w:num w:numId="27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32"/>
  </w:num>
  <w:num w:numId="30">
    <w:abstractNumId w:val="9"/>
  </w:num>
  <w:num w:numId="31">
    <w:abstractNumId w:val="7"/>
  </w:num>
  <w:num w:numId="32">
    <w:abstractNumId w:val="25"/>
  </w:num>
  <w:num w:numId="33">
    <w:abstractNumId w:val="23"/>
  </w:num>
  <w:num w:numId="34">
    <w:abstractNumId w:val="5"/>
  </w:num>
  <w:num w:numId="35">
    <w:abstractNumId w:val="28"/>
  </w:num>
  <w:num w:numId="36">
    <w:abstractNumId w:val="10"/>
  </w:num>
  <w:num w:numId="37">
    <w:abstractNumId w:val="24"/>
  </w:num>
  <w:num w:numId="38">
    <w:abstractNumId w:val="20"/>
  </w:num>
  <w:num w:numId="39">
    <w:abstractNumId w:val="17"/>
  </w:num>
  <w:num w:numId="40">
    <w:abstractNumId w:val="16"/>
  </w:num>
  <w:num w:numId="41">
    <w:abstractNumId w:val="8"/>
  </w:num>
  <w:num w:numId="42">
    <w:abstractNumId w:val="21"/>
  </w:num>
  <w:num w:numId="43">
    <w:abstractNumId w:val="2"/>
  </w:num>
  <w:num w:numId="44">
    <w:abstractNumId w:val="38"/>
  </w:num>
  <w:num w:numId="45">
    <w:abstractNumId w:val="26"/>
  </w:num>
  <w:num w:numId="46">
    <w:abstractNumId w:val="31"/>
  </w:num>
  <w:num w:numId="47">
    <w:abstractNumId w:val="4"/>
  </w:num>
  <w:num w:numId="48">
    <w:abstractNumId w:val="39"/>
  </w:num>
  <w:num w:numId="49">
    <w:abstractNumId w:val="35"/>
  </w:num>
  <w:num w:numId="5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GrammaticalErrors/>
  <w:zoom w:percent="9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B4"/>
    <w:rsid w:val="004176B4"/>
    <w:rsid w:val="006C7C2A"/>
  </w:rsids>
  <w:docVars>
    <w:docVar w:name="DocNumber" w:val="660415"/>
    <w:docVar w:name="DOCX97_1" w:val="#5kv11!.DOC"/>
    <w:docVar w:name="DOCX97_10" w:val="6/15/01 1:58:54 PM"/>
    <w:docVar w:name="DOCX97_2" w:val="M:\Richmond\Source\06272001-105334\DOCSOPEN\RICHMOND\08438\55430\000004\#5kv11!.DOC"/>
    <w:docVar w:name="DOCX97_3" w:val="WORD7"/>
    <w:docVar w:name="DOCX97_36" w:val="YesNumbers"/>
    <w:docVar w:name="DOCX97_4" w:val="m:\richmond\target\06272001-105334\DOCSOPEN\RICHMOND\08438\55430\000004\#5kv11!.DOC"/>
    <w:docVar w:name="DOCX97_5" w:val=" 131584"/>
    <w:docVar w:name="DOCX97_6" w:val="191488"/>
    <w:docVar w:name="DOCX97_66" w:val="GoodQuotes"/>
    <w:docVar w:name="DOCX97_8" w:val="5/21/01 9:23:39 PM"/>
    <w:docVar w:name="DOCX97_89" w:val="Word7MacrosDone"/>
    <w:docVar w:name="DOCX97_91" w:val="HuntonWilliams"/>
    <w:docVar w:name="DOCX97_92" w:val="5/21/01"/>
    <w:docVar w:name="DOCX97_93" w:val="9:24:30 PM"/>
    <w:docVar w:name="DocXHeadingStrip" w:val="Done"/>
    <w:docVar w:name="DocXParaNum" w:val="Done"/>
    <w:docVar w:name="ShowScreenCheckBox" w:val="TRUE"/>
    <w:docVar w:name="SWAllFollowNumberWith" w:val="3|3|3|3|0|3|"/>
    <w:docVar w:name="SWAllLegalNumbering" w:val="0|0|0|0|0|0|"/>
    <w:docVar w:name="SWAllNumberFont" w:val="1|||10000000000000~~0|0|0|100|0|0|@@2|||00000000000000~~0|0|0|100|0|0|@@3|||00000000000000~~0|0|0|100|0|0|@@4|||00000000000000~~0|0|0|100|0|0|@@5|||00000000000000~~0|0|0|100|0|0|@@6|||00000000000000~~0|0|0|100|0|0|@@"/>
    <w:docVar w:name="SWAllNumberStyle" w:val="2|4|1|5|1|5|"/>
    <w:docVar w:name="SWAllRestartAfterHigher" w:val="1|1|1|1|1|1|"/>
    <w:docVar w:name="SWAllStyleThatFollows" w:val="Body Text First Indent,bf|Heading 2|Heading 3|Heading 4|Body Text First Indent,bf|Body Text First Indent,bf|"/>
    <w:docVar w:name="SWAllTextAfter" w:val=".|.|.|.|)|)|"/>
    <w:docVar w:name="SWAllTextBefore" w:val="||||(|(|"/>
    <w:docVar w:name="SWConformFont" w:val="1|Times New Roman|12"/>
    <w:docVar w:name="SWDocIDLocation" w:val="0"/>
    <w:docVar w:name="SWNumberDesign" w:val="SoftWise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Pr>
      <w:b/>
      <w:sz w:val="24"/>
      <w:szCs w:val="24"/>
    </w:rPr>
  </w:style>
  <w:style w:type="paragraph" w:customStyle="1" w:styleId="alphapara">
    <w:name w:val="alpha para"/>
    <w:basedOn w:val="Bodypara"/>
    <w:link w:val="alphaparaChar"/>
    <w:uiPriority w:val="99"/>
    <w:pPr>
      <w:ind w:left="1440" w:hanging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link w:val="FootnoteTextChar"/>
    <w:uiPriority w:val="99"/>
    <w:semiHidden/>
    <w:pPr>
      <w:jc w:val="both"/>
    </w:pPr>
    <w:rPr>
      <w:sz w:val="20"/>
    </w:rPr>
  </w:style>
  <w:style w:type="character" w:customStyle="1" w:styleId="BodyparaChar">
    <w:name w:val="Body para Char"/>
    <w:basedOn w:val="DefaultParagraphFont"/>
    <w:link w:val="Bodypara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uiPriority w:val="99"/>
    <w:pPr>
      <w:ind w:left="1890" w:hanging="720"/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OC1">
    <w:name w:val="toc 1"/>
    <w:basedOn w:val="Normal"/>
    <w:next w:val="Normal"/>
    <w:uiPriority w:val="99"/>
    <w:semiHidden/>
  </w:style>
  <w:style w:type="paragraph" w:styleId="TOC2">
    <w:name w:val="toc 2"/>
    <w:basedOn w:val="Normal"/>
    <w:next w:val="Normal"/>
    <w:uiPriority w:val="99"/>
    <w:semiHidden/>
    <w:pPr>
      <w:ind w:left="240"/>
    </w:pPr>
  </w:style>
  <w:style w:type="paragraph" w:styleId="TOC3">
    <w:name w:val="toc 3"/>
    <w:basedOn w:val="Normal"/>
    <w:next w:val="Normal"/>
    <w:uiPriority w:val="99"/>
    <w:semiHidden/>
    <w:pPr>
      <w:ind w:left="480"/>
    </w:pPr>
  </w:style>
  <w:style w:type="paragraph" w:styleId="TOC4">
    <w:name w:val="toc 4"/>
    <w:basedOn w:val="Normal"/>
    <w:next w:val="Normal"/>
    <w:uiPriority w:val="99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960"/>
    </w:pPr>
  </w:style>
  <w:style w:type="paragraph" w:styleId="TOC6">
    <w:name w:val="toc 6"/>
    <w:basedOn w:val="Normal"/>
    <w:next w:val="Normal"/>
    <w:semiHidden/>
    <w:pPr>
      <w:ind w:left="1200"/>
    </w:pPr>
  </w:style>
  <w:style w:type="paragraph" w:styleId="TOC7">
    <w:name w:val="toc 7"/>
    <w:basedOn w:val="Normal"/>
    <w:next w:val="Normal"/>
    <w:semiHidden/>
    <w:pPr>
      <w:ind w:left="1440"/>
    </w:pPr>
  </w:style>
  <w:style w:type="paragraph" w:styleId="TOC8">
    <w:name w:val="toc 8"/>
    <w:basedOn w:val="Normal"/>
    <w:next w:val="Normal"/>
    <w:semiHidden/>
    <w:pPr>
      <w:ind w:left="1680"/>
    </w:pPr>
  </w:style>
  <w:style w:type="paragraph" w:styleId="TOC9">
    <w:name w:val="toc 9"/>
    <w:basedOn w:val="Normal"/>
    <w:next w:val="Normal"/>
    <w:semiHidden/>
    <w:pPr>
      <w:ind w:left="1920"/>
    </w:pPr>
  </w:style>
  <w:style w:type="paragraph" w:customStyle="1" w:styleId="Footers">
    <w:name w:val="Footers"/>
    <w:basedOn w:val="Heading1"/>
    <w:uiPriority w:val="9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Definition">
    <w:name w:val="Definition"/>
    <w:basedOn w:val="Normal"/>
    <w:uiPriority w:val="99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pPr>
      <w:spacing w:before="120" w:after="120"/>
      <w:ind w:left="720"/>
    </w:pPr>
  </w:style>
  <w:style w:type="paragraph" w:customStyle="1" w:styleId="TOCHeading1">
    <w:name w:val="TOC Heading1"/>
    <w:basedOn w:val="Normal"/>
    <w:uiPriority w:val="99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uiPriority w:val="99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pPr>
      <w:numPr>
        <w:numId w:val="14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uiPriority w:val="99"/>
    <w:rPr>
      <w:b/>
      <w:sz w:val="28"/>
      <w:szCs w:val="28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alphaparasub">
    <w:name w:val="alpha para sub"/>
    <w:basedOn w:val="Normal"/>
    <w:pPr>
      <w:spacing w:line="480" w:lineRule="auto"/>
      <w:ind w:left="1440" w:firstLine="720"/>
    </w:p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alphaparaChar">
    <w:name w:val="alpha para Char"/>
    <w:basedOn w:val="DefaultParagraphFont"/>
    <w:link w:val="alphapara"/>
    <w:uiPriority w:val="9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Calibri" w:eastAsia="Calibri" w:hAnsi="Calibri" w:cs="Times New Roman"/>
      <w:szCs w:val="22"/>
    </w:rPr>
  </w:style>
  <w:style w:type="character" w:customStyle="1" w:styleId="CommentSubjectChar">
    <w:name w:val="Comment Subject Char"/>
    <w:basedOn w:val="CommentTextChar"/>
    <w:link w:val="CommentSubject"/>
    <w:rPr>
      <w:rFonts w:ascii="Calibri" w:eastAsia="Calibri" w:hAnsi="Calibri" w:cs="Times New Roman"/>
      <w:szCs w:val="22"/>
    </w:rPr>
  </w:style>
  <w:style w:type="character" w:customStyle="1" w:styleId="Heading1Char">
    <w:name w:val="Heading 1 Char"/>
    <w:basedOn w:val="DefaultParagraphFont"/>
    <w:link w:val="Heading1"/>
    <w:uiPriority w:val="99"/>
    <w:locked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b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Pr>
      <w:sz w:val="24"/>
      <w:szCs w:val="24"/>
    </w:rPr>
  </w:style>
  <w:style w:type="paragraph" w:customStyle="1" w:styleId="Definitionhead">
    <w:name w:val="Definition head"/>
    <w:basedOn w:val="subhead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after="240"/>
      <w:jc w:val="center"/>
    </w:pPr>
    <w:rPr>
      <w:rFonts w:cs="Arial"/>
      <w:bCs/>
      <w:szCs w:val="32"/>
    </w:rPr>
  </w:style>
  <w:style w:type="character" w:customStyle="1" w:styleId="TitleChar">
    <w:name w:val="Title Char"/>
    <w:basedOn w:val="DefaultParagraphFont"/>
    <w:link w:val="Title"/>
    <w:uiPriority w:val="99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customXml" Target="../customXml/item7.xm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customXml" Target="../customXml/item6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_rels/item7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7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446EB8F1E5241B274B4A9AECF5066" ma:contentTypeVersion="0" ma:contentTypeDescription="Create a new document." ma:contentTypeScope="" ma:versionID="5ef26e022e5b357cae68c565710007ac">
  <xsd:schema xmlns:xsd="http://www.w3.org/2001/XMLSchema" xmlns:xs="http://www.w3.org/2001/XMLSchema" xmlns:p="http://schemas.microsoft.com/office/2006/metadata/properties" xmlns:ns2="d2a2a88e-ed6e-437f-8263-76e618aa10b0" targetNamespace="http://schemas.microsoft.com/office/2006/metadata/properties" ma:root="true" ma:fieldsID="569c59b8d74c2bc87e95d10af829e46e" ns2:_="">
    <xsd:import namespace="d2a2a88e-ed6e-437f-8263-76e618aa10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2a88e-ed6e-437f-8263-76e618aa10b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a2a88e-ed6e-437f-8263-76e618aa10b0">PORTALLGL-623779571-797</_dlc_DocId>
    <_dlc_DocIdUrl xmlns="d2a2a88e-ed6e-437f-8263-76e618aa10b0">
      <Url>https://portal.nyiso.com/sites/legal/_layouts/DocIdRedir.aspx?ID=PORTALLGL-623779571-797</Url>
      <Description>PORTALLGL-623779571-797</Description>
    </_dlc_DocIdUrl>
  </documentManagement>
</p:properties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7ED81D-DDC6-4B58-A9EC-EF03FCFF40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56B0A4-0B6F-44BE-97BD-127677113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2a88e-ed6e-437f-8263-76e618aa1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EF74AE-DE1A-42DA-95F5-B23DD8AA17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15F5E8-9D7B-48C4-B40D-D5423EEE831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644DF5B-2333-4595-8CAA-F4789F937EF3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d2a2a88e-ed6e-437f-8263-76e618aa10b0"/>
  </ds:schemaRefs>
</ds:datastoreItem>
</file>

<file path=customXml/itemProps6.xml><?xml version="1.0" encoding="utf-8"?>
<ds:datastoreItem xmlns:ds="http://schemas.openxmlformats.org/officeDocument/2006/customXml" ds:itemID="{1CFD578F-B5B5-4DDA-8669-C12DCDBE7BEA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2817BE15-4111-416A-B50B-23B5C6BBE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Zimberlin, Joy</dc:creator>
  <cp:lastModifiedBy>TMSServices Starter</cp:lastModifiedBy>
  <cp:revision>2</cp:revision>
  <cp:lastPrinted>2019-12-17T20:20:00Z</cp:lastPrinted>
  <dcterms:created xsi:type="dcterms:W3CDTF">2020-05-20T14:13:00Z</dcterms:created>
  <dcterms:modified xsi:type="dcterms:W3CDTF">2020-05-20T14:13:00Z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0x010100D59446EB8F1E5241B274B4A9AECF5066</vt:lpwstr>
  </property>
  <property fmtid="{D5CDD505-2E9C-101B-9397-08002B2CF9AE}" pid="3" name="SWDocID">
    <vt:lpwstr/>
  </property>
  <property fmtid="{D5CDD505-2E9C-101B-9397-08002B2CF9AE}" pid="4" name="_dlc_DocId">
    <vt:lpwstr>PORTALLGL-623779571-515</vt:lpwstr>
  </property>
  <property fmtid="{D5CDD505-2E9C-101B-9397-08002B2CF9AE}" pid="5" name="_dlc_DocIdItemGuid">
    <vt:lpwstr>41bdd3bd-ebb5-4c60-8cba-9258208291d5</vt:lpwstr>
  </property>
  <property fmtid="{D5CDD505-2E9C-101B-9397-08002B2CF9AE}" pid="6" name="_dlc_DocIdUrl">
    <vt:lpwstr>https://portal.nyiso.com/sites/legal/_layouts/DocIdRedir.aspx?ID=PORTALLGL-623779571-515, PORTALLGL-623779571-515</vt:lpwstr>
  </property>
  <property fmtid="{D5CDD505-2E9C-101B-9397-08002B2CF9AE}" pid="7" name="_NewReviewCycle">
    <vt:lpwstr/>
  </property>
</Properties>
</file>