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3A5264" w14:paraId="0B540531" w14:textId="77777777">
      <w:pPr>
        <w:keepNext/>
        <w:pageBreakBefore/>
        <w:widowControl/>
        <w:tabs>
          <w:tab w:val="left" w:pos="1080"/>
        </w:tabs>
        <w:spacing w:before="240" w:after="240"/>
        <w:ind w:left="1080" w:right="14" w:hanging="1080"/>
        <w:outlineLvl w:val="1"/>
        <w:rPr>
          <w:rFonts w:eastAsia="Times New Roman"/>
          <w:b/>
          <w:sz w:val="24"/>
          <w:szCs w:val="24"/>
        </w:rPr>
      </w:pPr>
      <w:bookmarkStart w:id="0" w:name="_Toc56826981"/>
      <w:bookmarkStart w:id="1" w:name="_Toc56827256"/>
      <w:bookmarkStart w:id="2" w:name="_Toc56827531"/>
      <w:bookmarkStart w:id="3" w:name="_Toc56830291"/>
      <w:bookmarkStart w:id="4" w:name="_Toc57111616"/>
      <w:bookmarkStart w:id="5" w:name="_Toc57111896"/>
      <w:bookmarkStart w:id="6" w:name="_Toc57365352"/>
      <w:bookmarkStart w:id="7" w:name="_Toc57365532"/>
      <w:bookmarkStart w:id="8" w:name="_Toc57366892"/>
      <w:bookmarkStart w:id="9" w:name="_Toc57367007"/>
      <w:bookmarkStart w:id="10" w:name="_Toc57483116"/>
      <w:bookmarkStart w:id="11" w:name="_Toc58968469"/>
      <w:bookmarkStart w:id="12" w:name="_Toc59813802"/>
      <w:bookmarkStart w:id="13" w:name="_Toc59967823"/>
      <w:bookmarkStart w:id="14" w:name="_Toc59970420"/>
      <w:bookmarkStart w:id="15" w:name="_Toc61695455"/>
      <w:bookmarkStart w:id="16" w:name="_Toc262657371"/>
      <w:r w:rsidRPr="003A5264">
        <w:rPr>
          <w:rFonts w:eastAsia="Times New Roman"/>
          <w:b/>
          <w:sz w:val="24"/>
          <w:szCs w:val="24"/>
        </w:rPr>
        <w:t>40.6</w:t>
      </w:r>
      <w:r w:rsidRPr="003A5264">
        <w:rPr>
          <w:rFonts w:eastAsia="Times New Roman"/>
          <w:b/>
          <w:sz w:val="24"/>
          <w:szCs w:val="24"/>
        </w:rPr>
        <w:tab/>
      </w:r>
      <w:bookmarkStart w:id="17" w:name="_Hlk157537120"/>
      <w:r w:rsidRPr="003A5264">
        <w:rPr>
          <w:rFonts w:eastAsia="Times New Roman"/>
          <w:b/>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A5264">
        <w:rPr>
          <w:rFonts w:eastAsia="Times New Roman"/>
          <w:b/>
          <w:sz w:val="24"/>
          <w:szCs w:val="24"/>
        </w:rPr>
        <w:t xml:space="preserve">/ Modification/ Withdrawal/ Withdrawal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6826982"/>
      <w:bookmarkStart w:id="19" w:name="_Toc56827257"/>
      <w:bookmarkStart w:id="20" w:name="_Toc56827532"/>
      <w:bookmarkStart w:id="21" w:name="_Toc56830292"/>
      <w:bookmarkStart w:id="22" w:name="_Toc57111617"/>
      <w:bookmarkStart w:id="23" w:name="_Toc57111897"/>
      <w:bookmarkStart w:id="24" w:name="_Toc57365353"/>
      <w:bookmarkStart w:id="25" w:name="_Toc57365533"/>
      <w:bookmarkStart w:id="26" w:name="_Toc57366893"/>
      <w:bookmarkStart w:id="27" w:name="_Toc57367008"/>
      <w:bookmarkStart w:id="28" w:name="_Toc57483117"/>
      <w:bookmarkStart w:id="29" w:name="_Toc58968470"/>
      <w:bookmarkStart w:id="30" w:name="_Toc59813803"/>
      <w:bookmarkStart w:id="31" w:name="_Toc59967824"/>
      <w:bookmarkStart w:id="32" w:name="_Toc59970421"/>
      <w:bookmarkStart w:id="33" w:name="_Toc61695456"/>
      <w:bookmarkStart w:id="34" w:name="_Toc262657372"/>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259"/>
      <w:bookmarkStart w:id="37" w:name="_Toc56827534"/>
      <w:bookmarkStart w:id="38" w:name="_Toc56830294"/>
      <w:bookmarkStart w:id="39" w:name="_Toc57111619"/>
      <w:bookmarkStart w:id="40" w:name="_Toc57111899"/>
      <w:bookmarkStart w:id="41" w:name="_Toc57365355"/>
      <w:bookmarkStart w:id="42" w:name="_Toc57365535"/>
      <w:bookmarkStart w:id="43" w:name="_Toc57366895"/>
      <w:bookmarkStart w:id="44" w:name="_Toc57367010"/>
      <w:bookmarkStart w:id="45" w:name="_Toc57483119"/>
      <w:bookmarkStart w:id="46" w:name="_Toc58968472"/>
      <w:bookmarkStart w:id="47" w:name="_Toc59813805"/>
      <w:bookmarkStart w:id="48" w:name="_Toc59967826"/>
      <w:bookmarkStart w:id="49" w:name="_Toc59970423"/>
      <w:bookmarkStart w:id="50" w:name="_Toc61695458"/>
      <w:bookmarkStart w:id="51" w:name="_Toc262657374"/>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(i)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56826985"/>
      <w:bookmarkStart w:id="53" w:name="_Toc56827260"/>
      <w:bookmarkStart w:id="54" w:name="_Toc56827535"/>
      <w:bookmarkStart w:id="55" w:name="_Toc56830295"/>
      <w:bookmarkStart w:id="56" w:name="_Toc57111620"/>
      <w:bookmarkStart w:id="57" w:name="_Toc57111900"/>
      <w:bookmarkStart w:id="58" w:name="_Toc57365356"/>
      <w:bookmarkStart w:id="59" w:name="_Toc57365536"/>
      <w:bookmarkStart w:id="60" w:name="_Toc57366896"/>
      <w:bookmarkStart w:id="61" w:name="_Toc57367011"/>
      <w:bookmarkStart w:id="62" w:name="_Toc57483120"/>
      <w:bookmarkStart w:id="63" w:name="_Toc58968473"/>
      <w:bookmarkStart w:id="64" w:name="_Toc59813806"/>
      <w:bookmarkStart w:id="65" w:name="_Toc59967827"/>
      <w:bookmarkStart w:id="66" w:name="_Toc59970424"/>
      <w:bookmarkStart w:id="67" w:name="_Toc61695459"/>
      <w:bookmarkStart w:id="68" w:name="_Toc262657375"/>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003A5264" w14:paraId="0491BEC3" w14:textId="36FC7B79">
      <w:pPr>
        <w:widowControl/>
        <w:spacing w:line="480" w:lineRule="auto"/>
        <w:ind w:firstLine="720"/>
        <w:rPr>
          <w:rFonts w:eastAsia="Times New Roman"/>
          <w:bCs/>
          <w:sz w:val="24"/>
          <w:szCs w:val="24"/>
        </w:rPr>
      </w:pPr>
      <w:r w:rsidRPr="003A5264">
        <w:rPr>
          <w:rFonts w:eastAsia="Times New Roman"/>
          <w:sz w:val="24"/>
          <w:szCs w:val="24"/>
        </w:rPr>
        <w:t xml:space="preserve">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(i) a Facility Modification Request in the form of Appendix 5 to these Standard Interconnection Procedures, (ii) </w:t>
      </w:r>
      <w:r w:rsidRPr="003A5264">
        <w:rPr>
          <w:rFonts w:eastAsia="Times New Roman"/>
          <w:bCs/>
          <w:sz w:val="24"/>
          <w:szCs w:val="24"/>
        </w:rPr>
        <w:t xml:space="preserve">a study deposit in cash in the amount of $10,000, and (iii) any supporting information or documentation required under this Section 40.6.3; </w:t>
      </w:r>
      <w:r w:rsidRPr="003A5264">
        <w:rPr>
          <w:rFonts w:eastAsia="Times New Roman"/>
          <w:bCs/>
          <w:i/>
          <w:iCs/>
          <w:sz w:val="24"/>
          <w:szCs w:val="24"/>
        </w:rPr>
        <w:t>provided, however,</w:t>
      </w:r>
      <w:r w:rsidRPr="003A5264">
        <w:rPr>
          <w:rFonts w:eastAsia="Times New Roman"/>
          <w:bCs/>
          <w:sz w:val="24"/>
          <w:szCs w:val="24"/>
        </w:rPr>
        <w:t xml:space="preserve"> that an Interconnection Customer is not required to provide a study deposit to submit a permitted extension of its Commercial Operation Date pursuant to </w:t>
      </w:r>
      <w:r w:rsidRPr="003A5264">
        <w:rPr>
          <w:rFonts w:eastAsia="Times New Roman"/>
          <w:bCs/>
          <w:sz w:val="24"/>
          <w:szCs w:val="24"/>
        </w:rPr>
        <w:t>Section 40.6.3.4, a change to its Point of Interconnection pursuant to Section 40.6.3.1, a name change for the Cluster Study Project, or a name change for the Interconnection Customer.</w:t>
      </w:r>
      <w:r w:rsidRPr="003A5264">
        <w:rPr>
          <w:rFonts w:eastAsia="Times New Roman"/>
          <w:sz w:val="24"/>
          <w:szCs w:val="24"/>
        </w:rPr>
        <w:t xml:space="preserve">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w:t>
      </w:r>
      <w:r w:rsidR="0079376C">
        <w:rPr>
          <w:rFonts w:eastAsia="Times New Roman"/>
          <w:sz w:val="24"/>
          <w:szCs w:val="24"/>
        </w:rPr>
        <w:t>s</w:t>
      </w:r>
      <w:r w:rsidRPr="003A5264">
        <w:rPr>
          <w:rFonts w:eastAsia="Times New Roman"/>
          <w:sz w:val="24"/>
          <w:szCs w:val="24"/>
        </w:rPr>
        <w:t xml:space="preserve"> 40.6.3.1</w:t>
      </w:r>
      <w:r w:rsidR="0079376C">
        <w:rPr>
          <w:rFonts w:eastAsia="Times New Roman"/>
          <w:sz w:val="24"/>
          <w:szCs w:val="24"/>
        </w:rPr>
        <w:t xml:space="preserve"> </w:t>
      </w:r>
      <w:r w:rsidRPr="003127ED" w:rsidR="0079376C">
        <w:rPr>
          <w:rFonts w:eastAsia="Times New Roman"/>
          <w:sz w:val="24"/>
          <w:szCs w:val="24"/>
        </w:rPr>
        <w:t>and 40.6.3.7</w:t>
      </w:r>
      <w:r w:rsidRPr="003A5264">
        <w:rPr>
          <w:rFonts w:eastAsia="Times New Roman"/>
          <w:sz w:val="24"/>
          <w:szCs w:val="24"/>
        </w:rPr>
        <w:t xml:space="preserve">, an Interconnection Customer cannot request a modification to the information provided in its </w:t>
      </w:r>
      <w:r w:rsidRPr="00845643" w:rsidR="00402D16">
        <w:rPr>
          <w:rFonts w:eastAsia="Times New Roman"/>
          <w:sz w:val="24"/>
          <w:szCs w:val="24"/>
        </w:rPr>
        <w:t>validated</w:t>
      </w:r>
      <w:r w:rsidR="00402D16">
        <w:rPr>
          <w:rFonts w:eastAsia="Times New Roman"/>
          <w:sz w:val="24"/>
          <w:szCs w:val="24"/>
        </w:rPr>
        <w:t xml:space="preserve"> </w:t>
      </w:r>
      <w:r w:rsidRPr="003A5264">
        <w:rPr>
          <w:rFonts w:eastAsia="Times New Roman"/>
          <w:sz w:val="24"/>
          <w:szCs w:val="24"/>
        </w:rPr>
        <w:t xml:space="preserve">Interconnection Request or CRIS-Only Request for its Cluster Study </w:t>
      </w:r>
      <w:r w:rsidRPr="00845643">
        <w:rPr>
          <w:rFonts w:eastAsia="Times New Roman"/>
          <w:sz w:val="24"/>
          <w:szCs w:val="24"/>
        </w:rPr>
        <w:t xml:space="preserve">Project </w:t>
      </w:r>
      <w:r w:rsidRPr="00845643">
        <w:rPr>
          <w:rFonts w:eastAsia="Times New Roman"/>
          <w:sz w:val="24"/>
          <w:szCs w:val="24"/>
        </w:rPr>
        <w:t>until the completion</w:t>
      </w:r>
      <w:r w:rsidRPr="003A5264">
        <w:rPr>
          <w:rFonts w:eastAsia="Times New Roman"/>
          <w:sz w:val="24"/>
          <w:szCs w:val="24"/>
        </w:rPr>
        <w:t xml:space="preserve">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0" w:name="_Toc56826986"/>
      <w:bookmarkStart w:id="71" w:name="_Toc56827261"/>
      <w:bookmarkStart w:id="72" w:name="_Toc56827536"/>
      <w:bookmarkStart w:id="73" w:name="_Toc56830296"/>
      <w:bookmarkStart w:id="74" w:name="_Toc57111621"/>
      <w:bookmarkStart w:id="75" w:name="_Toc57111901"/>
      <w:bookmarkStart w:id="76" w:name="_Toc57365357"/>
      <w:bookmarkStart w:id="77" w:name="_Toc57365537"/>
      <w:bookmarkStart w:id="78" w:name="_Toc57366897"/>
      <w:r w:rsidRPr="003A5264">
        <w:rPr>
          <w:rFonts w:eastAsia="Times New Roman"/>
          <w:sz w:val="24"/>
          <w:szCs w:val="24"/>
        </w:rPr>
        <w:t>40.6.3.1</w:t>
      </w:r>
      <w:bookmarkStart w:id="79"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79"/>
      <w:r w:rsidRPr="003A5264">
        <w:rPr>
          <w:rFonts w:eastAsia="Times New Roman"/>
          <w:bCs/>
          <w:sz w:val="24"/>
          <w:szCs w:val="24"/>
        </w:rPr>
        <w:t xml:space="preserve">  </w:t>
      </w:r>
      <w:bookmarkEnd w:id="70"/>
      <w:bookmarkEnd w:id="71"/>
      <w:bookmarkEnd w:id="72"/>
      <w:bookmarkEnd w:id="73"/>
      <w:bookmarkEnd w:id="74"/>
      <w:bookmarkEnd w:id="75"/>
      <w:bookmarkEnd w:id="76"/>
      <w:bookmarkEnd w:id="77"/>
      <w:bookmarkEnd w:id="78"/>
    </w:p>
    <w:p w:rsidR="003A5264" w:rsidRPr="003A5264" w:rsidP="003A5264" w14:paraId="23DC216D" w14:textId="2629A9B0">
      <w:pPr>
        <w:widowControl/>
        <w:spacing w:line="480" w:lineRule="auto"/>
        <w:ind w:left="1440" w:hanging="720"/>
        <w:rPr>
          <w:rFonts w:eastAsia="Times New Roman"/>
          <w:bCs/>
          <w:sz w:val="24"/>
          <w:szCs w:val="24"/>
        </w:rPr>
      </w:pPr>
      <w:bookmarkStart w:id="80" w:name="_Toc56826988"/>
      <w:bookmarkStart w:id="81" w:name="_Toc56827263"/>
      <w:bookmarkStart w:id="82" w:name="_Toc56827538"/>
      <w:bookmarkStart w:id="83" w:name="_Toc56830298"/>
      <w:bookmarkStart w:id="84" w:name="_Toc57111623"/>
      <w:bookmarkStart w:id="85" w:name="_Toc57111903"/>
      <w:bookmarkStart w:id="86" w:name="_Toc57365359"/>
      <w:bookmarkStart w:id="87" w:name="_Toc57365539"/>
      <w:bookmarkStart w:id="88" w:name="_Toc57366899"/>
      <w:r w:rsidRPr="003A5264">
        <w:rPr>
          <w:rFonts w:eastAsia="Times New Roman"/>
          <w:bCs/>
          <w:sz w:val="24"/>
          <w:szCs w:val="24"/>
        </w:rPr>
        <w:t>40.6.3.2</w:t>
      </w:r>
      <w:r w:rsidRPr="003A5264">
        <w:rPr>
          <w:rFonts w:eastAsia="Times New Roman"/>
          <w:bCs/>
          <w:sz w:val="24"/>
          <w:szCs w:val="24"/>
        </w:rPr>
        <w:tab/>
        <w:t xml:space="preserve">Upon the ISO’s receipt of an Interconnection Customer’s Facility Modification Request, the ISO shall commence and perform any </w:t>
      </w:r>
      <w:r w:rsidRPr="003A5264">
        <w:rPr>
          <w:rFonts w:eastAsia="Times New Roman"/>
          <w:sz w:val="24"/>
          <w:szCs w:val="24"/>
        </w:rPr>
        <w:t>necessary</w:t>
      </w:r>
      <w:r w:rsidRPr="003A5264">
        <w:rPr>
          <w:rFonts w:eastAsia="Times New Roman"/>
          <w:bCs/>
          <w:sz w:val="24"/>
          <w:szCs w:val="24"/>
        </w:rPr>
        <w:t xml:space="preserve"> additional studies as soon as </w:t>
      </w:r>
      <w:r w:rsidRPr="003A5264">
        <w:rPr>
          <w:rFonts w:eastAsia="Times New Roman"/>
          <w:sz w:val="24"/>
          <w:szCs w:val="24"/>
        </w:rPr>
        <w:t>practicable</w:t>
      </w:r>
      <w:r w:rsidRPr="003A5264">
        <w:rPr>
          <w:rFonts w:eastAsia="Times New Roman"/>
          <w:bCs/>
          <w:sz w:val="24"/>
          <w:szCs w:val="24"/>
        </w:rPr>
        <w:t xml:space="preserve">, but in no event shall the ISO commence such studies later than thirty (30) Calendar Days after receiving  Interconnection Customer’s complete Facility Modification Request; </w:t>
      </w:r>
      <w:r w:rsidRPr="003A5264">
        <w:rPr>
          <w:rFonts w:eastAsia="Times New Roman"/>
          <w:bCs/>
          <w:i/>
          <w:iCs/>
          <w:sz w:val="24"/>
          <w:szCs w:val="24"/>
        </w:rPr>
        <w:t>provided, however,</w:t>
      </w:r>
      <w:r w:rsidRPr="003A5264">
        <w:rPr>
          <w:rFonts w:eastAsia="Times New Roman"/>
          <w:bCs/>
          <w:sz w:val="24"/>
          <w:szCs w:val="24"/>
        </w:rPr>
        <w:t xml:space="preserve"> that: (i) </w:t>
      </w:r>
      <w:r w:rsidRPr="003A5264">
        <w:rPr>
          <w:rFonts w:eastAsia="Times New Roman"/>
          <w:bCs/>
          <w:sz w:val="24"/>
          <w:szCs w:val="24"/>
        </w:rPr>
        <w:t>the ISO will not perform a study for a proposed modification to a Point of 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r w:rsidRPr="003A5264">
        <w:rPr>
          <w:rFonts w:eastAsia="Times New Roman"/>
          <w:bCs/>
          <w:sz w:val="24"/>
          <w:szCs w:val="24"/>
        </w:rPr>
        <w: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a Material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xml:space="preserve">, if the Interconnection Request included only a request for ERIS) or CRIS-Only Request shall constitute a Material Modification.  </w:t>
      </w:r>
      <w:r w:rsidRPr="003A5264">
        <w:rPr>
          <w:rFonts w:eastAsia="Times New Roman"/>
          <w:bCs/>
          <w:sz w:val="24"/>
          <w:szCs w:val="24"/>
        </w:rPr>
        <w:t>Except as otherwise set forth in Section 40.6.3.1 above, any modification to a Cluster Study Project during a Cluster Study Process for which it is a member of the Cluster shall constitute a Material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0"/>
      <w:bookmarkEnd w:id="81"/>
      <w:bookmarkEnd w:id="82"/>
      <w:bookmarkEnd w:id="83"/>
      <w:bookmarkEnd w:id="84"/>
      <w:bookmarkEnd w:id="85"/>
      <w:bookmarkEnd w:id="86"/>
      <w:bookmarkEnd w:id="87"/>
      <w:bookmarkEnd w:id="88"/>
    </w:p>
    <w:p w:rsidR="003A5264" w:rsidRPr="003A5264" w:rsidP="003A5264" w14:paraId="14719B89" w14:textId="77777777">
      <w:pPr>
        <w:widowControl/>
        <w:spacing w:line="480" w:lineRule="auto"/>
        <w:ind w:left="1440" w:hanging="720"/>
        <w:rPr>
          <w:rFonts w:eastAsia="Times New Roman"/>
          <w:bCs/>
          <w:sz w:val="24"/>
          <w:szCs w:val="24"/>
        </w:rPr>
      </w:pPr>
      <w:bookmarkStart w:id="89" w:name="_Hlk157069423"/>
      <w:bookmarkStart w:id="90" w:name="_Toc56826990"/>
      <w:bookmarkStart w:id="91" w:name="_Toc56827265"/>
      <w:bookmarkStart w:id="92" w:name="_Toc56827540"/>
      <w:bookmarkStart w:id="93" w:name="_Toc56830300"/>
      <w:bookmarkStart w:id="94" w:name="_Toc57111625"/>
      <w:bookmarkStart w:id="95" w:name="_Toc57111905"/>
      <w:bookmarkStart w:id="96" w:name="_Toc57365361"/>
      <w:bookmarkStart w:id="97" w:name="_Toc57365541"/>
      <w:bookmarkStart w:id="98" w:name="_Toc57366901"/>
      <w:r w:rsidRPr="003A5264">
        <w:rPr>
          <w:rFonts w:eastAsia="Times New Roman"/>
          <w:bCs/>
          <w:sz w:val="24"/>
          <w:szCs w:val="24"/>
        </w:rPr>
        <w:t>40.6.3.4</w:t>
      </w:r>
      <w:r w:rsidRPr="003A5264">
        <w:rPr>
          <w:rFonts w:eastAsia="Times New Roman"/>
          <w:bCs/>
          <w:sz w:val="24"/>
          <w:szCs w:val="24"/>
        </w:rPr>
        <w:tab/>
        <w:t>Extensions of the proposed Commercial Operation Date will not be Material Modifications if</w:t>
      </w:r>
      <w:r w:rsidRPr="003A5264">
        <w:rPr>
          <w:rFonts w:eastAsia="Times New Roman"/>
          <w:b/>
          <w:sz w:val="24"/>
          <w:szCs w:val="24"/>
        </w:rPr>
        <w:t xml:space="preserve"> </w:t>
      </w:r>
      <w:r w:rsidRPr="003A5264">
        <w:rPr>
          <w:rFonts w:eastAsia="Times New Roman"/>
          <w:sz w:val="24"/>
          <w:szCs w:val="24"/>
        </w:rPr>
        <w:t xml:space="preserve">the proposed Commercial Operation Date is within </w:t>
      </w:r>
      <w:r w:rsidRPr="003A5264">
        <w:rPr>
          <w:rFonts w:eastAsia="Times New Roman"/>
          <w:bCs/>
          <w:sz w:val="24"/>
          <w:szCs w:val="24"/>
        </w:rPr>
        <w:t>four (4) years from the following date:</w:t>
      </w:r>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 xml:space="preserve">For Small Generating Facilities that were subject to the Small Generator Interconnection Procedures in Attachment Z to the ISO OATT and did not </w:t>
      </w:r>
      <w:r w:rsidRPr="003A5264">
        <w:rPr>
          <w:rFonts w:eastAsia="Times New Roman"/>
          <w:sz w:val="24"/>
          <w:szCs w:val="24"/>
        </w:rPr>
        <w:t>participate in a Class Year Interconnection Facilities Study or Cluster Study, the date the ISO tendered the SGIA to the Interconnection Customer.</w:t>
      </w:r>
    </w:p>
    <w:p w:rsidR="003A5264" w:rsidRPr="003A5264" w:rsidP="003A5264" w14:paraId="44ABE482" w14:textId="77777777">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p>
    <w:p w:rsidR="003A5264" w:rsidRPr="003A5264" w:rsidP="003A5264" w14:paraId="116A38E1" w14:textId="7777777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An Interconnection Customer must satisfy the first component of the extension requirements by meeting the requirements set forth in Section 40.6.3.5.1.1, 40.6.3.5.1.2, or 40.6.3.5.1.3 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 Customer’s requested extension of its Commercial Operation Date for its Facility is on or before May 2, 2028; or</w:t>
      </w:r>
    </w:p>
    <w:p w:rsidR="003A5264" w:rsidRPr="003A5264" w:rsidP="003A5264" w14:paraId="3F389F27" w14:textId="77777777">
      <w:pPr>
        <w:widowControl/>
        <w:spacing w:line="480" w:lineRule="auto"/>
        <w:ind w:left="1800" w:hanging="720"/>
        <w:rPr>
          <w:rFonts w:eastAsia="Times New Roman"/>
          <w:sz w:val="24"/>
          <w:szCs w:val="24"/>
        </w:rPr>
      </w:pPr>
      <w:r w:rsidRPr="003A5264">
        <w:rPr>
          <w:rFonts w:eastAsia="Times New Roman"/>
          <w:sz w:val="24"/>
          <w:szCs w:val="24"/>
        </w:rPr>
        <w:t xml:space="preserve">40.6.3.5.1.2    Interconnection Customer demonstrates (via an officer certification) that both: (i)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w:t>
      </w:r>
      <w:r w:rsidRPr="003A5264">
        <w:rPr>
          <w:rFonts w:eastAsia="Times New Roman"/>
          <w:sz w:val="24"/>
          <w:szCs w:val="24"/>
        </w:rPr>
        <w:t>Interconnection), and (ii) its project is still progressing to the extent reasonably possible; or</w:t>
      </w:r>
    </w:p>
    <w:p w:rsidR="003A5264" w:rsidRPr="003A5264" w:rsidP="003A5264" w14:paraId="7A3E6BB6" w14:textId="77777777">
      <w:pPr>
        <w:widowControl/>
        <w:spacing w:line="480" w:lineRule="auto"/>
        <w:ind w:left="1800" w:hanging="720"/>
        <w:rPr>
          <w:rFonts w:eastAsia="Times New Roman"/>
          <w:sz w:val="24"/>
          <w:szCs w:val="24"/>
        </w:rPr>
      </w:pPr>
      <w:r w:rsidRPr="003A5264">
        <w:rPr>
          <w:rFonts w:eastAsia="Times New Roman"/>
          <w:sz w:val="24"/>
          <w:szCs w:val="24"/>
        </w:rPr>
        <w:t>40.6.3.5.1.3  An Interconnection Customer demonstrates (via an officer certification) that it has made reasonable progress in the development of its project against milestones set forth in the Interconnection Agreement or Section 40.6.3.5.2 (</w:t>
      </w:r>
      <w:r w:rsidRPr="003A5264">
        <w:rPr>
          <w:rFonts w:eastAsia="Times New Roman"/>
          <w:i/>
          <w:sz w:val="24"/>
          <w:szCs w:val="24"/>
        </w:rPr>
        <w:t>e.g.</w:t>
      </w:r>
      <w:r w:rsidRPr="003A5264">
        <w:rPr>
          <w:rFonts w:eastAsia="Times New Roman"/>
          <w:sz w:val="24"/>
          <w:szCs w:val="24"/>
        </w:rPr>
        <w:t xml:space="preserve">, (i) completion of engineering design, (ii) major equipment orders, (iii) commencement and continuation of construction of the Facility and associated Attachment Facilities, Distribution Upgrades, or System Upgrade Facilities, as applicable, (iv)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77777777">
      <w:pPr>
        <w:widowControl/>
        <w:spacing w:line="480" w:lineRule="auto"/>
        <w:ind w:left="1440" w:firstLine="720"/>
        <w:rPr>
          <w:rFonts w:eastAsia="Times New Roman"/>
          <w:sz w:val="24"/>
          <w:szCs w:val="24"/>
        </w:rPr>
      </w:pPr>
      <w:r w:rsidRPr="003A5264">
        <w:rPr>
          <w:rFonts w:eastAsia="Times New Roman"/>
          <w:sz w:val="24"/>
          <w:szCs w:val="24"/>
        </w:rPr>
        <w:t xml:space="preserve">40.6.3.5.1.4  Upon the ISO’s request, an Interconnection Customer shall promptly provide the ISO with information concerning its demonstration that its project is progressing to the </w:t>
      </w:r>
      <w:r w:rsidRPr="003A5264">
        <w:rPr>
          <w:rFonts w:eastAsia="Times New Roman"/>
          <w:sz w:val="24"/>
          <w:szCs w:val="24"/>
        </w:rPr>
        <w:t>extent reasonably</w:t>
      </w:r>
      <w:r w:rsidRPr="003A5264">
        <w:rPr>
          <w:rFonts w:eastAsia="Times New Roman"/>
          <w:sz w:val="24"/>
          <w:szCs w:val="24"/>
        </w:rPr>
        <w:t xml:space="preserve"> possible pursuant to Section 40.6.3.5.1.2 or has made reasonable progress pursuant to Section 40.6.3.5.1.3.</w:t>
      </w:r>
    </w:p>
    <w:p w:rsidR="003A5264" w:rsidRPr="003A5264" w:rsidP="003A5264" w14:paraId="59A39B27" w14:textId="77777777">
      <w:pPr>
        <w:widowControl/>
        <w:spacing w:line="480" w:lineRule="auto"/>
        <w:ind w:left="1440" w:firstLine="720"/>
        <w:rPr>
          <w:rFonts w:eastAsia="Times New Roman"/>
          <w:sz w:val="24"/>
          <w:szCs w:val="24"/>
        </w:rPr>
      </w:pPr>
      <w:r w:rsidRPr="003A5264">
        <w:rPr>
          <w:rFonts w:eastAsia="Times New Roman"/>
          <w:sz w:val="24"/>
          <w:szCs w:val="24"/>
        </w:rPr>
        <w:t xml:space="preserve">40.6.3.5.1.5  An Interconnection Customer that relied on its satisfaction </w:t>
      </w:r>
      <w:r w:rsidRPr="003A5264">
        <w:rPr>
          <w:rFonts w:eastAsia="Times New Roman"/>
          <w:sz w:val="24"/>
          <w:szCs w:val="24"/>
        </w:rPr>
        <w:t>of</w:t>
      </w:r>
      <w:r w:rsidRPr="003A5264">
        <w:rPr>
          <w:rFonts w:eastAsia="Times New Roman"/>
          <w:sz w:val="24"/>
          <w:szCs w:val="24"/>
        </w:rPr>
        <w:t xml:space="preserve"> certain milestones to extend its Commercial Operation Date in accordance with the requirements in this Section 40.6.3.5.1 must demonstrate satisfaction </w:t>
      </w:r>
      <w:r w:rsidRPr="003A5264">
        <w:rPr>
          <w:rFonts w:eastAsia="Times New Roman"/>
          <w:sz w:val="24"/>
          <w:szCs w:val="24"/>
        </w:rPr>
        <w:t>of</w:t>
      </w:r>
      <w:r w:rsidRPr="003A5264">
        <w:rPr>
          <w:rFonts w:eastAsia="Times New Roman"/>
          <w:sz w:val="24"/>
          <w:szCs w:val="24"/>
        </w:rPr>
        <w:t xml:space="preserve"> additional milestones for any subsequent requested extensions.</w:t>
      </w:r>
    </w:p>
    <w:p w:rsidR="003A5264" w:rsidRPr="003A5264" w:rsidP="003A5264" w14:paraId="7483FB3C" w14:textId="77777777">
      <w:pPr>
        <w:widowControl/>
        <w:spacing w:line="480" w:lineRule="auto"/>
        <w:ind w:left="1800" w:hanging="720"/>
        <w:rPr>
          <w:rFonts w:eastAsia="Times New Roman"/>
          <w:sz w:val="24"/>
          <w:szCs w:val="24"/>
        </w:rPr>
      </w:pPr>
      <w:r w:rsidRPr="003A5264">
        <w:rPr>
          <w:rFonts w:eastAsia="Times New Roman"/>
          <w:sz w:val="24"/>
          <w:szCs w:val="24"/>
        </w:rPr>
        <w:t xml:space="preserve">40.6.3.5.2  As the second component of the extension requirements, Interconnection Customer must also provide the ISO with a milestone schedule for the interconnection of the Project that it has agreed upon with the Connecting </w:t>
      </w:r>
      <w:r w:rsidRPr="003A5264">
        <w:rPr>
          <w:rFonts w:eastAsia="Times New Roman"/>
          <w:sz w:val="24"/>
          <w:szCs w:val="24"/>
        </w:rPr>
        <w:t>Transmission Owner that meets the requested extended Commercial Operation Date.  The Connecting Transmission Owner’s agreement to the revised milestone schedule shall not be unreasonably withheld.</w:t>
      </w:r>
    </w:p>
    <w:p w:rsidR="003A5264" w:rsidRPr="003A5264" w:rsidP="003A5264" w14:paraId="064A255C" w14:textId="77777777">
      <w:pPr>
        <w:widowControl/>
        <w:spacing w:line="480" w:lineRule="auto"/>
        <w:ind w:left="1800" w:hanging="720"/>
        <w:rPr>
          <w:rFonts w:eastAsia="Times New Roman"/>
          <w:sz w:val="24"/>
          <w:szCs w:val="24"/>
        </w:rPr>
      </w:pPr>
      <w:r w:rsidRPr="003A5264">
        <w:rPr>
          <w:rFonts w:eastAsia="Times New Roman"/>
          <w:sz w:val="24"/>
          <w:szCs w:val="24"/>
        </w:rPr>
        <w:t>40.6.3.5.3  As the third component of the extension requirements, the ISO, in consultation with the Connecting Transmission Owner or Affected Transmission Owner, must either determine that: (i) a Cost Estimate Update is not required to update the cost estimates of the Connecting Transmission Owner’s 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w:t>
      </w:r>
      <w:r w:rsidRPr="003A5264">
        <w:rPr>
          <w:rFonts w:eastAsia="Times New Roman"/>
          <w:sz w:val="24"/>
          <w:szCs w:val="24"/>
        </w:rPr>
        <w:t>agreed upon by the Interconnection Customer and Connecting Transmission 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unless the Cost Estimate Update will be performed prior to the execution, or the unexecuted filing, of the interconnection agreement.</w:t>
      </w:r>
    </w:p>
    <w:p w:rsidR="003A5264" w:rsidRPr="003A5264" w:rsidP="003A5264" w14:paraId="2C3F90E6"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40.6.3.5.3.2  The Connecting Transmission Owner or Affected Transmission Owner will perform, at Interconnection Customer’s expense, any Cost Estimate Update agreed upon with the Interconnection Customer to update the cost estimates of the Connecting Transmission Owner’s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Attachment Facilities, Distribution Upgrades, or System Upgrade Facilities for Interconnection Customer’s project is no longer available, the Connecting Transmission Owner or Affected Transmission Owner may, as part of its Cost </w:t>
      </w:r>
      <w:r w:rsidRPr="003A5264">
        <w:rPr>
          <w:rFonts w:eastAsia="Times New Roman"/>
          <w:sz w:val="24"/>
          <w:szCs w:val="24"/>
        </w:rPr>
        <w:t xml:space="preserve">Estimate Update, identify and provide the cost estimate for any replacement equipment. </w:t>
      </w:r>
    </w:p>
    <w:p w:rsidR="003A5264" w:rsidRPr="003A5264" w:rsidP="003A5264" w14:paraId="1DA691D0" w14:textId="77777777">
      <w:pPr>
        <w:widowControl/>
        <w:spacing w:line="480" w:lineRule="auto"/>
        <w:ind w:left="1800" w:firstLine="360"/>
        <w:rPr>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 it accepts within ten (10) Business Days of the conclusion of the Cost Estimate Update its cost allocation for, and provides cash or posts Security to, the Connecting Transmission Owner for, the revised cost estimates.  In such case, the updated cost estimates will be included in the interconnection agreement for the project.  If the project has an effective interconnection agreement, the parties will amend the agreement to include this information.  Any updated cost estimate and Security provided in accordance with this section shall be subject to the Security forfeiture requirements in Section 40.16.1 and the requirements for future cost responsibility set forth in Section 40.16.3.</w:t>
      </w:r>
    </w:p>
    <w:bookmarkEnd w:id="89"/>
    <w:p w:rsidR="003A5264" w:rsidRPr="003A5264" w:rsidP="003A5264" w14:paraId="1A348C44" w14:textId="77777777">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to Interconnection Customer that the most recent proposed Initial </w:t>
      </w:r>
      <w:r w:rsidRPr="003A5264">
        <w:rPr>
          <w:rFonts w:eastAsia="Times New Roman"/>
          <w:sz w:val="24"/>
          <w:szCs w:val="24"/>
        </w:rPr>
        <w:t>Backfeed</w:t>
      </w:r>
      <w:r w:rsidRPr="003A5264">
        <w:rPr>
          <w:rFonts w:eastAsia="Times New Roman"/>
          <w:sz w:val="24"/>
          <w:szCs w:val="24"/>
        </w:rPr>
        <w:t xml:space="preserve"> Date posted on the Queue is infeasible, and also prior to the expiration of the proposed Initial </w:t>
      </w:r>
      <w:r w:rsidRPr="003A5264">
        <w:rPr>
          <w:rFonts w:eastAsia="Times New Roman"/>
          <w:sz w:val="24"/>
          <w:szCs w:val="24"/>
        </w:rPr>
        <w:t>Backfeed</w:t>
      </w:r>
      <w:r w:rsidRPr="003A5264">
        <w:rPr>
          <w:rFonts w:eastAsia="Times New Roman"/>
          <w:sz w:val="24"/>
          <w:szCs w:val="24"/>
        </w:rPr>
        <w:t xml:space="preserve"> Date posted on the ISO Queue, </w:t>
      </w:r>
      <w:r w:rsidRPr="003A5264">
        <w:rPr>
          <w:rFonts w:eastAsia="Times New Roman"/>
          <w:bCs/>
          <w:sz w:val="24"/>
          <w:szCs w:val="24"/>
        </w:rPr>
        <w:t xml:space="preserve">Interconnection Customer is obligated to provide the ISO with notice of any proposed extensions of the proposed Initial </w:t>
      </w:r>
      <w:r w:rsidRPr="003A5264">
        <w:rPr>
          <w:rFonts w:eastAsia="Times New Roman"/>
          <w:bCs/>
          <w:sz w:val="24"/>
          <w:szCs w:val="24"/>
        </w:rPr>
        <w:t>Backfeed</w:t>
      </w:r>
      <w:r w:rsidRPr="003A5264">
        <w:rPr>
          <w:rFonts w:eastAsia="Times New Roman"/>
          <w:bCs/>
          <w:sz w:val="24"/>
          <w:szCs w:val="24"/>
        </w:rPr>
        <w:t xml:space="preserve"> Date, proposed Synchronization Date, or proposed Commercial Operation Date.</w:t>
      </w:r>
      <w:bookmarkEnd w:id="90"/>
      <w:bookmarkEnd w:id="91"/>
      <w:bookmarkEnd w:id="92"/>
      <w:bookmarkEnd w:id="93"/>
      <w:bookmarkEnd w:id="94"/>
      <w:bookmarkEnd w:id="95"/>
      <w:bookmarkEnd w:id="96"/>
      <w:bookmarkEnd w:id="97"/>
      <w:bookmarkEnd w:id="98"/>
    </w:p>
    <w:p w:rsidR="003A5264" w:rsidRPr="003A5264" w:rsidP="00326F80" w14:paraId="6CF5CCEA" w14:textId="73EE5A07">
      <w:pPr>
        <w:widowControl/>
        <w:spacing w:line="480" w:lineRule="auto"/>
        <w:ind w:left="1440" w:hanging="720"/>
        <w:rPr>
          <w:rFonts w:eastAsia="Times New Roman"/>
          <w:sz w:val="24"/>
          <w:szCs w:val="24"/>
        </w:rPr>
      </w:pPr>
      <w:r w:rsidRPr="645D0CD9">
        <w:rPr>
          <w:rFonts w:eastAsia="Times New Roman"/>
          <w:sz w:val="24"/>
          <w:szCs w:val="24"/>
        </w:rPr>
        <w:t>40.6.3.7</w:t>
      </w:r>
      <w:r>
        <w:tab/>
      </w:r>
      <w:r w:rsidRPr="645D0CD9">
        <w:rPr>
          <w:rFonts w:eastAsia="Times New Roman"/>
          <w:sz w:val="24"/>
          <w:szCs w:val="24"/>
        </w:rPr>
        <w:t xml:space="preserve">Technological Change Procedure.  A technological change that satisfies the definition of a Permissible Technology Advancement or that the ISO </w:t>
      </w:r>
      <w:r w:rsidRPr="645D0CD9">
        <w:rPr>
          <w:rFonts w:eastAsia="Times New Roman"/>
          <w:sz w:val="24"/>
          <w:szCs w:val="24"/>
        </w:rPr>
        <w:t>determines is not a Material Modification under this Technological Change Procedure is a permissible modification that will not result in an Interconnection Customer losing its Queue Position if it elects to proceed with the requested modification</w:t>
      </w:r>
      <w:r w:rsidR="00CC707F">
        <w:rPr>
          <w:rFonts w:eastAsia="Times New Roman"/>
          <w:sz w:val="24"/>
          <w:szCs w:val="24"/>
        </w:rPr>
        <w:t>.</w:t>
      </w:r>
    </w:p>
    <w:p w:rsidR="003A5264" w:rsidRPr="003A5264" w:rsidP="003A5264" w14:paraId="2CC32066" w14:textId="77777777">
      <w:pPr>
        <w:widowControl/>
        <w:spacing w:line="480" w:lineRule="auto"/>
        <w:ind w:left="1440" w:hanging="720"/>
        <w:rPr>
          <w:rFonts w:eastAsia="Times New Roman"/>
          <w:bCs/>
          <w:sz w:val="24"/>
          <w:szCs w:val="24"/>
        </w:rPr>
      </w:pPr>
      <w:r w:rsidRPr="003A5264">
        <w:rPr>
          <w:rFonts w:eastAsia="Times New Roman"/>
          <w:sz w:val="24"/>
          <w:szCs w:val="24"/>
        </w:rPr>
        <w:t>40.6.3.7.1</w:t>
      </w:r>
      <w:r w:rsidRPr="003A5264">
        <w:rPr>
          <w:rFonts w:eastAsia="Times New Roman"/>
          <w:bCs/>
          <w:sz w:val="24"/>
          <w:szCs w:val="24"/>
        </w:rPr>
        <w:tab/>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and any support relied on by the Interconnection Customer to show that the change is a Permissible Technological Advancement or not a Material Modification.  Upon receipt of a Facility Modification Request that identifies a request for a technological change, the ISO, in consultation with the Connecting Transmission Owner(s) to the extent practicable, shall first conduct a review of the technological change and supporting information to determine whether such 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 and does not result in a change to the electrical characteristics that is (i) greater than two (2) percent voltage drop at the Point of Interconnection or (ii) greater than 100 amperes short circuit contribution, then no additional study is required and </w:t>
      </w:r>
      <w:r w:rsidRPr="003A5264">
        <w:rPr>
          <w:rFonts w:eastAsia="Times New Roman"/>
          <w:bCs/>
          <w:sz w:val="24"/>
          <w:szCs w:val="24"/>
        </w:rPr>
        <w:t xml:space="preserve">the technological change shall constitute a Permissible Technological Advancement. </w:t>
      </w:r>
    </w:p>
    <w:p w:rsidR="003A5264" w:rsidRPr="00D503F9" w:rsidP="003A5264" w14:paraId="54BEB867" w14:textId="226981D0">
      <w:pPr>
        <w:widowControl/>
        <w:spacing w:line="480" w:lineRule="auto"/>
        <w:ind w:left="1440" w:hanging="720"/>
        <w:rPr>
          <w:rFonts w:eastAsia="Times New Roman"/>
          <w:bCs/>
          <w:sz w:val="24"/>
          <w:szCs w:val="24"/>
        </w:rPr>
      </w:pPr>
      <w:r w:rsidRPr="003A5264">
        <w:rPr>
          <w:rFonts w:eastAsia="Times New Roman"/>
          <w:sz w:val="24"/>
          <w:szCs w:val="24"/>
        </w:rPr>
        <w:t>40.6.3.7.2</w:t>
      </w:r>
      <w:r w:rsidRPr="003A5264">
        <w:rPr>
          <w:rFonts w:eastAsia="Times New Roman"/>
          <w:bCs/>
          <w:sz w:val="24"/>
          <w:szCs w:val="24"/>
        </w:rPr>
        <w:tab/>
      </w:r>
      <w:r w:rsidRPr="00D503F9">
        <w:rPr>
          <w:rFonts w:eastAsia="Times New Roman"/>
          <w:bCs/>
          <w:sz w:val="24"/>
          <w:szCs w:val="24"/>
        </w:rPr>
        <w:t>If the ISO identifies that additional studies are required to determine whether the technological change constitutes a Permissible Technological Advancement, the ISO shall commence and perform any necessary studies to determine whether the electrical performance is equal or better than the electrical performance prior to the technological change and it does not result in adverse reliability concerns.  Such additional studies shall be identified and performed based on the ISO’s engineering judgment and at the Interconnection Customer’s expense.  If the Interconnection Customer fails to provide information or data that is required by the ISO to conduct the additional studies, the ISO shall reject the requested technological change; however, the Interconnection Customer may resubmit a Facility Modification Request for the same technological change with the required information.</w:t>
      </w:r>
    </w:p>
    <w:p w:rsidR="003A5264" w:rsidRPr="00D503F9" w:rsidP="00014490" w14:paraId="33B52EF8" w14:textId="2E355189">
      <w:pPr>
        <w:widowControl/>
        <w:spacing w:line="480" w:lineRule="auto"/>
        <w:ind w:left="1440" w:hanging="720"/>
        <w:rPr>
          <w:rFonts w:eastAsia="Times New Roman"/>
          <w:bCs/>
          <w:sz w:val="24"/>
          <w:szCs w:val="24"/>
        </w:rPr>
      </w:pPr>
      <w:r w:rsidRPr="00D503F9">
        <w:rPr>
          <w:rFonts w:eastAsia="Times New Roman"/>
          <w:sz w:val="24"/>
          <w:szCs w:val="24"/>
        </w:rPr>
        <w:t>40.6.3.7.3</w:t>
      </w:r>
      <w:r w:rsidRPr="00D503F9">
        <w:rPr>
          <w:rFonts w:eastAsia="Times New Roman"/>
          <w:bCs/>
          <w:sz w:val="24"/>
          <w:szCs w:val="24"/>
        </w:rPr>
        <w:tab/>
        <w:t>If the ISO concludes that the requested technological change does not constitute a Permissible Technological Advancement after completing the additional studies, the ISO shall review whether the technological change would constitute a Material Modification consistent with Section 40.6.3 of this Attachment HH.</w:t>
      </w:r>
    </w:p>
    <w:p w:rsidR="003A5264" w:rsidRPr="003A5264" w:rsidP="00014490" w14:paraId="48D7BAFB" w14:textId="5F469845">
      <w:pPr>
        <w:widowControl/>
        <w:spacing w:line="480" w:lineRule="auto"/>
        <w:ind w:left="1440" w:hanging="720"/>
        <w:rPr>
          <w:rFonts w:eastAsia="Times New Roman"/>
          <w:bCs/>
          <w:sz w:val="24"/>
          <w:szCs w:val="24"/>
        </w:rPr>
      </w:pPr>
      <w:r w:rsidRPr="00D503F9">
        <w:rPr>
          <w:rFonts w:eastAsia="Times New Roman"/>
          <w:sz w:val="24"/>
          <w:szCs w:val="24"/>
        </w:rPr>
        <w:t>40.6.3.7.4</w:t>
      </w:r>
      <w:r w:rsidRPr="00D503F9">
        <w:rPr>
          <w:rFonts w:eastAsia="Times New Roman"/>
          <w:bCs/>
          <w:sz w:val="24"/>
          <w:szCs w:val="24"/>
        </w:rPr>
        <w:tab/>
        <w:t>The ISO will complete its review and any additional studies required under this Technological Change Procedure in accordance with the requirements in Section 40.6.3.2.  Following completion of the ISO’s review and any additional studies, the ISO shall describe the studies that were conducted, if any.</w:t>
      </w:r>
      <w:r w:rsidRPr="003A5264">
        <w:rPr>
          <w:rFonts w:eastAsia="Times New Roman"/>
          <w:bCs/>
          <w:sz w:val="24"/>
          <w:szCs w:val="24"/>
        </w:rPr>
        <w:t xml:space="preserve">  </w:t>
      </w:r>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bookmarkStart w:id="99" w:name="_Toc56826980"/>
      <w:bookmarkStart w:id="100" w:name="_Toc56827255"/>
      <w:bookmarkStart w:id="101" w:name="_Toc56827530"/>
      <w:bookmarkStart w:id="102" w:name="_Toc56830290"/>
      <w:bookmarkStart w:id="103" w:name="_Toc57111615"/>
      <w:bookmarkStart w:id="104" w:name="_Toc57111895"/>
      <w:bookmarkStart w:id="105" w:name="_Toc57365351"/>
      <w:bookmarkStart w:id="106" w:name="_Toc57365531"/>
      <w:bookmarkStart w:id="107" w:name="_Toc57366891"/>
      <w:bookmarkStart w:id="108" w:name="_Toc57367006"/>
      <w:bookmarkStart w:id="109" w:name="_Toc57483115"/>
      <w:bookmarkStart w:id="110" w:name="_Toc58968468"/>
      <w:bookmarkStart w:id="111" w:name="_Toc59813801"/>
      <w:bookmarkStart w:id="112" w:name="_Toc59967822"/>
      <w:bookmarkStart w:id="113" w:name="_Toc59970419"/>
      <w:bookmarkStart w:id="114" w:name="_Toc61695454"/>
      <w:bookmarkStart w:id="115" w:name="_Toc262657370"/>
      <w:r w:rsidRPr="003A5264">
        <w:rPr>
          <w:rFonts w:eastAsia="Times New Roman"/>
          <w:b/>
          <w:sz w:val="24"/>
          <w:szCs w:val="24"/>
        </w:rPr>
        <w:t>40.6.4</w:t>
      </w:r>
      <w:r w:rsidRPr="003A5264">
        <w:rPr>
          <w:rFonts w:eastAsia="Times New Roman"/>
          <w:b/>
          <w:sz w:val="24"/>
          <w:szCs w:val="24"/>
        </w:rPr>
        <w:tab/>
        <w:t>Withdrawal</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3A5264" w:rsidRPr="003A5264" w:rsidP="003A5264" w14:paraId="37A5C6FF" w14:textId="77777777">
      <w:pPr>
        <w:widowControl/>
        <w:spacing w:line="480" w:lineRule="auto"/>
        <w:ind w:firstLine="720"/>
        <w:rPr>
          <w:rFonts w:eastAsia="Times New Roman"/>
          <w:sz w:val="24"/>
          <w:szCs w:val="24"/>
        </w:rPr>
      </w:pPr>
      <w:r w:rsidRPr="003A5264">
        <w:rPr>
          <w:rFonts w:eastAsia="Times New Roman"/>
          <w:sz w:val="24"/>
          <w:szCs w:val="24"/>
        </w:rPr>
        <w:t xml:space="preserve">40.6.4.1  The Interconnection Customer may withdraw its Interconnection Request or CRIS-Only Request at any time by written notice of such withdrawal to the ISO.  In addition, if the Interconnection Customer fails to adhere to all requirements of these Standard 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w:t>
      </w:r>
      <w:r w:rsidRPr="003A5264">
        <w:rPr>
          <w:rFonts w:eastAsia="Times New Roman"/>
          <w:sz w:val="24"/>
          <w:szCs w:val="24"/>
        </w:rPr>
        <w:t>cures</w:t>
      </w:r>
      <w:r w:rsidRPr="003A5264">
        <w:rPr>
          <w:rFonts w:eastAsia="Times New Roman"/>
          <w:sz w:val="24"/>
          <w:szCs w:val="24"/>
        </w:rPr>
        <w:t xml:space="preserve"> the deficiency or to notify the ISO of its intent to pursue Dispute Resolution; except that: </w:t>
      </w:r>
    </w:p>
    <w:p w:rsidR="003A5264" w:rsidRPr="003A5264" w:rsidP="003A5264" w14:paraId="6DCFF81B" w14:textId="77777777">
      <w:pPr>
        <w:widowControl/>
        <w:spacing w:line="480" w:lineRule="auto"/>
        <w:ind w:firstLine="720"/>
        <w:rPr>
          <w:rFonts w:eastAsia="Times New Roman"/>
          <w:sz w:val="24"/>
          <w:szCs w:val="24"/>
        </w:rPr>
      </w:pPr>
      <w:r w:rsidRPr="003A5264">
        <w:rPr>
          <w:rFonts w:eastAsia="Times New Roman"/>
          <w:sz w:val="24"/>
          <w:szCs w:val="24"/>
        </w:rPr>
        <w:t>(i) for a failure to timely make a payment or submit or maintain a deposit required by Attachment HH, an Interconnection Customer shall have a ten (10) Business Day cure period to submit payment or deposit in an acceptable form to the ISO, and</w:t>
      </w:r>
    </w:p>
    <w:p w:rsidR="003A5264" w:rsidRPr="003A5264" w:rsidP="003A5264" w14:paraId="5E6E0AFC" w14:textId="77777777">
      <w:pPr>
        <w:widowControl/>
        <w:spacing w:line="480" w:lineRule="auto"/>
        <w:ind w:firstLine="720"/>
        <w:rPr>
          <w:rFonts w:eastAsia="Times New Roman"/>
          <w:sz w:val="24"/>
          <w:szCs w:val="24"/>
        </w:rPr>
      </w:pPr>
      <w:r w:rsidRPr="003A5264">
        <w:rPr>
          <w:rFonts w:eastAsia="Times New Roman"/>
          <w:sz w:val="24"/>
          <w:szCs w:val="24"/>
        </w:rPr>
        <w:t>(ii) the cure period set forth in this Section 40.6.4.1 does not extend specific deadlines set forth in Section 40.5.7.2 for an Interconnection Customer to cure a deficiency in its Interconnection Request or CRIS-Only Request identified by the ISO or in Section 40.5.7.3.3 for an Interconnection Customer to cure a deficiency in its submission of the required Transmission Owner-specific information.</w:t>
      </w:r>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 xml:space="preserve">40.6.4.2  Withdrawal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w:t>
      </w:r>
      <w:r w:rsidRPr="003A5264">
        <w:rPr>
          <w:rFonts w:eastAsia="Times New Roman"/>
          <w:sz w:val="24"/>
          <w:szCs w:val="24"/>
        </w:rPr>
        <w:t xml:space="preserve">deemed to have withdrawn its Interconnection Request or CRIS-Only Request shall pay to the ISO and Connecting Transmission Owner all costs that the ISO and Connecting Transmission Owner prudently incurred with respect to that Interconnection Request or CRIS-Only Request prior to the receipt of notice described above.  The Interconnection Customer must pay all monies due to the ISO </w:t>
      </w:r>
      <w:r w:rsidRPr="003A5264">
        <w:rPr>
          <w:rFonts w:eastAsia="Times New Roman"/>
          <w:sz w:val="24"/>
          <w:szCs w:val="24"/>
        </w:rPr>
        <w:t>and Connecting</w:t>
      </w:r>
      <w:r w:rsidRPr="003A5264">
        <w:rPr>
          <w:rFonts w:eastAsia="Times New Roman"/>
          <w:sz w:val="24"/>
          <w:szCs w:val="24"/>
        </w:rPr>
        <w:t xml:space="preserve">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(i)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Engagement Window up to five (5) Business Days </w:t>
      </w:r>
      <w:bookmarkStart w:id="116" w:name="_Hlk151832217"/>
      <w:r w:rsidRPr="003A5264">
        <w:rPr>
          <w:rFonts w:eastAsia="Times New Roman"/>
          <w:bCs/>
          <w:sz w:val="24"/>
          <w:szCs w:val="24"/>
        </w:rPr>
        <w:t>after the ISO posts the Cluster Study Project List in the Customer Engagement Window pursuant to Section 40.7.2.2, the Interconnection Request or CRIS-Only Request shall not be subject to a Withdrawal Penalty.</w:t>
      </w:r>
      <w:bookmarkEnd w:id="116"/>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117" w:name="_Hlk153216203"/>
      <w:r w:rsidRPr="003A5264">
        <w:rPr>
          <w:rFonts w:eastAsia="Times New Roman"/>
          <w:bCs/>
          <w:sz w:val="24"/>
          <w:szCs w:val="24"/>
        </w:rPr>
        <w:t xml:space="preserve">Withdrawal Penalty Funds </w:t>
      </w:r>
      <w:bookmarkEnd w:id="117"/>
      <w:r w:rsidRPr="003A5264">
        <w:rPr>
          <w:rFonts w:eastAsia="Times New Roman"/>
          <w:bCs/>
          <w:sz w:val="24"/>
          <w:szCs w:val="24"/>
        </w:rPr>
        <w:t xml:space="preserve">that it has collected from any Cluster Study Project(s) participating in the Cluster for that study that withdraw or are deemed withdrawn by the ISO at or before the completion of the later of: (i) the Final Decision Period or (ii) the Additional SDU Study Decision Period for that </w:t>
      </w:r>
      <w:r w:rsidRPr="003A5264">
        <w:rPr>
          <w:rFonts w:eastAsia="Times New Roman"/>
          <w:bCs/>
          <w:sz w:val="24"/>
          <w:szCs w:val="24"/>
        </w:rPr>
        <w:t>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(i)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xml:space="preserve">, that an Interconnection Customer shall not receive from the ISO a higher study refund payment for its </w:t>
      </w:r>
      <w:r w:rsidRPr="003A5264">
        <w:rPr>
          <w:rFonts w:eastAsia="Times New Roman"/>
          <w:bCs/>
          <w:sz w:val="24"/>
          <w:szCs w:val="24"/>
        </w:rPr>
        <w:t>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40.6.5.2.4  If, after the ISO makes the payments required by Section 40.6.5.2.3, there remains Withdrawal Penalty Funds for that Cluster, the ISO shall then calculate and apply the </w:t>
      </w:r>
      <w:bookmarkStart w:id="118" w:name="_Hlk153216823"/>
      <w:r w:rsidRPr="003A5264">
        <w:rPr>
          <w:rFonts w:eastAsia="Times New Roman"/>
          <w:bCs/>
          <w:sz w:val="24"/>
          <w:szCs w:val="24"/>
        </w:rPr>
        <w:t xml:space="preserve">Commercial Operation Incentive Payment Amount </w:t>
      </w:r>
      <w:bookmarkEnd w:id="118"/>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40.6.5.2.6  The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40.6.5.2.7  The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 xml:space="preserve">40.6.5.2.7.1  Assume at the conclusion of a Cluster Study Process that there are ten </w:t>
      </w:r>
      <w:r w:rsidRPr="003A5264">
        <w:rPr>
          <w:rFonts w:eastAsia="Times New Roman"/>
          <w:bCs/>
          <w:sz w:val="24"/>
          <w:szCs w:val="24"/>
        </w:rPr>
        <w:t>Payment Eligible</w:t>
      </w:r>
      <w:r w:rsidRPr="003A5264">
        <w:rPr>
          <w:rFonts w:eastAsia="Times New Roman"/>
          <w:bCs/>
          <w:sz w:val="24"/>
          <w:szCs w:val="24"/>
        </w:rPr>
        <w:t xml:space="preserv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w:t>
      </w:r>
      <w:r w:rsidRPr="003A5264">
        <w:rPr>
          <w:rFonts w:eastAsia="Times New Roman"/>
          <w:bCs/>
          <w:sz w:val="24"/>
          <w:szCs w:val="24"/>
        </w:rPr>
        <w:t xml:space="preserve">Eligible Project up to the </w:t>
      </w:r>
      <w:r w:rsidRPr="003A5264">
        <w:rPr>
          <w:rFonts w:eastAsia="Times New Roman"/>
          <w:bCs/>
          <w:sz w:val="24"/>
          <w:szCs w:val="24"/>
        </w:rPr>
        <w:t>amount in actual</w:t>
      </w:r>
      <w:r w:rsidRPr="003A5264">
        <w:rPr>
          <w:rFonts w:eastAsia="Times New Roman"/>
          <w:bCs/>
          <w:sz w:val="24"/>
          <w:szCs w:val="24"/>
        </w:rPr>
        <w:t xml:space="preserve"> study cost such project paid in that Cluster Study Process.  Accordingly, if a Payment Eligible Project only paid $100,000 in actual 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 xml:space="preserve">40.6.5.2.7.2  Assume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w:t>
      </w:r>
      <w:r w:rsidRPr="003A5264">
        <w:rPr>
          <w:rFonts w:eastAsia="Times New Roman"/>
          <w:bCs/>
          <w:sz w:val="24"/>
          <w:szCs w:val="24"/>
        </w:rPr>
        <w:t>entered into</w:t>
      </w:r>
      <w:r w:rsidRPr="003A5264">
        <w:rPr>
          <w:rFonts w:eastAsia="Times New Roman"/>
          <w:bCs/>
          <w:sz w:val="24"/>
          <w:szCs w:val="24"/>
        </w:rPr>
        <w:t xml:space="preserve"> Commercial Operation.  In such case, those 7 projects would each receive the $50,000 Commercial Operation Incentive Payment Amount.  The remaining $</w:t>
      </w:r>
      <w:r w:rsidRPr="003A5264">
        <w:rPr>
          <w:rFonts w:eastAsia="Times New Roman"/>
          <w:bCs/>
          <w:sz w:val="24"/>
          <w:szCs w:val="24"/>
        </w:rPr>
        <w:t>150,000</w:t>
      </w:r>
      <w:r w:rsidRPr="003A5264">
        <w:rPr>
          <w:rFonts w:eastAsia="Times New Roman"/>
          <w:bCs/>
          <w:sz w:val="24"/>
          <w:szCs w:val="24"/>
        </w:rPr>
        <w:t xml:space="preserve"> associated with the 3 projects that did not enter Commercial </w:t>
      </w:r>
      <w:r w:rsidRPr="003A5264">
        <w:rPr>
          <w:rFonts w:eastAsia="Times New Roman"/>
          <w:bCs/>
          <w:sz w:val="24"/>
          <w:szCs w:val="24"/>
        </w:rPr>
        <w:t>Operation</w:t>
      </w:r>
      <w:r w:rsidRPr="003A5264">
        <w:rPr>
          <w:rFonts w:eastAsia="Times New Roman"/>
          <w:bCs/>
          <w:sz w:val="24"/>
          <w:szCs w:val="24"/>
        </w:rPr>
        <w:t xml:space="preserve"> would be forfeited and used by the ISO to offset its administration costs.</w:t>
      </w:r>
    </w:p>
    <w:sectPr w:rsidSect="004D30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61317314">
    <w:abstractNumId w:val="0"/>
  </w:num>
  <w:num w:numId="2" w16cid:durableId="1685933619">
    <w:abstractNumId w:val="1"/>
  </w:num>
  <w:num w:numId="3" w16cid:durableId="892960126">
    <w:abstractNumId w:val="4"/>
  </w:num>
  <w:num w:numId="4" w16cid:durableId="1345397835">
    <w:abstractNumId w:val="3"/>
  </w:num>
  <w:num w:numId="5" w16cid:durableId="3077839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4490"/>
    <w:rsid w:val="00021891"/>
    <w:rsid w:val="00030656"/>
    <w:rsid w:val="00050594"/>
    <w:rsid w:val="00053A62"/>
    <w:rsid w:val="000571F2"/>
    <w:rsid w:val="00064EA4"/>
    <w:rsid w:val="0007026B"/>
    <w:rsid w:val="0008343E"/>
    <w:rsid w:val="00090644"/>
    <w:rsid w:val="000B4288"/>
    <w:rsid w:val="000C4FF2"/>
    <w:rsid w:val="000D3E13"/>
    <w:rsid w:val="000D57DE"/>
    <w:rsid w:val="000D7EE8"/>
    <w:rsid w:val="00152D20"/>
    <w:rsid w:val="00172C34"/>
    <w:rsid w:val="00196FFE"/>
    <w:rsid w:val="001A4FF7"/>
    <w:rsid w:val="001B6514"/>
    <w:rsid w:val="001B7493"/>
    <w:rsid w:val="001C758E"/>
    <w:rsid w:val="001E3ED6"/>
    <w:rsid w:val="001E3F99"/>
    <w:rsid w:val="00205D7F"/>
    <w:rsid w:val="0021550C"/>
    <w:rsid w:val="002162D9"/>
    <w:rsid w:val="0022438E"/>
    <w:rsid w:val="00234C56"/>
    <w:rsid w:val="002811A6"/>
    <w:rsid w:val="00290347"/>
    <w:rsid w:val="002A28B7"/>
    <w:rsid w:val="002D620D"/>
    <w:rsid w:val="003127ED"/>
    <w:rsid w:val="00326F80"/>
    <w:rsid w:val="00336B36"/>
    <w:rsid w:val="0037560D"/>
    <w:rsid w:val="0039420E"/>
    <w:rsid w:val="003A5264"/>
    <w:rsid w:val="003E06CE"/>
    <w:rsid w:val="003F2276"/>
    <w:rsid w:val="003F5910"/>
    <w:rsid w:val="003F7E1D"/>
    <w:rsid w:val="00402D16"/>
    <w:rsid w:val="0042193C"/>
    <w:rsid w:val="004535F5"/>
    <w:rsid w:val="0047510A"/>
    <w:rsid w:val="00495FD1"/>
    <w:rsid w:val="004B1F01"/>
    <w:rsid w:val="004B5942"/>
    <w:rsid w:val="004B7679"/>
    <w:rsid w:val="004D302E"/>
    <w:rsid w:val="004F1436"/>
    <w:rsid w:val="005244A2"/>
    <w:rsid w:val="00527DF2"/>
    <w:rsid w:val="005479C6"/>
    <w:rsid w:val="005A5508"/>
    <w:rsid w:val="005B22C1"/>
    <w:rsid w:val="00626B59"/>
    <w:rsid w:val="006375A5"/>
    <w:rsid w:val="00657CF7"/>
    <w:rsid w:val="0066094E"/>
    <w:rsid w:val="00666192"/>
    <w:rsid w:val="006814E4"/>
    <w:rsid w:val="006839B6"/>
    <w:rsid w:val="006A577C"/>
    <w:rsid w:val="006B434B"/>
    <w:rsid w:val="006F0D74"/>
    <w:rsid w:val="007044B7"/>
    <w:rsid w:val="00756D92"/>
    <w:rsid w:val="00776792"/>
    <w:rsid w:val="0079376C"/>
    <w:rsid w:val="007B444A"/>
    <w:rsid w:val="00845643"/>
    <w:rsid w:val="008F7561"/>
    <w:rsid w:val="00946804"/>
    <w:rsid w:val="00987A5E"/>
    <w:rsid w:val="009C6899"/>
    <w:rsid w:val="009E2F66"/>
    <w:rsid w:val="00A078E9"/>
    <w:rsid w:val="00A23E9C"/>
    <w:rsid w:val="00A278AE"/>
    <w:rsid w:val="00A405DA"/>
    <w:rsid w:val="00A97605"/>
    <w:rsid w:val="00AE284E"/>
    <w:rsid w:val="00B54D9A"/>
    <w:rsid w:val="00B828FA"/>
    <w:rsid w:val="00BC662E"/>
    <w:rsid w:val="00BE5806"/>
    <w:rsid w:val="00C2334C"/>
    <w:rsid w:val="00C4109F"/>
    <w:rsid w:val="00C868D0"/>
    <w:rsid w:val="00CA4A3E"/>
    <w:rsid w:val="00CC621F"/>
    <w:rsid w:val="00CC707F"/>
    <w:rsid w:val="00CE13F6"/>
    <w:rsid w:val="00CE7CED"/>
    <w:rsid w:val="00D175AD"/>
    <w:rsid w:val="00D175CF"/>
    <w:rsid w:val="00D22BC8"/>
    <w:rsid w:val="00D34538"/>
    <w:rsid w:val="00D36574"/>
    <w:rsid w:val="00D503F9"/>
    <w:rsid w:val="00D5052D"/>
    <w:rsid w:val="00D77ABB"/>
    <w:rsid w:val="00D91717"/>
    <w:rsid w:val="00D935D5"/>
    <w:rsid w:val="00D96C84"/>
    <w:rsid w:val="00DB51CE"/>
    <w:rsid w:val="00DB720C"/>
    <w:rsid w:val="00DD6251"/>
    <w:rsid w:val="00DF31AF"/>
    <w:rsid w:val="00E32F19"/>
    <w:rsid w:val="00E53FA6"/>
    <w:rsid w:val="00E65008"/>
    <w:rsid w:val="00E97A37"/>
    <w:rsid w:val="00EA613F"/>
    <w:rsid w:val="00EB36F8"/>
    <w:rsid w:val="00EB3AA0"/>
    <w:rsid w:val="00F07528"/>
    <w:rsid w:val="00F233D1"/>
    <w:rsid w:val="00F37B53"/>
    <w:rsid w:val="00F54BA7"/>
    <w:rsid w:val="00FC5E24"/>
    <w:rsid w:val="00FD0864"/>
    <w:rsid w:val="00FD6B82"/>
    <w:rsid w:val="33ED0406"/>
    <w:rsid w:val="645D0C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A68C05F1-F671-4010-A56E-BA3F1984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Props1.xml><?xml version="1.0" encoding="utf-8"?>
<ds:datastoreItem xmlns:ds="http://schemas.openxmlformats.org/officeDocument/2006/customXml" ds:itemID="{AC38040A-085A-47AA-A874-D6735407E5B3}">
  <ds:schemaRefs>
    <ds:schemaRef ds:uri="http://schemas.openxmlformats.org/officeDocument/2006/bibliography"/>
  </ds:schemaRefs>
</ds:datastoreItem>
</file>

<file path=customXml/itemProps2.xml><?xml version="1.0" encoding="utf-8"?>
<ds:datastoreItem xmlns:ds="http://schemas.openxmlformats.org/officeDocument/2006/customXml" ds:itemID="{5D51899C-1886-4525-9E02-28C8DE0D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81CF1-AACD-42DF-AA21-5E2622DAD032}">
  <ds:schemaRefs>
    <ds:schemaRef ds:uri="http://schemas.microsoft.com/sharepoint/v3/contenttype/forms"/>
  </ds:schemaRefs>
</ds:datastoreItem>
</file>

<file path=customXml/itemProps4.xml><?xml version="1.0" encoding="utf-8"?>
<ds:datastoreItem xmlns:ds="http://schemas.openxmlformats.org/officeDocument/2006/customXml" ds:itemID="{1141976F-78F5-47F7-B3C5-220BBBB4ED1F}">
  <ds:schemaRefs>
    <ds:schemaRef ds:uri="http://schemas.microsoft.com/office/2006/metadata/properties"/>
    <ds:schemaRef ds:uri="http://schemas.microsoft.com/office/infopath/2007/PartnerControls"/>
    <ds:schemaRef ds:uri="7776512e-f9f2-4ef6-abd0-c2ef63c09d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4574</Words>
  <Characters>26672</Characters>
  <Application>Microsoft Office Word</Application>
  <DocSecurity>0</DocSecurity>
  <Lines>410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Morse, Alexander</cp:lastModifiedBy>
  <cp:revision>2</cp:revision>
  <dcterms:created xsi:type="dcterms:W3CDTF">2025-10-29T21:00:00Z</dcterms:created>
  <dcterms:modified xsi:type="dcterms:W3CDTF">2025-10-29T21:00:00Z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a5049dce-8671-4c79-90d7-f6ec79470f4e_ActionId">
    <vt:lpwstr>22e5b3c0-5e71-4897-9258-85538b3dd70e</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2024-05-01T14:54:12Z</vt:lpwstr>
  </property>
  <property fmtid="{D5CDD505-2E9C-101B-9397-08002B2CF9AE}" pid="10" name="MSIP_Label_a5049dce-8671-4c79-90d7-f6ec79470f4e_SiteId">
    <vt:lpwstr>7658602a-f7b9-4209-bc62-d2bfc30dea0d</vt:lpwstr>
  </property>
  <property fmtid="{D5CDD505-2E9C-101B-9397-08002B2CF9AE}" pid="11" name="Order">
    <vt:r8>306300</vt:r8>
  </property>
  <property fmtid="{D5CDD505-2E9C-101B-9397-08002B2CF9AE}" pid="12" name="TriggerFlowInfo">
    <vt:lpwstr/>
  </property>
  <property fmtid="{D5CDD505-2E9C-101B-9397-08002B2CF9AE}" pid="13" name="_ExtendedDescription">
    <vt:lpwstr/>
  </property>
</Properties>
</file>