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760DF3" w:rsidP="00760DF3" w14:paraId="33AC80B8" w14:textId="77777777">
      <w:pPr>
        <w:widowControl w:val="0"/>
        <w:tabs>
          <w:tab w:val="left" w:pos="1080"/>
        </w:tabs>
        <w:spacing w:after="240"/>
        <w:ind w:left="1080" w:right="634" w:hanging="1080"/>
        <w:outlineLvl w:val="2"/>
        <w:rPr>
          <w:rFonts w:eastAsia="Times New Roman"/>
          <w:b/>
        </w:rPr>
      </w:pPr>
      <w:bookmarkStart w:id="0" w:name="_GoBack"/>
      <w:bookmarkEnd w:id="0"/>
      <w:r>
        <w:rPr>
          <w:rFonts w:eastAsia="Times New Roman"/>
          <w:b/>
        </w:rPr>
        <w:t>40.25.10</w:t>
      </w:r>
      <w:r>
        <w:rPr>
          <w:rFonts w:eastAsia="Times New Roman"/>
          <w:b/>
        </w:rPr>
        <w:tab/>
        <w:t>APPENDIX 10 TO ATTACHMENT HH</w:t>
      </w:r>
      <w:bookmarkStart w:id="1" w:name="_Toc260839693"/>
      <w:bookmarkStart w:id="2" w:name="_Toc343517652"/>
      <w:bookmarkStart w:id="3" w:name="_Toc343521130"/>
      <w:bookmarkStart w:id="4" w:name="_Toc343521277"/>
      <w:bookmarkStart w:id="5" w:name="_Toc343521459"/>
      <w:r w:rsidRPr="00811E6F">
        <w:rPr>
          <w:rFonts w:eastAsia="Times New Roman"/>
          <w:b/>
        </w:rPr>
        <w:t xml:space="preserve"> </w:t>
      </w:r>
    </w:p>
    <w:p w:rsidR="00760DF3" w:rsidRPr="00811E6F" w:rsidP="00760DF3" w14:paraId="7BD2DF44" w14:textId="77777777">
      <w:pPr>
        <w:widowControl w:val="0"/>
        <w:tabs>
          <w:tab w:val="left" w:pos="1080"/>
        </w:tabs>
        <w:spacing w:after="240"/>
        <w:ind w:left="1080" w:right="634" w:hanging="1080"/>
        <w:jc w:val="center"/>
        <w:outlineLvl w:val="2"/>
        <w:rPr>
          <w:rFonts w:eastAsia="Times New Roman"/>
          <w:b/>
        </w:rPr>
      </w:pPr>
      <w:r w:rsidRPr="00811E6F">
        <w:rPr>
          <w:rFonts w:eastAsia="Times New Roman"/>
          <w:b/>
        </w:rPr>
        <w:t>CERTIFICATION CODES AND STANDARDS</w:t>
      </w:r>
      <w:bookmarkEnd w:id="1"/>
      <w:bookmarkEnd w:id="2"/>
      <w:bookmarkEnd w:id="3"/>
      <w:bookmarkEnd w:id="4"/>
      <w:bookmarkEnd w:id="5"/>
    </w:p>
    <w:p w:rsidR="00760DF3" w:rsidRPr="00422F8A" w:rsidP="00760DF3" w14:paraId="63CC3E65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IEEE1547 Standard for Interconnecting Distributed Resources with Electric Power Systems (including use of IEEE 1547.1 testing protocols to establish conformity)</w:t>
      </w:r>
    </w:p>
    <w:p w:rsidR="00760DF3" w:rsidRPr="00422F8A" w:rsidP="00760DF3" w14:paraId="2D828AED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UL 1741 Inverters, Converters, and Controllers for Use in Independent Power Systems</w:t>
      </w:r>
    </w:p>
    <w:p w:rsidR="00760DF3" w:rsidRPr="00422F8A" w:rsidP="00760DF3" w14:paraId="04185E99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 Std 929-2000 IEEE Recommended Practice for Utility Interface of Photovoltaic (PV) Systems</w:t>
      </w:r>
    </w:p>
    <w:p w:rsidR="00760DF3" w:rsidRPr="00422F8A" w:rsidP="00760DF3" w14:paraId="35F1C569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NFPA 70 (2002), National Electrical Code</w:t>
      </w:r>
    </w:p>
    <w:p w:rsidR="00760DF3" w:rsidRPr="00422F8A" w:rsidP="00760DF3" w14:paraId="172F1EF8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 Std C37.90.l-1989 (R1994), IEEE Standard Surge Withstand Capability (SWC) Tests for Protective Relays and Relay Systems</w:t>
      </w:r>
    </w:p>
    <w:p w:rsidR="00760DF3" w:rsidRPr="00422F8A" w:rsidP="00760DF3" w14:paraId="05C3D10F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 Std C37.90.2 (1995), IEEE Standard Withstand Capability of Relay Systems to Radiated Electromagnetic Interference from Transceivers</w:t>
      </w:r>
    </w:p>
    <w:p w:rsidR="00760DF3" w:rsidRPr="00422F8A" w:rsidP="00760DF3" w14:paraId="4437F26F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 Std C37.108-1989 (R2002), IEEE Guide for the Protection of Network Transformers</w:t>
      </w:r>
    </w:p>
    <w:p w:rsidR="00760DF3" w:rsidRPr="00422F8A" w:rsidP="00760DF3" w14:paraId="315C58D4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 Std C57.12.44-2000, IEEE Standard Requirements for Secondary Network Protectors</w:t>
      </w:r>
    </w:p>
    <w:p w:rsidR="00760DF3" w:rsidRPr="00422F8A" w:rsidP="00760DF3" w14:paraId="3EC881F3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 Std C62.41.2-2002, IEEE Recommended Practice on Characterization of Surges in Low Voltage (1000V and Less) AC Power Circuits</w:t>
      </w:r>
    </w:p>
    <w:p w:rsidR="00760DF3" w:rsidRPr="00422F8A" w:rsidP="00760DF3" w14:paraId="2D2E2550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 Std C62.45-l992 (R2002), IEEE Recommended Practice on Surge Testing for Equipment Connected to Low-Voltage (1000V and Less) AC Power Circuits</w:t>
      </w:r>
    </w:p>
    <w:p w:rsidR="00760DF3" w:rsidRPr="00422F8A" w:rsidP="00760DF3" w14:paraId="5E5A4654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ANSI C84.1-1995 Electric Power Systems and Equipment – Voltage Ratings (60 Hertz)</w:t>
      </w:r>
    </w:p>
    <w:p w:rsidR="00760DF3" w:rsidRPr="00422F8A" w:rsidP="00760DF3" w14:paraId="4848DD4E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 Std 100-2000, IEEE Standard Dictionary of Electrical and Electronic Terms</w:t>
      </w:r>
      <w:r w:rsidRPr="00422F8A">
        <w:rPr>
          <w:rFonts w:eastAsia="Times New Roman"/>
          <w:snapToGrid w:val="0"/>
          <w:szCs w:val="20"/>
        </w:rPr>
        <w:br/>
        <w:t>NEMA MG 1-1998, Motors and Small Resources, Revision 3</w:t>
      </w:r>
    </w:p>
    <w:p w:rsidR="00760DF3" w:rsidRPr="00422F8A" w:rsidP="00760DF3" w14:paraId="2E5EDC8B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IEEE Std 519-1992, IEEE Recommended Practices and Requirements for Harmonic Control in Electrical Power Systems</w:t>
      </w:r>
    </w:p>
    <w:p w:rsidR="00760DF3" w:rsidRPr="00422F8A" w:rsidP="00760DF3" w14:paraId="083F86DC" w14:textId="77777777">
      <w:pPr>
        <w:pStyle w:val="ListParagraph"/>
        <w:numPr>
          <w:ilvl w:val="0"/>
          <w:numId w:val="1"/>
        </w:numPr>
        <w:spacing w:before="120" w:after="120"/>
        <w:rPr>
          <w:rFonts w:eastAsia="Times New Roman"/>
          <w:snapToGrid w:val="0"/>
          <w:szCs w:val="20"/>
        </w:rPr>
      </w:pPr>
      <w:r w:rsidRPr="00422F8A">
        <w:rPr>
          <w:rFonts w:eastAsia="Times New Roman"/>
          <w:snapToGrid w:val="0"/>
          <w:szCs w:val="20"/>
        </w:rPr>
        <w:t>NEMA MG 1-2003 (Rev 2004), Motors and Generators, Revision 1</w:t>
      </w:r>
    </w:p>
    <w:p w:rsidR="00760DF3" w:rsidRPr="00811E6F" w:rsidP="00760DF3" w14:paraId="0825488B" w14:textId="77777777">
      <w:pPr>
        <w:rPr>
          <w:rFonts w:eastAsia="Times New Roman"/>
        </w:rPr>
      </w:pPr>
    </w:p>
    <w:p w:rsidR="002D7982" w14:paraId="4FF3FA4D" w14:textId="77777777"/>
    <w:sectPr w:rsidSect="00760DF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5/2/2024 - Docket #: ER24-1915-000 -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40.25.10 OATT Att HH Appendix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40.25.10 OATT Att HH Appendix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40 Attachment HH - Standard Interconnection Procedures --&gt; 40.25 OATT Att HH Appendices to Attachment HH --&gt; 40.25.10 OATT Att HH Appendix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2967017"/>
    <w:multiLevelType w:val="hybridMultilevel"/>
    <w:tmpl w:val="758CD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Amann, Stephanie">
    <w15:presenceInfo w15:providerId="AD" w15:userId="S::samann@nyiso.com::dba1fda4-bbe6-4720-bfc1-4eb87a5a8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DF3"/>
    <w:rsid w:val="002D7982"/>
    <w:rsid w:val="00422F8A"/>
    <w:rsid w:val="00556ED9"/>
    <w:rsid w:val="00760DF3"/>
    <w:rsid w:val="00811E6F"/>
    <w:rsid w:val="008D17ED"/>
    <w:rsid w:val="00985577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35C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760DF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60D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0DF3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13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New York ISO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Amann, Stephanie</dc:creator>
  <cp:lastModifiedBy>TMS IIS</cp:lastModifiedBy>
  <cp:revision>2</cp:revision>
  <dcterms:created xsi:type="dcterms:W3CDTF">2024-05-02T20:11:00Z</dcterms:created>
  <dcterms:modified xsi:type="dcterms:W3CDTF">2024-05-02T20:11:00Z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c48b358b-aaa8-48c1-a73a-97a3df3f1eb3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2024-05-01T12:26:42Z</vt:lpwstr>
  </property>
  <property fmtid="{D5CDD505-2E9C-101B-9397-08002B2CF9AE}" pid="8" name="MSIP_Label_5bf193d9-c1cf-45e0-8fa7-a9bc86b7f5dd_SiteId">
    <vt:lpwstr>7658602a-f7b9-4209-bc62-d2bfc30dea0d</vt:lpwstr>
  </property>
</Properties>
</file>