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52" w:rsidRDefault="007F3356">
      <w:pPr>
        <w:pStyle w:val="Heading2"/>
      </w:pPr>
      <w:bookmarkStart w:id="0" w:name="_Toc260839804"/>
      <w:bookmarkStart w:id="1" w:name="_Toc311192561"/>
      <w:bookmarkStart w:id="2" w:name="_GoBack"/>
      <w:bookmarkEnd w:id="2"/>
      <w:r>
        <w:t>35.5</w:t>
      </w:r>
      <w:bookmarkStart w:id="3" w:name="_Toc113336700"/>
      <w:bookmarkStart w:id="4" w:name="_Toc113336879"/>
      <w:bookmarkStart w:id="5" w:name="_Toc115162708"/>
      <w:r>
        <w:tab/>
        <w:t>Interconnected Operation</w:t>
      </w:r>
      <w:bookmarkEnd w:id="0"/>
      <w:bookmarkEnd w:id="1"/>
      <w:bookmarkEnd w:id="3"/>
      <w:bookmarkEnd w:id="4"/>
      <w:bookmarkEnd w:id="5"/>
    </w:p>
    <w:p w:rsidR="00E20052" w:rsidRPr="00593573" w:rsidRDefault="007F3356" w:rsidP="007A5881">
      <w:pPr>
        <w:pStyle w:val="Heading3"/>
        <w:tabs>
          <w:tab w:val="left" w:pos="1080"/>
        </w:tabs>
        <w:spacing w:before="240" w:after="240"/>
        <w:ind w:left="1080" w:right="634" w:hanging="1080"/>
        <w:rPr>
          <w:rFonts w:ascii="Times New Roman" w:hAnsi="Times New Roman" w:cs="Times New Roman"/>
          <w:color w:val="auto"/>
        </w:rPr>
      </w:pPr>
      <w:bookmarkStart w:id="6" w:name="_Toc113336701"/>
      <w:bookmarkStart w:id="7" w:name="_Toc113336880"/>
      <w:bookmarkStart w:id="8" w:name="_Toc260839805"/>
      <w:bookmarkStart w:id="9" w:name="_Toc311192562"/>
      <w:bookmarkStart w:id="10" w:name="_Toc115162709"/>
      <w:r w:rsidRPr="001E3894">
        <w:rPr>
          <w:rFonts w:ascii="Times New Roman" w:hAnsi="Times New Roman" w:cs="Times New Roman"/>
          <w:color w:val="auto"/>
        </w:rPr>
        <w:t>35.5.1</w:t>
      </w:r>
      <w:r w:rsidRPr="001E3894">
        <w:rPr>
          <w:rFonts w:ascii="Times New Roman" w:hAnsi="Times New Roman" w:cs="Times New Roman"/>
          <w:color w:val="auto"/>
        </w:rPr>
        <w:tab/>
        <w:t>Obligation to Remain Interconnected</w:t>
      </w:r>
      <w:bookmarkEnd w:id="6"/>
      <w:bookmarkEnd w:id="7"/>
      <w:bookmarkEnd w:id="8"/>
      <w:bookmarkEnd w:id="9"/>
    </w:p>
    <w:p w:rsidR="00E20052" w:rsidRDefault="007F3356">
      <w:pPr>
        <w:pStyle w:val="Bodypara"/>
      </w:pPr>
      <w:r>
        <w:t>The Parties shall at all times during the term of this Agreement operate or direct the operation of their respective Transmission Systems so that they remain interconnected except:</w:t>
      </w:r>
      <w:bookmarkEnd w:id="10"/>
    </w:p>
    <w:p w:rsidR="00E20052" w:rsidRDefault="007F3356" w:rsidP="007A5881">
      <w:pPr>
        <w:pStyle w:val="romannumeralpara"/>
        <w:ind w:left="1800" w:hanging="1080"/>
      </w:pPr>
      <w:bookmarkStart w:id="11" w:name="_Toc115162710"/>
      <w:r>
        <w:t>35.5.1.1</w:t>
      </w:r>
      <w:r>
        <w:tab/>
        <w:t>During the occurrence of an event of Force Majeure which renders a Party unable to remain interconnected;</w:t>
      </w:r>
      <w:bookmarkEnd w:id="11"/>
    </w:p>
    <w:p w:rsidR="00E20052" w:rsidRDefault="007F3356" w:rsidP="007A5881">
      <w:pPr>
        <w:pStyle w:val="romannumeralpara"/>
        <w:ind w:left="1800" w:hanging="1080"/>
      </w:pPr>
      <w:bookmarkStart w:id="12" w:name="_Toc115162711"/>
      <w:r>
        <w:t>35.5.1.2</w:t>
      </w:r>
      <w:r>
        <w:tab/>
        <w:t>When an Interconnection is opened in accordance with the terms of an Operating Instruction or, if the Operating Instruction does not</w:t>
      </w:r>
      <w:r>
        <w:t xml:space="preserve"> anticipate a particular circumstance where there is an imminent risk of equipment failure, or of danger to personnel or the public, or a risk to the environment, or a risk to system Security or reliability of a Transmission System, which cannot be avoided</w:t>
      </w:r>
      <w:r>
        <w:t xml:space="preserve"> through Good Utility Practice; or</w:t>
      </w:r>
      <w:bookmarkEnd w:id="12"/>
    </w:p>
    <w:p w:rsidR="00E20052" w:rsidRDefault="007F3356" w:rsidP="007A5881">
      <w:pPr>
        <w:pStyle w:val="romannumeralpara"/>
        <w:ind w:left="1800" w:hanging="1080"/>
      </w:pPr>
      <w:bookmarkStart w:id="13" w:name="_Toc115162712"/>
      <w:r>
        <w:t>35.5.1.3</w:t>
      </w:r>
      <w:r>
        <w:tab/>
        <w:t>During planned maintenance where notice has been given in accordance with outage procedures as implemented by the Coordination Committee.</w:t>
      </w:r>
      <w:bookmarkEnd w:id="13"/>
    </w:p>
    <w:p w:rsidR="00E20052" w:rsidRPr="00593573" w:rsidRDefault="007F3356" w:rsidP="007A5881">
      <w:pPr>
        <w:pStyle w:val="Heading3"/>
        <w:tabs>
          <w:tab w:val="left" w:pos="1080"/>
        </w:tabs>
        <w:spacing w:before="240" w:after="240"/>
        <w:ind w:left="1080" w:right="634" w:hanging="1080"/>
        <w:rPr>
          <w:rFonts w:ascii="Times New Roman" w:hAnsi="Times New Roman" w:cs="Times New Roman"/>
          <w:color w:val="auto"/>
        </w:rPr>
      </w:pPr>
      <w:bookmarkStart w:id="14" w:name="_Toc260839806"/>
      <w:bookmarkStart w:id="15" w:name="_Toc311192563"/>
      <w:bookmarkStart w:id="16" w:name="_Toc115162713"/>
      <w:r w:rsidRPr="001E3894">
        <w:rPr>
          <w:rFonts w:ascii="Times New Roman" w:hAnsi="Times New Roman" w:cs="Times New Roman"/>
          <w:color w:val="auto"/>
        </w:rPr>
        <w:t>35.5.2</w:t>
      </w:r>
      <w:r w:rsidRPr="001E3894">
        <w:rPr>
          <w:rFonts w:ascii="Times New Roman" w:hAnsi="Times New Roman" w:cs="Times New Roman"/>
          <w:color w:val="auto"/>
        </w:rPr>
        <w:tab/>
        <w:t>Adherence to Standards Authority Standards, Policies and Procedures</w:t>
      </w:r>
      <w:bookmarkEnd w:id="14"/>
      <w:bookmarkEnd w:id="15"/>
    </w:p>
    <w:p w:rsidR="00E20052" w:rsidRDefault="007F3356">
      <w:pPr>
        <w:pStyle w:val="Bodypara"/>
        <w:rPr>
          <w:b/>
        </w:rPr>
      </w:pPr>
      <w:r>
        <w:t>The Parties are participants in multiple Standards Authorities and are required to comply with specified standards, criteria, guides and procedures (“Standards Authority Standards”).  Such Standards Authority Standards detail the many coordinating functio</w:t>
      </w:r>
      <w:r>
        <w:t xml:space="preserve">ns carried out by the parties, and this Agreement is intended to enhance those arrangements.  Such Standards Authority Standards include, and the Parties agree to, the provision of “maximum reasonable assistance” to a neighboring Balancing Authority Area. </w:t>
      </w:r>
      <w:r>
        <w:t xml:space="preserve"> Such maximum reasonable assistance will not normally require the shedding of firm load.</w:t>
      </w:r>
      <w:bookmarkEnd w:id="16"/>
    </w:p>
    <w:p w:rsidR="00E20052" w:rsidRPr="00593573" w:rsidRDefault="007F3356" w:rsidP="007A5881">
      <w:pPr>
        <w:pStyle w:val="Heading3"/>
        <w:tabs>
          <w:tab w:val="left" w:pos="1080"/>
        </w:tabs>
        <w:spacing w:before="240" w:after="240"/>
        <w:ind w:left="1080" w:right="634" w:hanging="1080"/>
        <w:rPr>
          <w:rFonts w:ascii="Times New Roman" w:hAnsi="Times New Roman" w:cs="Times New Roman"/>
          <w:color w:val="auto"/>
        </w:rPr>
      </w:pPr>
      <w:bookmarkStart w:id="17" w:name="_Toc113336703"/>
      <w:bookmarkStart w:id="18" w:name="_Toc113336882"/>
      <w:bookmarkStart w:id="19" w:name="_Toc260839807"/>
      <w:bookmarkStart w:id="20" w:name="_Toc311192564"/>
      <w:bookmarkStart w:id="21" w:name="_Toc115162714"/>
      <w:r w:rsidRPr="001E3894">
        <w:rPr>
          <w:rFonts w:ascii="Times New Roman" w:hAnsi="Times New Roman" w:cs="Times New Roman"/>
          <w:color w:val="auto"/>
        </w:rPr>
        <w:lastRenderedPageBreak/>
        <w:t>35.5.3</w:t>
      </w:r>
      <w:r w:rsidRPr="001E3894">
        <w:rPr>
          <w:rFonts w:ascii="Times New Roman" w:hAnsi="Times New Roman" w:cs="Times New Roman"/>
          <w:color w:val="auto"/>
        </w:rPr>
        <w:tab/>
        <w:t>Notification of Circumstances</w:t>
      </w:r>
      <w:bookmarkEnd w:id="17"/>
      <w:bookmarkEnd w:id="18"/>
      <w:bookmarkEnd w:id="19"/>
      <w:bookmarkEnd w:id="20"/>
    </w:p>
    <w:p w:rsidR="00E20052" w:rsidRDefault="007F3356">
      <w:pPr>
        <w:pStyle w:val="Bodypara"/>
      </w:pPr>
      <w:r>
        <w:t>In the event that an Interconnection Facility is opened or if the Interconnection Facility transfer capability is changed, or if a</w:t>
      </w:r>
      <w:r>
        <w:t xml:space="preserve"> Party plans to initiate the opening of an Interconnection Facility, or to change the transfer capability of the Interconnection Facilities, such Party shall immediately provide the other Party with notification indicating the circumstances of the opening </w:t>
      </w:r>
      <w:r>
        <w:t>or transfer capability change and expected restoration time, in accordance with procedures implemented by the Coordination Committee.</w:t>
      </w:r>
      <w:bookmarkEnd w:id="21"/>
    </w:p>
    <w:p w:rsidR="00E20052" w:rsidRPr="00593573" w:rsidRDefault="007F3356" w:rsidP="007A5881">
      <w:pPr>
        <w:pStyle w:val="Heading3"/>
        <w:tabs>
          <w:tab w:val="left" w:pos="1080"/>
        </w:tabs>
        <w:spacing w:before="240" w:after="240"/>
        <w:ind w:left="1080" w:right="634" w:hanging="1080"/>
        <w:rPr>
          <w:rFonts w:ascii="Times New Roman" w:hAnsi="Times New Roman" w:cs="Times New Roman"/>
          <w:color w:val="auto"/>
        </w:rPr>
      </w:pPr>
      <w:bookmarkStart w:id="22" w:name="_Toc113336704"/>
      <w:bookmarkStart w:id="23" w:name="_Toc113336883"/>
      <w:bookmarkStart w:id="24" w:name="_Toc260839808"/>
      <w:bookmarkStart w:id="25" w:name="_Toc311192565"/>
      <w:bookmarkStart w:id="26" w:name="_Toc115162715"/>
      <w:r w:rsidRPr="001E3894">
        <w:rPr>
          <w:rFonts w:ascii="Times New Roman" w:hAnsi="Times New Roman" w:cs="Times New Roman"/>
          <w:color w:val="auto"/>
        </w:rPr>
        <w:t>35.5.4</w:t>
      </w:r>
      <w:r w:rsidRPr="001E3894">
        <w:rPr>
          <w:rFonts w:ascii="Times New Roman" w:hAnsi="Times New Roman" w:cs="Times New Roman"/>
          <w:color w:val="auto"/>
        </w:rPr>
        <w:tab/>
        <w:t>Compliance with Decisions of the Coordination Committee Direction</w:t>
      </w:r>
      <w:bookmarkEnd w:id="22"/>
      <w:bookmarkEnd w:id="23"/>
      <w:bookmarkEnd w:id="24"/>
      <w:bookmarkEnd w:id="25"/>
    </w:p>
    <w:p w:rsidR="00E20052" w:rsidRDefault="007F3356">
      <w:pPr>
        <w:pStyle w:val="Bodypara"/>
        <w:rPr>
          <w:b/>
        </w:rPr>
      </w:pPr>
      <w:r>
        <w:t>PJM shall direct the operation of the PJM Transmi</w:t>
      </w:r>
      <w:r>
        <w:t>ssion System and the NYISO shall direct the operation of the NYISO Transmission System in accordance with the obligations of their respective tariffs, rules and standards and applicable directions of the Coordination Committee that conform with their respe</w:t>
      </w:r>
      <w:r>
        <w:t xml:space="preserve">ctive tariffs, rules and standards, except where prevented by Force Majeure.  The Coordination Committee’s scope includes making decisions and jointly developing and approving Operating Instructions for many expected circumstances within the provisions of </w:t>
      </w:r>
      <w:r>
        <w:t>the Parties’ respective tariffs, rules and standards.  If decisions of the Coordination Committee do not anticipate a particular circumstance, the Parties shall act in accordance with Good Utility Practice.</w:t>
      </w:r>
      <w:bookmarkEnd w:id="26"/>
    </w:p>
    <w:p w:rsidR="00E20052" w:rsidRPr="00593573" w:rsidRDefault="007F3356" w:rsidP="007A5881">
      <w:pPr>
        <w:pStyle w:val="Heading3"/>
        <w:tabs>
          <w:tab w:val="left" w:pos="1080"/>
        </w:tabs>
        <w:spacing w:before="240" w:after="240"/>
        <w:ind w:left="1080" w:right="634" w:hanging="1080"/>
        <w:rPr>
          <w:rFonts w:ascii="Times New Roman" w:hAnsi="Times New Roman" w:cs="Times New Roman"/>
          <w:color w:val="auto"/>
        </w:rPr>
      </w:pPr>
      <w:bookmarkStart w:id="27" w:name="_Toc113336705"/>
      <w:bookmarkStart w:id="28" w:name="_Toc113336884"/>
      <w:bookmarkStart w:id="29" w:name="_Toc260839809"/>
      <w:bookmarkStart w:id="30" w:name="_Toc311192566"/>
      <w:bookmarkStart w:id="31" w:name="_Toc115162716"/>
      <w:r w:rsidRPr="001E3894">
        <w:rPr>
          <w:rFonts w:ascii="Times New Roman" w:hAnsi="Times New Roman" w:cs="Times New Roman"/>
          <w:color w:val="auto"/>
        </w:rPr>
        <w:t>35.5.5</w:t>
      </w:r>
      <w:r w:rsidRPr="001E3894">
        <w:rPr>
          <w:rFonts w:ascii="Times New Roman" w:hAnsi="Times New Roman" w:cs="Times New Roman"/>
          <w:color w:val="auto"/>
        </w:rPr>
        <w:tab/>
        <w:t>Control and Monitoring</w:t>
      </w:r>
      <w:bookmarkEnd w:id="27"/>
      <w:bookmarkEnd w:id="28"/>
      <w:bookmarkEnd w:id="29"/>
      <w:bookmarkEnd w:id="30"/>
    </w:p>
    <w:p w:rsidR="00E20052" w:rsidRDefault="007F3356">
      <w:pPr>
        <w:pStyle w:val="Bodypara"/>
        <w:rPr>
          <w:b/>
        </w:rPr>
      </w:pPr>
      <w:r>
        <w:t>Each Party shall pr</w:t>
      </w:r>
      <w:r>
        <w:t>ovide or arrange for 24-hour control and monitoring of their portion of the Interconnection Facilities</w:t>
      </w:r>
      <w:bookmarkEnd w:id="31"/>
      <w:r>
        <w:t>.</w:t>
      </w:r>
    </w:p>
    <w:p w:rsidR="00E20052" w:rsidRPr="00593573" w:rsidRDefault="007F3356" w:rsidP="007A5881">
      <w:pPr>
        <w:pStyle w:val="Heading3"/>
        <w:tabs>
          <w:tab w:val="left" w:pos="1080"/>
        </w:tabs>
        <w:spacing w:before="240" w:after="240"/>
        <w:ind w:left="1080" w:right="634" w:hanging="1080"/>
        <w:rPr>
          <w:rFonts w:ascii="Times New Roman" w:hAnsi="Times New Roman" w:cs="Times New Roman"/>
          <w:color w:val="auto"/>
        </w:rPr>
      </w:pPr>
      <w:bookmarkStart w:id="32" w:name="_Toc113336706"/>
      <w:bookmarkStart w:id="33" w:name="_Toc113336885"/>
      <w:bookmarkStart w:id="34" w:name="_Toc260839810"/>
      <w:bookmarkStart w:id="35" w:name="_Toc311192567"/>
      <w:bookmarkStart w:id="36" w:name="_Toc115162717"/>
      <w:r w:rsidRPr="001E3894">
        <w:rPr>
          <w:rFonts w:ascii="Times New Roman" w:hAnsi="Times New Roman" w:cs="Times New Roman"/>
          <w:color w:val="auto"/>
        </w:rPr>
        <w:lastRenderedPageBreak/>
        <w:t>35.5.6</w:t>
      </w:r>
      <w:r w:rsidRPr="001E3894">
        <w:rPr>
          <w:rFonts w:ascii="Times New Roman" w:hAnsi="Times New Roman" w:cs="Times New Roman"/>
          <w:color w:val="auto"/>
        </w:rPr>
        <w:tab/>
        <w:t>Reactive Transfer and Voltage Control</w:t>
      </w:r>
      <w:bookmarkEnd w:id="32"/>
      <w:bookmarkEnd w:id="33"/>
      <w:bookmarkEnd w:id="34"/>
      <w:bookmarkEnd w:id="35"/>
    </w:p>
    <w:p w:rsidR="00E20052" w:rsidRDefault="007F3356">
      <w:pPr>
        <w:pStyle w:val="Bodypara"/>
        <w:rPr>
          <w:b/>
        </w:rPr>
      </w:pPr>
      <w:r>
        <w:t>The Parties agree to determine reactive transfers and control voltages in accordance with the provisions of</w:t>
      </w:r>
      <w:r>
        <w:t xml:space="preserve"> their respective Standards Authority Standards.  Real and reactive power will be transferred over the Interconnection Facilities as described in Section 35.11.</w:t>
      </w:r>
      <w:bookmarkEnd w:id="36"/>
    </w:p>
    <w:p w:rsidR="00E20052" w:rsidRPr="00593573" w:rsidRDefault="007F3356" w:rsidP="007A5881">
      <w:pPr>
        <w:pStyle w:val="Heading3"/>
        <w:tabs>
          <w:tab w:val="left" w:pos="1080"/>
        </w:tabs>
        <w:spacing w:before="240" w:after="240"/>
        <w:ind w:left="1080" w:right="634" w:hanging="1080"/>
        <w:rPr>
          <w:rFonts w:ascii="Times New Roman" w:hAnsi="Times New Roman" w:cs="Times New Roman"/>
          <w:color w:val="auto"/>
        </w:rPr>
      </w:pPr>
      <w:bookmarkStart w:id="37" w:name="_Toc113336707"/>
      <w:bookmarkStart w:id="38" w:name="_Toc113336886"/>
      <w:bookmarkStart w:id="39" w:name="_Toc260839811"/>
      <w:bookmarkStart w:id="40" w:name="_Toc311192568"/>
      <w:bookmarkStart w:id="41" w:name="_Toc115162718"/>
      <w:r w:rsidRPr="001E3894">
        <w:rPr>
          <w:rFonts w:ascii="Times New Roman" w:hAnsi="Times New Roman" w:cs="Times New Roman"/>
          <w:color w:val="auto"/>
        </w:rPr>
        <w:t>35.5.7</w:t>
      </w:r>
      <w:r w:rsidRPr="001E3894">
        <w:rPr>
          <w:rFonts w:ascii="Times New Roman" w:hAnsi="Times New Roman" w:cs="Times New Roman"/>
          <w:color w:val="auto"/>
        </w:rPr>
        <w:tab/>
        <w:t>Inadvertent</w:t>
      </w:r>
      <w:bookmarkEnd w:id="37"/>
      <w:bookmarkEnd w:id="38"/>
      <w:r w:rsidRPr="001E3894">
        <w:rPr>
          <w:rFonts w:ascii="Times New Roman" w:hAnsi="Times New Roman" w:cs="Times New Roman"/>
          <w:color w:val="auto"/>
        </w:rPr>
        <w:t xml:space="preserve"> Exchanges</w:t>
      </w:r>
      <w:bookmarkEnd w:id="39"/>
      <w:bookmarkEnd w:id="40"/>
    </w:p>
    <w:p w:rsidR="00E20052" w:rsidRDefault="007F3356">
      <w:pPr>
        <w:pStyle w:val="Bodypara"/>
        <w:rPr>
          <w:b/>
        </w:rPr>
      </w:pPr>
      <w:r>
        <w:t>Inadvertent power transfers on all Interconnection Facilities shal</w:t>
      </w:r>
      <w:r>
        <w:t>l be controlled and accounted for in accordance with the standards and procedures developed by the Standards Authorities  and the system operators of each Party to this Agreement.</w:t>
      </w:r>
      <w:bookmarkEnd w:id="41"/>
    </w:p>
    <w:p w:rsidR="00E20052" w:rsidRPr="00593573" w:rsidRDefault="007F3356" w:rsidP="007A5881">
      <w:pPr>
        <w:pStyle w:val="Heading3"/>
        <w:tabs>
          <w:tab w:val="left" w:pos="1080"/>
        </w:tabs>
        <w:spacing w:before="240" w:after="240"/>
        <w:ind w:left="1080" w:right="634" w:hanging="1080"/>
        <w:rPr>
          <w:rFonts w:ascii="Times New Roman" w:hAnsi="Times New Roman" w:cs="Times New Roman"/>
          <w:color w:val="auto"/>
        </w:rPr>
      </w:pPr>
      <w:bookmarkStart w:id="42" w:name="_Toc260839812"/>
      <w:bookmarkStart w:id="43" w:name="_Toc311192569"/>
      <w:bookmarkStart w:id="44" w:name="_Toc115162719"/>
      <w:bookmarkStart w:id="45" w:name="_Toc113336708"/>
      <w:bookmarkStart w:id="46" w:name="_Toc113336887"/>
      <w:r w:rsidRPr="001E3894">
        <w:rPr>
          <w:rFonts w:ascii="Times New Roman" w:hAnsi="Times New Roman" w:cs="Times New Roman"/>
          <w:color w:val="auto"/>
        </w:rPr>
        <w:t>35.5.8</w:t>
      </w:r>
      <w:r w:rsidRPr="001E3894">
        <w:rPr>
          <w:rFonts w:ascii="Times New Roman" w:hAnsi="Times New Roman" w:cs="Times New Roman"/>
          <w:color w:val="auto"/>
        </w:rPr>
        <w:tab/>
        <w:t>Adoption of Standards</w:t>
      </w:r>
      <w:bookmarkEnd w:id="42"/>
      <w:bookmarkEnd w:id="43"/>
    </w:p>
    <w:p w:rsidR="00E20052" w:rsidRDefault="007F3356">
      <w:pPr>
        <w:pStyle w:val="Bodypara"/>
      </w:pPr>
      <w:r>
        <w:t xml:space="preserve">The Parties hereby agree to adopt, enforce and </w:t>
      </w:r>
      <w:r>
        <w:t>comply with all applicable requirements and standards that will safeguard the reliability of the interconnected Transmission Systems.  Such reliability requirements and Reliability Standards shall be:</w:t>
      </w:r>
      <w:bookmarkEnd w:id="44"/>
    </w:p>
    <w:p w:rsidR="00E20052" w:rsidRDefault="007F3356" w:rsidP="007A5881">
      <w:pPr>
        <w:pStyle w:val="romannumeralpara"/>
        <w:ind w:left="1800" w:hanging="1080"/>
      </w:pPr>
      <w:bookmarkStart w:id="47" w:name="_Toc115162720"/>
      <w:r>
        <w:t>35.5.8.1</w:t>
      </w:r>
      <w:r>
        <w:tab/>
        <w:t>Adopted and enforced for the purpose of provid</w:t>
      </w:r>
      <w:r>
        <w:t>ing reliable service;</w:t>
      </w:r>
      <w:bookmarkEnd w:id="47"/>
    </w:p>
    <w:p w:rsidR="00E20052" w:rsidRDefault="007F3356" w:rsidP="007A5881">
      <w:pPr>
        <w:pStyle w:val="romannumeralpara"/>
        <w:ind w:left="1800" w:hanging="1080"/>
      </w:pPr>
      <w:bookmarkStart w:id="48" w:name="_Toc115162721"/>
      <w:r>
        <w:t>35.5.8.2</w:t>
      </w:r>
      <w:r>
        <w:tab/>
        <w:t>Not unduly discriminatory in substance or application;</w:t>
      </w:r>
      <w:bookmarkEnd w:id="48"/>
    </w:p>
    <w:p w:rsidR="00E20052" w:rsidRDefault="007F3356" w:rsidP="007A5881">
      <w:pPr>
        <w:pStyle w:val="romannumeralpara"/>
        <w:ind w:left="1800" w:hanging="1080"/>
      </w:pPr>
      <w:bookmarkStart w:id="49" w:name="_Toc115162722"/>
      <w:r>
        <w:t>35.5.8.3</w:t>
      </w:r>
      <w:r>
        <w:tab/>
        <w:t>Applied consistently to both Parties with the exception of subsection 35.5.8.5 below;</w:t>
      </w:r>
      <w:bookmarkEnd w:id="49"/>
      <w:r>
        <w:t xml:space="preserve"> </w:t>
      </w:r>
    </w:p>
    <w:p w:rsidR="00E20052" w:rsidRDefault="007F3356" w:rsidP="007A5881">
      <w:pPr>
        <w:pStyle w:val="romannumeralpara"/>
        <w:ind w:left="1800" w:hanging="1080"/>
      </w:pPr>
      <w:bookmarkStart w:id="50" w:name="_Toc115162723"/>
      <w:r>
        <w:t>35.5.8.4</w:t>
      </w:r>
      <w:r>
        <w:tab/>
        <w:t>Consistent with the Parties’ respective obligations to applicable</w:t>
      </w:r>
      <w:r>
        <w:t xml:space="preserve"> Standards Authorities including, without limitation, any relevant requirements or guidelines from each of NERC, or its Regional Councils’ or any other Standards Authority or regional transmission group to which either of the Parties is required to adhere;</w:t>
      </w:r>
      <w:r>
        <w:t xml:space="preserve"> and</w:t>
      </w:r>
      <w:bookmarkEnd w:id="45"/>
      <w:bookmarkEnd w:id="46"/>
      <w:bookmarkEnd w:id="50"/>
    </w:p>
    <w:p w:rsidR="00E20052" w:rsidRDefault="007F3356" w:rsidP="007A5881">
      <w:pPr>
        <w:pStyle w:val="romannumeralpara"/>
        <w:ind w:left="1800" w:hanging="1080"/>
      </w:pPr>
      <w:r>
        <w:t>35.5.8.5</w:t>
      </w:r>
      <w:r>
        <w:tab/>
        <w:t>With respect to the NYISO, consistent with the NYSRC Reliability Rules.</w:t>
      </w:r>
    </w:p>
    <w:p w:rsidR="00E20052" w:rsidRPr="00593573" w:rsidRDefault="007F3356" w:rsidP="007A5881">
      <w:pPr>
        <w:pStyle w:val="Heading3"/>
        <w:tabs>
          <w:tab w:val="left" w:pos="1080"/>
        </w:tabs>
        <w:spacing w:before="240" w:after="240"/>
        <w:ind w:left="1080" w:right="634" w:hanging="1080"/>
        <w:rPr>
          <w:rFonts w:ascii="Times New Roman" w:hAnsi="Times New Roman" w:cs="Times New Roman"/>
          <w:color w:val="auto"/>
        </w:rPr>
      </w:pPr>
      <w:bookmarkStart w:id="51" w:name="_Toc260839813"/>
      <w:bookmarkStart w:id="52" w:name="_Toc311192570"/>
      <w:r w:rsidRPr="001E3894">
        <w:rPr>
          <w:rFonts w:ascii="Times New Roman" w:hAnsi="Times New Roman" w:cs="Times New Roman"/>
          <w:color w:val="auto"/>
        </w:rPr>
        <w:t>35.5.9</w:t>
      </w:r>
      <w:r w:rsidRPr="001E3894">
        <w:rPr>
          <w:rFonts w:ascii="Times New Roman" w:hAnsi="Times New Roman" w:cs="Times New Roman"/>
          <w:color w:val="auto"/>
        </w:rPr>
        <w:tab/>
        <w:t>New York - PJM IROL Interface</w:t>
      </w:r>
      <w:bookmarkEnd w:id="51"/>
      <w:bookmarkEnd w:id="52"/>
    </w:p>
    <w:p w:rsidR="00E20052" w:rsidRDefault="007F3356">
      <w:pPr>
        <w:pStyle w:val="Bodypara"/>
      </w:pPr>
      <w:r>
        <w:t xml:space="preserve">The Parties share a joint IROL related to transfers related to the interconnecting transmission lines between their respective </w:t>
      </w:r>
      <w:r>
        <w:t>Reliability Coordinator Areas</w:t>
      </w:r>
      <w:r>
        <w:rPr>
          <w:iCs/>
        </w:rPr>
        <w:t xml:space="preserve"> </w:t>
      </w:r>
      <w:r>
        <w:t>and Balancing Authority Areas.  This IROL is adhered to in order to maintain acceptable steady-state and transient performance of the NYISO and PJM Transmission Systems.  Both Parties will monitor this limit in accordance with</w:t>
      </w:r>
      <w:r>
        <w:t xml:space="preserve"> this Agreement and independently determine the applicable import and export transfer limits.  Both Parties agree to operate the interface to the most conservative limits developed in real-time and the day-ahead planning process.  These operating limits sh</w:t>
      </w:r>
      <w:r>
        <w:t>all be determined in accordance with Standards Authority Standards.  Both Parties will take coordinated corrective actions to avoid a violation of the IROL.  If a violation occurs, actions will be taken to clear the violation as soon as possible, and in ac</w:t>
      </w:r>
      <w:r>
        <w:t xml:space="preserve">cordance with Standards Authority Standards. </w:t>
      </w:r>
    </w:p>
    <w:p w:rsidR="00E20052" w:rsidRPr="00593573" w:rsidRDefault="007F3356" w:rsidP="007A5881">
      <w:pPr>
        <w:pStyle w:val="Heading3"/>
        <w:tabs>
          <w:tab w:val="left" w:pos="1080"/>
        </w:tabs>
        <w:spacing w:before="240" w:after="240"/>
        <w:ind w:left="1080" w:right="634" w:hanging="1080"/>
        <w:rPr>
          <w:rFonts w:ascii="Times New Roman" w:hAnsi="Times New Roman" w:cs="Times New Roman"/>
          <w:color w:val="auto"/>
        </w:rPr>
      </w:pPr>
      <w:bookmarkStart w:id="53" w:name="_Toc260839814"/>
      <w:bookmarkStart w:id="54" w:name="_Toc311192571"/>
      <w:bookmarkStart w:id="55" w:name="_Toc113336711"/>
      <w:bookmarkStart w:id="56" w:name="_Toc113336890"/>
      <w:bookmarkStart w:id="57" w:name="_Toc115162726"/>
      <w:r w:rsidRPr="001E3894">
        <w:rPr>
          <w:rFonts w:ascii="Times New Roman" w:hAnsi="Times New Roman" w:cs="Times New Roman"/>
          <w:color w:val="auto"/>
        </w:rPr>
        <w:t>35.5.10</w:t>
      </w:r>
      <w:r w:rsidRPr="001E3894">
        <w:rPr>
          <w:rFonts w:ascii="Times New Roman" w:hAnsi="Times New Roman" w:cs="Times New Roman"/>
          <w:color w:val="auto"/>
        </w:rPr>
        <w:tab/>
        <w:t>Coordination and Exchange of Information Regarding System Planning</w:t>
      </w:r>
      <w:bookmarkEnd w:id="53"/>
      <w:bookmarkEnd w:id="54"/>
    </w:p>
    <w:p w:rsidR="00E20052" w:rsidRDefault="007F3356">
      <w:pPr>
        <w:pStyle w:val="Bodypara"/>
      </w:pPr>
      <w:r>
        <w:t>The Parties shall exchange information and coordinate regarding system planning and inter-regional planning activities in a manner cons</w:t>
      </w:r>
      <w:r>
        <w:t>istent with Standards Authority Standards and consistent with</w:t>
      </w:r>
      <w:r>
        <w:rPr>
          <w:iCs/>
        </w:rPr>
        <w:t xml:space="preserve"> the requirements of confidentiality agreements or rules binding upon either of the Parties.</w:t>
      </w:r>
      <w:r>
        <w:t xml:space="preserve">  </w:t>
      </w:r>
      <w:bookmarkEnd w:id="55"/>
      <w:bookmarkEnd w:id="56"/>
      <w:bookmarkEnd w:id="57"/>
    </w:p>
    <w:sectPr w:rsidR="00E20052" w:rsidSect="00E2005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3356">
      <w:pPr>
        <w:spacing w:after="0" w:line="240" w:lineRule="auto"/>
      </w:pPr>
      <w:r>
        <w:separator/>
      </w:r>
    </w:p>
  </w:endnote>
  <w:endnote w:type="continuationSeparator" w:id="0">
    <w:p w:rsidR="00000000" w:rsidRDefault="007F3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79A" w:rsidRDefault="007F3356">
    <w:pPr>
      <w:jc w:val="right"/>
    </w:pPr>
    <w:r>
      <w:rPr>
        <w:rFonts w:ascii="Arial" w:eastAsia="Arial" w:hAnsi="Arial" w:cs="Arial"/>
        <w:color w:val="000000"/>
        <w:sz w:val="16"/>
      </w:rPr>
      <w:t xml:space="preserve">Effective Date: 1/15/2013 - Docket #: ER12-718-001 -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79A" w:rsidRDefault="007F3356">
    <w:pPr>
      <w:jc w:val="right"/>
    </w:pPr>
    <w:r>
      <w:rPr>
        <w:rFonts w:ascii="Arial" w:eastAsia="Arial" w:hAnsi="Arial" w:cs="Arial"/>
        <w:color w:val="000000"/>
        <w:sz w:val="16"/>
      </w:rPr>
      <w:t xml:space="preserve">Effective Date: 1/15/2013 - Docket #: ER12-718-001 -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79A" w:rsidRDefault="007F3356">
    <w:pPr>
      <w:jc w:val="right"/>
    </w:pPr>
    <w:r>
      <w:rPr>
        <w:rFonts w:ascii="Arial" w:eastAsia="Arial" w:hAnsi="Arial" w:cs="Arial"/>
        <w:color w:val="000000"/>
        <w:sz w:val="16"/>
      </w:rPr>
      <w:t xml:space="preserve">Effective Date: 1/15/2013 - Docket #: ER12-718-001 -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3356">
      <w:pPr>
        <w:spacing w:after="0" w:line="240" w:lineRule="auto"/>
      </w:pPr>
      <w:r>
        <w:separator/>
      </w:r>
    </w:p>
  </w:footnote>
  <w:footnote w:type="continuationSeparator" w:id="0">
    <w:p w:rsidR="00000000" w:rsidRDefault="007F33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79A" w:rsidRDefault="007F3356">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35 OATT Attachment CC - Joint Operating Agreement Among And --&gt; 35.5 OATT Att CC Interconnected Operation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79A" w:rsidRDefault="007F3356">
    <w:r>
      <w:rPr>
        <w:rFonts w:ascii="Arial" w:eastAsia="Arial" w:hAnsi="Arial" w:cs="Arial"/>
        <w:color w:val="000000"/>
        <w:sz w:val="16"/>
      </w:rPr>
      <w:t>NYISO Tariffs --&gt; Open Access Transmission Tariff (OATT) --&gt; 35 OATT Attachment CC - Joint Operating Agreement Among An</w:t>
    </w:r>
    <w:r>
      <w:rPr>
        <w:rFonts w:ascii="Arial" w:eastAsia="Arial" w:hAnsi="Arial" w:cs="Arial"/>
        <w:color w:val="000000"/>
        <w:sz w:val="16"/>
      </w:rPr>
      <w:t>d --&gt; 35.5 OATT Att CC Interconnected Operation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79A" w:rsidRDefault="007F3356">
    <w:r>
      <w:rPr>
        <w:rFonts w:ascii="Arial" w:eastAsia="Arial" w:hAnsi="Arial" w:cs="Arial"/>
        <w:color w:val="000000"/>
        <w:sz w:val="16"/>
      </w:rPr>
      <w:t xml:space="preserve">NYISO Tariffs --&gt; Open Access Transmission Tariff (OATT) --&gt; 35 OATT </w:t>
    </w:r>
    <w:r>
      <w:rPr>
        <w:rFonts w:ascii="Arial" w:eastAsia="Arial" w:hAnsi="Arial" w:cs="Arial"/>
        <w:color w:val="000000"/>
        <w:sz w:val="16"/>
      </w:rPr>
      <w:t>Attachment CC - Joint Operating Agreement Among And --&gt; 35.5 OATT Att CC Interconnected Operation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E308E88"/>
    <w:lvl w:ilvl="0" w:tplc="8A4606B6">
      <w:start w:val="1"/>
      <w:numFmt w:val="bullet"/>
      <w:lvlText w:val=""/>
      <w:lvlJc w:val="left"/>
      <w:pPr>
        <w:tabs>
          <w:tab w:val="num" w:pos="1440"/>
        </w:tabs>
        <w:ind w:left="1440" w:hanging="360"/>
      </w:pPr>
      <w:rPr>
        <w:rFonts w:ascii="Symbol" w:hAnsi="Symbol" w:hint="default"/>
      </w:rPr>
    </w:lvl>
    <w:lvl w:ilvl="1" w:tplc="B6AEE91A">
      <w:start w:val="1"/>
      <w:numFmt w:val="bullet"/>
      <w:lvlText w:val="o"/>
      <w:lvlJc w:val="left"/>
      <w:pPr>
        <w:tabs>
          <w:tab w:val="num" w:pos="2160"/>
        </w:tabs>
        <w:ind w:left="2160" w:hanging="360"/>
      </w:pPr>
      <w:rPr>
        <w:rFonts w:ascii="Courier New" w:hAnsi="Courier New" w:cs="Courier New" w:hint="default"/>
      </w:rPr>
    </w:lvl>
    <w:lvl w:ilvl="2" w:tplc="4EE63962" w:tentative="1">
      <w:start w:val="1"/>
      <w:numFmt w:val="bullet"/>
      <w:lvlText w:val=""/>
      <w:lvlJc w:val="left"/>
      <w:pPr>
        <w:tabs>
          <w:tab w:val="num" w:pos="2880"/>
        </w:tabs>
        <w:ind w:left="2880" w:hanging="360"/>
      </w:pPr>
      <w:rPr>
        <w:rFonts w:ascii="Wingdings" w:hAnsi="Wingdings" w:hint="default"/>
      </w:rPr>
    </w:lvl>
    <w:lvl w:ilvl="3" w:tplc="E12AA688" w:tentative="1">
      <w:start w:val="1"/>
      <w:numFmt w:val="bullet"/>
      <w:lvlText w:val=""/>
      <w:lvlJc w:val="left"/>
      <w:pPr>
        <w:tabs>
          <w:tab w:val="num" w:pos="3600"/>
        </w:tabs>
        <w:ind w:left="3600" w:hanging="360"/>
      </w:pPr>
      <w:rPr>
        <w:rFonts w:ascii="Symbol" w:hAnsi="Symbol" w:hint="default"/>
      </w:rPr>
    </w:lvl>
    <w:lvl w:ilvl="4" w:tplc="3D2AF4BE" w:tentative="1">
      <w:start w:val="1"/>
      <w:numFmt w:val="bullet"/>
      <w:lvlText w:val="o"/>
      <w:lvlJc w:val="left"/>
      <w:pPr>
        <w:tabs>
          <w:tab w:val="num" w:pos="4320"/>
        </w:tabs>
        <w:ind w:left="4320" w:hanging="360"/>
      </w:pPr>
      <w:rPr>
        <w:rFonts w:ascii="Courier New" w:hAnsi="Courier New" w:cs="Courier New" w:hint="default"/>
      </w:rPr>
    </w:lvl>
    <w:lvl w:ilvl="5" w:tplc="C7E2DE88" w:tentative="1">
      <w:start w:val="1"/>
      <w:numFmt w:val="bullet"/>
      <w:lvlText w:val=""/>
      <w:lvlJc w:val="left"/>
      <w:pPr>
        <w:tabs>
          <w:tab w:val="num" w:pos="5040"/>
        </w:tabs>
        <w:ind w:left="5040" w:hanging="360"/>
      </w:pPr>
      <w:rPr>
        <w:rFonts w:ascii="Wingdings" w:hAnsi="Wingdings" w:hint="default"/>
      </w:rPr>
    </w:lvl>
    <w:lvl w:ilvl="6" w:tplc="C3AAC602" w:tentative="1">
      <w:start w:val="1"/>
      <w:numFmt w:val="bullet"/>
      <w:lvlText w:val=""/>
      <w:lvlJc w:val="left"/>
      <w:pPr>
        <w:tabs>
          <w:tab w:val="num" w:pos="5760"/>
        </w:tabs>
        <w:ind w:left="5760" w:hanging="360"/>
      </w:pPr>
      <w:rPr>
        <w:rFonts w:ascii="Symbol" w:hAnsi="Symbol" w:hint="default"/>
      </w:rPr>
    </w:lvl>
    <w:lvl w:ilvl="7" w:tplc="E5E8B250" w:tentative="1">
      <w:start w:val="1"/>
      <w:numFmt w:val="bullet"/>
      <w:lvlText w:val="o"/>
      <w:lvlJc w:val="left"/>
      <w:pPr>
        <w:tabs>
          <w:tab w:val="num" w:pos="6480"/>
        </w:tabs>
        <w:ind w:left="6480" w:hanging="360"/>
      </w:pPr>
      <w:rPr>
        <w:rFonts w:ascii="Courier New" w:hAnsi="Courier New" w:cs="Courier New" w:hint="default"/>
      </w:rPr>
    </w:lvl>
    <w:lvl w:ilvl="8" w:tplc="4B603578"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AF1E9FB4">
      <w:start w:val="1"/>
      <w:numFmt w:val="bullet"/>
      <w:lvlText w:val=""/>
      <w:lvlJc w:val="left"/>
      <w:pPr>
        <w:tabs>
          <w:tab w:val="num" w:pos="1440"/>
        </w:tabs>
        <w:ind w:left="1440" w:hanging="360"/>
      </w:pPr>
      <w:rPr>
        <w:rFonts w:ascii="Symbol" w:hAnsi="Symbol" w:hint="default"/>
      </w:rPr>
    </w:lvl>
    <w:lvl w:ilvl="1" w:tplc="616E1308" w:tentative="1">
      <w:start w:val="1"/>
      <w:numFmt w:val="bullet"/>
      <w:lvlText w:val="o"/>
      <w:lvlJc w:val="left"/>
      <w:pPr>
        <w:tabs>
          <w:tab w:val="num" w:pos="2160"/>
        </w:tabs>
        <w:ind w:left="2160" w:hanging="360"/>
      </w:pPr>
      <w:rPr>
        <w:rFonts w:ascii="Courier New" w:hAnsi="Courier New" w:cs="Courier New" w:hint="default"/>
      </w:rPr>
    </w:lvl>
    <w:lvl w:ilvl="2" w:tplc="5D10AEB0" w:tentative="1">
      <w:start w:val="1"/>
      <w:numFmt w:val="bullet"/>
      <w:lvlText w:val=""/>
      <w:lvlJc w:val="left"/>
      <w:pPr>
        <w:tabs>
          <w:tab w:val="num" w:pos="2880"/>
        </w:tabs>
        <w:ind w:left="2880" w:hanging="360"/>
      </w:pPr>
      <w:rPr>
        <w:rFonts w:ascii="Wingdings" w:hAnsi="Wingdings" w:hint="default"/>
      </w:rPr>
    </w:lvl>
    <w:lvl w:ilvl="3" w:tplc="1DBE8AAC" w:tentative="1">
      <w:start w:val="1"/>
      <w:numFmt w:val="bullet"/>
      <w:lvlText w:val=""/>
      <w:lvlJc w:val="left"/>
      <w:pPr>
        <w:tabs>
          <w:tab w:val="num" w:pos="3600"/>
        </w:tabs>
        <w:ind w:left="3600" w:hanging="360"/>
      </w:pPr>
      <w:rPr>
        <w:rFonts w:ascii="Symbol" w:hAnsi="Symbol" w:hint="default"/>
      </w:rPr>
    </w:lvl>
    <w:lvl w:ilvl="4" w:tplc="82127996" w:tentative="1">
      <w:start w:val="1"/>
      <w:numFmt w:val="bullet"/>
      <w:lvlText w:val="o"/>
      <w:lvlJc w:val="left"/>
      <w:pPr>
        <w:tabs>
          <w:tab w:val="num" w:pos="4320"/>
        </w:tabs>
        <w:ind w:left="4320" w:hanging="360"/>
      </w:pPr>
      <w:rPr>
        <w:rFonts w:ascii="Courier New" w:hAnsi="Courier New" w:cs="Courier New" w:hint="default"/>
      </w:rPr>
    </w:lvl>
    <w:lvl w:ilvl="5" w:tplc="D248B42C" w:tentative="1">
      <w:start w:val="1"/>
      <w:numFmt w:val="bullet"/>
      <w:lvlText w:val=""/>
      <w:lvlJc w:val="left"/>
      <w:pPr>
        <w:tabs>
          <w:tab w:val="num" w:pos="5040"/>
        </w:tabs>
        <w:ind w:left="5040" w:hanging="360"/>
      </w:pPr>
      <w:rPr>
        <w:rFonts w:ascii="Wingdings" w:hAnsi="Wingdings" w:hint="default"/>
      </w:rPr>
    </w:lvl>
    <w:lvl w:ilvl="6" w:tplc="81A4D6FC" w:tentative="1">
      <w:start w:val="1"/>
      <w:numFmt w:val="bullet"/>
      <w:lvlText w:val=""/>
      <w:lvlJc w:val="left"/>
      <w:pPr>
        <w:tabs>
          <w:tab w:val="num" w:pos="5760"/>
        </w:tabs>
        <w:ind w:left="5760" w:hanging="360"/>
      </w:pPr>
      <w:rPr>
        <w:rFonts w:ascii="Symbol" w:hAnsi="Symbol" w:hint="default"/>
      </w:rPr>
    </w:lvl>
    <w:lvl w:ilvl="7" w:tplc="01BE583A" w:tentative="1">
      <w:start w:val="1"/>
      <w:numFmt w:val="bullet"/>
      <w:lvlText w:val="o"/>
      <w:lvlJc w:val="left"/>
      <w:pPr>
        <w:tabs>
          <w:tab w:val="num" w:pos="6480"/>
        </w:tabs>
        <w:ind w:left="6480" w:hanging="360"/>
      </w:pPr>
      <w:rPr>
        <w:rFonts w:ascii="Courier New" w:hAnsi="Courier New" w:cs="Courier New" w:hint="default"/>
      </w:rPr>
    </w:lvl>
    <w:lvl w:ilvl="8" w:tplc="0A42CD32"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F468E830">
      <w:start w:val="1"/>
      <w:numFmt w:val="bullet"/>
      <w:lvlText w:val=""/>
      <w:lvlJc w:val="left"/>
      <w:pPr>
        <w:tabs>
          <w:tab w:val="num" w:pos="1440"/>
        </w:tabs>
        <w:ind w:left="1440" w:hanging="360"/>
      </w:pPr>
      <w:rPr>
        <w:rFonts w:ascii="Symbol" w:hAnsi="Symbol" w:hint="default"/>
      </w:rPr>
    </w:lvl>
    <w:lvl w:ilvl="1" w:tplc="20D4C83A" w:tentative="1">
      <w:start w:val="1"/>
      <w:numFmt w:val="bullet"/>
      <w:lvlText w:val="o"/>
      <w:lvlJc w:val="left"/>
      <w:pPr>
        <w:tabs>
          <w:tab w:val="num" w:pos="2160"/>
        </w:tabs>
        <w:ind w:left="2160" w:hanging="360"/>
      </w:pPr>
      <w:rPr>
        <w:rFonts w:ascii="Courier New" w:hAnsi="Courier New" w:cs="Courier New" w:hint="default"/>
      </w:rPr>
    </w:lvl>
    <w:lvl w:ilvl="2" w:tplc="D74C2EF2" w:tentative="1">
      <w:start w:val="1"/>
      <w:numFmt w:val="bullet"/>
      <w:lvlText w:val=""/>
      <w:lvlJc w:val="left"/>
      <w:pPr>
        <w:tabs>
          <w:tab w:val="num" w:pos="2880"/>
        </w:tabs>
        <w:ind w:left="2880" w:hanging="360"/>
      </w:pPr>
      <w:rPr>
        <w:rFonts w:ascii="Wingdings" w:hAnsi="Wingdings" w:hint="default"/>
      </w:rPr>
    </w:lvl>
    <w:lvl w:ilvl="3" w:tplc="5DFE54E2" w:tentative="1">
      <w:start w:val="1"/>
      <w:numFmt w:val="bullet"/>
      <w:lvlText w:val=""/>
      <w:lvlJc w:val="left"/>
      <w:pPr>
        <w:tabs>
          <w:tab w:val="num" w:pos="3600"/>
        </w:tabs>
        <w:ind w:left="3600" w:hanging="360"/>
      </w:pPr>
      <w:rPr>
        <w:rFonts w:ascii="Symbol" w:hAnsi="Symbol" w:hint="default"/>
      </w:rPr>
    </w:lvl>
    <w:lvl w:ilvl="4" w:tplc="FD36AC7E" w:tentative="1">
      <w:start w:val="1"/>
      <w:numFmt w:val="bullet"/>
      <w:lvlText w:val="o"/>
      <w:lvlJc w:val="left"/>
      <w:pPr>
        <w:tabs>
          <w:tab w:val="num" w:pos="4320"/>
        </w:tabs>
        <w:ind w:left="4320" w:hanging="360"/>
      </w:pPr>
      <w:rPr>
        <w:rFonts w:ascii="Courier New" w:hAnsi="Courier New" w:cs="Courier New" w:hint="default"/>
      </w:rPr>
    </w:lvl>
    <w:lvl w:ilvl="5" w:tplc="E5F46BC8" w:tentative="1">
      <w:start w:val="1"/>
      <w:numFmt w:val="bullet"/>
      <w:lvlText w:val=""/>
      <w:lvlJc w:val="left"/>
      <w:pPr>
        <w:tabs>
          <w:tab w:val="num" w:pos="5040"/>
        </w:tabs>
        <w:ind w:left="5040" w:hanging="360"/>
      </w:pPr>
      <w:rPr>
        <w:rFonts w:ascii="Wingdings" w:hAnsi="Wingdings" w:hint="default"/>
      </w:rPr>
    </w:lvl>
    <w:lvl w:ilvl="6" w:tplc="4320985A" w:tentative="1">
      <w:start w:val="1"/>
      <w:numFmt w:val="bullet"/>
      <w:lvlText w:val=""/>
      <w:lvlJc w:val="left"/>
      <w:pPr>
        <w:tabs>
          <w:tab w:val="num" w:pos="5760"/>
        </w:tabs>
        <w:ind w:left="5760" w:hanging="360"/>
      </w:pPr>
      <w:rPr>
        <w:rFonts w:ascii="Symbol" w:hAnsi="Symbol" w:hint="default"/>
      </w:rPr>
    </w:lvl>
    <w:lvl w:ilvl="7" w:tplc="56C65DA2" w:tentative="1">
      <w:start w:val="1"/>
      <w:numFmt w:val="bullet"/>
      <w:lvlText w:val="o"/>
      <w:lvlJc w:val="left"/>
      <w:pPr>
        <w:tabs>
          <w:tab w:val="num" w:pos="6480"/>
        </w:tabs>
        <w:ind w:left="6480" w:hanging="360"/>
      </w:pPr>
      <w:rPr>
        <w:rFonts w:ascii="Courier New" w:hAnsi="Courier New" w:cs="Courier New" w:hint="default"/>
      </w:rPr>
    </w:lvl>
    <w:lvl w:ilvl="8" w:tplc="6BFC3194"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F6965F48">
      <w:start w:val="1"/>
      <w:numFmt w:val="bullet"/>
      <w:lvlText w:val=""/>
      <w:lvlJc w:val="left"/>
      <w:pPr>
        <w:tabs>
          <w:tab w:val="num" w:pos="1440"/>
        </w:tabs>
        <w:ind w:left="1440" w:hanging="360"/>
      </w:pPr>
      <w:rPr>
        <w:rFonts w:ascii="Symbol" w:hAnsi="Symbol" w:hint="default"/>
      </w:rPr>
    </w:lvl>
    <w:lvl w:ilvl="1" w:tplc="DF9E5FCA">
      <w:start w:val="1"/>
      <w:numFmt w:val="bullet"/>
      <w:lvlText w:val="o"/>
      <w:lvlJc w:val="left"/>
      <w:pPr>
        <w:tabs>
          <w:tab w:val="num" w:pos="2160"/>
        </w:tabs>
        <w:ind w:left="2160" w:hanging="360"/>
      </w:pPr>
      <w:rPr>
        <w:rFonts w:ascii="Courier New" w:hAnsi="Courier New" w:cs="Courier New" w:hint="default"/>
      </w:rPr>
    </w:lvl>
    <w:lvl w:ilvl="2" w:tplc="5810EBD2" w:tentative="1">
      <w:start w:val="1"/>
      <w:numFmt w:val="bullet"/>
      <w:lvlText w:val=""/>
      <w:lvlJc w:val="left"/>
      <w:pPr>
        <w:tabs>
          <w:tab w:val="num" w:pos="2880"/>
        </w:tabs>
        <w:ind w:left="2880" w:hanging="360"/>
      </w:pPr>
      <w:rPr>
        <w:rFonts w:ascii="Wingdings" w:hAnsi="Wingdings" w:hint="default"/>
      </w:rPr>
    </w:lvl>
    <w:lvl w:ilvl="3" w:tplc="9D126CDE" w:tentative="1">
      <w:start w:val="1"/>
      <w:numFmt w:val="bullet"/>
      <w:lvlText w:val=""/>
      <w:lvlJc w:val="left"/>
      <w:pPr>
        <w:tabs>
          <w:tab w:val="num" w:pos="3600"/>
        </w:tabs>
        <w:ind w:left="3600" w:hanging="360"/>
      </w:pPr>
      <w:rPr>
        <w:rFonts w:ascii="Symbol" w:hAnsi="Symbol" w:hint="default"/>
      </w:rPr>
    </w:lvl>
    <w:lvl w:ilvl="4" w:tplc="1B563336" w:tentative="1">
      <w:start w:val="1"/>
      <w:numFmt w:val="bullet"/>
      <w:lvlText w:val="o"/>
      <w:lvlJc w:val="left"/>
      <w:pPr>
        <w:tabs>
          <w:tab w:val="num" w:pos="4320"/>
        </w:tabs>
        <w:ind w:left="4320" w:hanging="360"/>
      </w:pPr>
      <w:rPr>
        <w:rFonts w:ascii="Courier New" w:hAnsi="Courier New" w:cs="Courier New" w:hint="default"/>
      </w:rPr>
    </w:lvl>
    <w:lvl w:ilvl="5" w:tplc="2A2C5B10" w:tentative="1">
      <w:start w:val="1"/>
      <w:numFmt w:val="bullet"/>
      <w:lvlText w:val=""/>
      <w:lvlJc w:val="left"/>
      <w:pPr>
        <w:tabs>
          <w:tab w:val="num" w:pos="5040"/>
        </w:tabs>
        <w:ind w:left="5040" w:hanging="360"/>
      </w:pPr>
      <w:rPr>
        <w:rFonts w:ascii="Wingdings" w:hAnsi="Wingdings" w:hint="default"/>
      </w:rPr>
    </w:lvl>
    <w:lvl w:ilvl="6" w:tplc="0068F708" w:tentative="1">
      <w:start w:val="1"/>
      <w:numFmt w:val="bullet"/>
      <w:lvlText w:val=""/>
      <w:lvlJc w:val="left"/>
      <w:pPr>
        <w:tabs>
          <w:tab w:val="num" w:pos="5760"/>
        </w:tabs>
        <w:ind w:left="5760" w:hanging="360"/>
      </w:pPr>
      <w:rPr>
        <w:rFonts w:ascii="Symbol" w:hAnsi="Symbol" w:hint="default"/>
      </w:rPr>
    </w:lvl>
    <w:lvl w:ilvl="7" w:tplc="B9A0DE0C" w:tentative="1">
      <w:start w:val="1"/>
      <w:numFmt w:val="bullet"/>
      <w:lvlText w:val="o"/>
      <w:lvlJc w:val="left"/>
      <w:pPr>
        <w:tabs>
          <w:tab w:val="num" w:pos="6480"/>
        </w:tabs>
        <w:ind w:left="6480" w:hanging="360"/>
      </w:pPr>
      <w:rPr>
        <w:rFonts w:ascii="Courier New" w:hAnsi="Courier New" w:cs="Courier New" w:hint="default"/>
      </w:rPr>
    </w:lvl>
    <w:lvl w:ilvl="8" w:tplc="F83A4FCA"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9BAA5E3E">
      <w:start w:val="1"/>
      <w:numFmt w:val="bullet"/>
      <w:lvlText w:val=""/>
      <w:lvlJc w:val="left"/>
      <w:pPr>
        <w:tabs>
          <w:tab w:val="num" w:pos="1440"/>
        </w:tabs>
        <w:ind w:left="1440" w:hanging="360"/>
      </w:pPr>
      <w:rPr>
        <w:rFonts w:ascii="Symbol" w:hAnsi="Symbol" w:hint="default"/>
      </w:rPr>
    </w:lvl>
    <w:lvl w:ilvl="1" w:tplc="E37A3DB2" w:tentative="1">
      <w:start w:val="1"/>
      <w:numFmt w:val="bullet"/>
      <w:lvlText w:val="o"/>
      <w:lvlJc w:val="left"/>
      <w:pPr>
        <w:tabs>
          <w:tab w:val="num" w:pos="2160"/>
        </w:tabs>
        <w:ind w:left="2160" w:hanging="360"/>
      </w:pPr>
      <w:rPr>
        <w:rFonts w:ascii="Courier New" w:hAnsi="Courier New" w:cs="Courier New" w:hint="default"/>
      </w:rPr>
    </w:lvl>
    <w:lvl w:ilvl="2" w:tplc="4232C7AE" w:tentative="1">
      <w:start w:val="1"/>
      <w:numFmt w:val="bullet"/>
      <w:lvlText w:val=""/>
      <w:lvlJc w:val="left"/>
      <w:pPr>
        <w:tabs>
          <w:tab w:val="num" w:pos="2880"/>
        </w:tabs>
        <w:ind w:left="2880" w:hanging="360"/>
      </w:pPr>
      <w:rPr>
        <w:rFonts w:ascii="Wingdings" w:hAnsi="Wingdings" w:hint="default"/>
      </w:rPr>
    </w:lvl>
    <w:lvl w:ilvl="3" w:tplc="E37498EC" w:tentative="1">
      <w:start w:val="1"/>
      <w:numFmt w:val="bullet"/>
      <w:lvlText w:val=""/>
      <w:lvlJc w:val="left"/>
      <w:pPr>
        <w:tabs>
          <w:tab w:val="num" w:pos="3600"/>
        </w:tabs>
        <w:ind w:left="3600" w:hanging="360"/>
      </w:pPr>
      <w:rPr>
        <w:rFonts w:ascii="Symbol" w:hAnsi="Symbol" w:hint="default"/>
      </w:rPr>
    </w:lvl>
    <w:lvl w:ilvl="4" w:tplc="136C58C4" w:tentative="1">
      <w:start w:val="1"/>
      <w:numFmt w:val="bullet"/>
      <w:lvlText w:val="o"/>
      <w:lvlJc w:val="left"/>
      <w:pPr>
        <w:tabs>
          <w:tab w:val="num" w:pos="4320"/>
        </w:tabs>
        <w:ind w:left="4320" w:hanging="360"/>
      </w:pPr>
      <w:rPr>
        <w:rFonts w:ascii="Courier New" w:hAnsi="Courier New" w:cs="Courier New" w:hint="default"/>
      </w:rPr>
    </w:lvl>
    <w:lvl w:ilvl="5" w:tplc="B696082E" w:tentative="1">
      <w:start w:val="1"/>
      <w:numFmt w:val="bullet"/>
      <w:lvlText w:val=""/>
      <w:lvlJc w:val="left"/>
      <w:pPr>
        <w:tabs>
          <w:tab w:val="num" w:pos="5040"/>
        </w:tabs>
        <w:ind w:left="5040" w:hanging="360"/>
      </w:pPr>
      <w:rPr>
        <w:rFonts w:ascii="Wingdings" w:hAnsi="Wingdings" w:hint="default"/>
      </w:rPr>
    </w:lvl>
    <w:lvl w:ilvl="6" w:tplc="22207FEE" w:tentative="1">
      <w:start w:val="1"/>
      <w:numFmt w:val="bullet"/>
      <w:lvlText w:val=""/>
      <w:lvlJc w:val="left"/>
      <w:pPr>
        <w:tabs>
          <w:tab w:val="num" w:pos="5760"/>
        </w:tabs>
        <w:ind w:left="5760" w:hanging="360"/>
      </w:pPr>
      <w:rPr>
        <w:rFonts w:ascii="Symbol" w:hAnsi="Symbol" w:hint="default"/>
      </w:rPr>
    </w:lvl>
    <w:lvl w:ilvl="7" w:tplc="50FA1B98" w:tentative="1">
      <w:start w:val="1"/>
      <w:numFmt w:val="bullet"/>
      <w:lvlText w:val="o"/>
      <w:lvlJc w:val="left"/>
      <w:pPr>
        <w:tabs>
          <w:tab w:val="num" w:pos="6480"/>
        </w:tabs>
        <w:ind w:left="6480" w:hanging="360"/>
      </w:pPr>
      <w:rPr>
        <w:rFonts w:ascii="Courier New" w:hAnsi="Courier New" w:cs="Courier New" w:hint="default"/>
      </w:rPr>
    </w:lvl>
    <w:lvl w:ilvl="8" w:tplc="E6D2C4F8"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0AB4FD8E">
      <w:start w:val="1"/>
      <w:numFmt w:val="bullet"/>
      <w:lvlText w:val=""/>
      <w:lvlJc w:val="left"/>
      <w:pPr>
        <w:tabs>
          <w:tab w:val="num" w:pos="1440"/>
        </w:tabs>
        <w:ind w:left="1440" w:hanging="360"/>
      </w:pPr>
      <w:rPr>
        <w:rFonts w:ascii="Symbol" w:hAnsi="Symbol" w:hint="default"/>
      </w:rPr>
    </w:lvl>
    <w:lvl w:ilvl="1" w:tplc="DAC0985A" w:tentative="1">
      <w:start w:val="1"/>
      <w:numFmt w:val="bullet"/>
      <w:lvlText w:val="o"/>
      <w:lvlJc w:val="left"/>
      <w:pPr>
        <w:tabs>
          <w:tab w:val="num" w:pos="2160"/>
        </w:tabs>
        <w:ind w:left="2160" w:hanging="360"/>
      </w:pPr>
      <w:rPr>
        <w:rFonts w:ascii="Courier New" w:hAnsi="Courier New" w:cs="Courier New" w:hint="default"/>
      </w:rPr>
    </w:lvl>
    <w:lvl w:ilvl="2" w:tplc="5A82A326" w:tentative="1">
      <w:start w:val="1"/>
      <w:numFmt w:val="bullet"/>
      <w:lvlText w:val=""/>
      <w:lvlJc w:val="left"/>
      <w:pPr>
        <w:tabs>
          <w:tab w:val="num" w:pos="2880"/>
        </w:tabs>
        <w:ind w:left="2880" w:hanging="360"/>
      </w:pPr>
      <w:rPr>
        <w:rFonts w:ascii="Wingdings" w:hAnsi="Wingdings" w:hint="default"/>
      </w:rPr>
    </w:lvl>
    <w:lvl w:ilvl="3" w:tplc="78ACBFC0" w:tentative="1">
      <w:start w:val="1"/>
      <w:numFmt w:val="bullet"/>
      <w:lvlText w:val=""/>
      <w:lvlJc w:val="left"/>
      <w:pPr>
        <w:tabs>
          <w:tab w:val="num" w:pos="3600"/>
        </w:tabs>
        <w:ind w:left="3600" w:hanging="360"/>
      </w:pPr>
      <w:rPr>
        <w:rFonts w:ascii="Symbol" w:hAnsi="Symbol" w:hint="default"/>
      </w:rPr>
    </w:lvl>
    <w:lvl w:ilvl="4" w:tplc="E1B2E65C" w:tentative="1">
      <w:start w:val="1"/>
      <w:numFmt w:val="bullet"/>
      <w:lvlText w:val="o"/>
      <w:lvlJc w:val="left"/>
      <w:pPr>
        <w:tabs>
          <w:tab w:val="num" w:pos="4320"/>
        </w:tabs>
        <w:ind w:left="4320" w:hanging="360"/>
      </w:pPr>
      <w:rPr>
        <w:rFonts w:ascii="Courier New" w:hAnsi="Courier New" w:cs="Courier New" w:hint="default"/>
      </w:rPr>
    </w:lvl>
    <w:lvl w:ilvl="5" w:tplc="04D4B8D4" w:tentative="1">
      <w:start w:val="1"/>
      <w:numFmt w:val="bullet"/>
      <w:lvlText w:val=""/>
      <w:lvlJc w:val="left"/>
      <w:pPr>
        <w:tabs>
          <w:tab w:val="num" w:pos="5040"/>
        </w:tabs>
        <w:ind w:left="5040" w:hanging="360"/>
      </w:pPr>
      <w:rPr>
        <w:rFonts w:ascii="Wingdings" w:hAnsi="Wingdings" w:hint="default"/>
      </w:rPr>
    </w:lvl>
    <w:lvl w:ilvl="6" w:tplc="3558FE50" w:tentative="1">
      <w:start w:val="1"/>
      <w:numFmt w:val="bullet"/>
      <w:lvlText w:val=""/>
      <w:lvlJc w:val="left"/>
      <w:pPr>
        <w:tabs>
          <w:tab w:val="num" w:pos="5760"/>
        </w:tabs>
        <w:ind w:left="5760" w:hanging="360"/>
      </w:pPr>
      <w:rPr>
        <w:rFonts w:ascii="Symbol" w:hAnsi="Symbol" w:hint="default"/>
      </w:rPr>
    </w:lvl>
    <w:lvl w:ilvl="7" w:tplc="0CEAEDDA" w:tentative="1">
      <w:start w:val="1"/>
      <w:numFmt w:val="bullet"/>
      <w:lvlText w:val="o"/>
      <w:lvlJc w:val="left"/>
      <w:pPr>
        <w:tabs>
          <w:tab w:val="num" w:pos="6480"/>
        </w:tabs>
        <w:ind w:left="6480" w:hanging="360"/>
      </w:pPr>
      <w:rPr>
        <w:rFonts w:ascii="Courier New" w:hAnsi="Courier New" w:cs="Courier New" w:hint="default"/>
      </w:rPr>
    </w:lvl>
    <w:lvl w:ilvl="8" w:tplc="8CB0CFD2"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7CF2EF8C">
      <w:start w:val="1"/>
      <w:numFmt w:val="decimal"/>
      <w:lvlText w:val="%1."/>
      <w:lvlJc w:val="left"/>
      <w:pPr>
        <w:ind w:left="630" w:hanging="360"/>
      </w:pPr>
    </w:lvl>
    <w:lvl w:ilvl="1" w:tplc="694E5EEC" w:tentative="1">
      <w:start w:val="1"/>
      <w:numFmt w:val="lowerLetter"/>
      <w:lvlText w:val="%2."/>
      <w:lvlJc w:val="left"/>
      <w:pPr>
        <w:ind w:left="1350" w:hanging="360"/>
      </w:pPr>
    </w:lvl>
    <w:lvl w:ilvl="2" w:tplc="19AAE900" w:tentative="1">
      <w:start w:val="1"/>
      <w:numFmt w:val="lowerRoman"/>
      <w:lvlText w:val="%3."/>
      <w:lvlJc w:val="right"/>
      <w:pPr>
        <w:ind w:left="2070" w:hanging="180"/>
      </w:pPr>
    </w:lvl>
    <w:lvl w:ilvl="3" w:tplc="43EAC85A" w:tentative="1">
      <w:start w:val="1"/>
      <w:numFmt w:val="decimal"/>
      <w:lvlText w:val="%4."/>
      <w:lvlJc w:val="left"/>
      <w:pPr>
        <w:ind w:left="2790" w:hanging="360"/>
      </w:pPr>
    </w:lvl>
    <w:lvl w:ilvl="4" w:tplc="ADFC0EDA" w:tentative="1">
      <w:start w:val="1"/>
      <w:numFmt w:val="lowerLetter"/>
      <w:lvlText w:val="%5."/>
      <w:lvlJc w:val="left"/>
      <w:pPr>
        <w:ind w:left="3510" w:hanging="360"/>
      </w:pPr>
    </w:lvl>
    <w:lvl w:ilvl="5" w:tplc="42E48C36" w:tentative="1">
      <w:start w:val="1"/>
      <w:numFmt w:val="lowerRoman"/>
      <w:lvlText w:val="%6."/>
      <w:lvlJc w:val="right"/>
      <w:pPr>
        <w:ind w:left="4230" w:hanging="180"/>
      </w:pPr>
    </w:lvl>
    <w:lvl w:ilvl="6" w:tplc="5B7886E6" w:tentative="1">
      <w:start w:val="1"/>
      <w:numFmt w:val="decimal"/>
      <w:lvlText w:val="%7."/>
      <w:lvlJc w:val="left"/>
      <w:pPr>
        <w:ind w:left="4950" w:hanging="360"/>
      </w:pPr>
    </w:lvl>
    <w:lvl w:ilvl="7" w:tplc="D04A257E" w:tentative="1">
      <w:start w:val="1"/>
      <w:numFmt w:val="lowerLetter"/>
      <w:lvlText w:val="%8."/>
      <w:lvlJc w:val="left"/>
      <w:pPr>
        <w:ind w:left="5670" w:hanging="360"/>
      </w:pPr>
    </w:lvl>
    <w:lvl w:ilvl="8" w:tplc="D37CE310"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79A"/>
    <w:rsid w:val="007F3356"/>
    <w:rsid w:val="00C70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FD0F9-C788-4944-8500-C3D54219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5136</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2024-02-01T22:32:00Z</dcterms:created>
  <dcterms:modified xsi:type="dcterms:W3CDTF">2024-02-01T22:32:00Z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