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C27D6" w:rsidRPr="007446E6" w:rsidP="00CA53BD">
      <w:pPr>
        <w:pStyle w:val="Heading1"/>
      </w:pPr>
      <w:r>
        <w:t>33</w:t>
      </w:r>
      <w:r>
        <w:tab/>
      </w:r>
      <w:r>
        <w:t xml:space="preserve">Attachment AA – </w:t>
      </w:r>
      <w:r w:rsidRPr="007446E6">
        <w:t xml:space="preserve">Procedure </w:t>
      </w:r>
      <w:r>
        <w:t>t</w:t>
      </w:r>
      <w:r w:rsidRPr="007446E6">
        <w:t>o Protect</w:t>
      </w:r>
      <w:r>
        <w:t xml:space="preserve"> f</w:t>
      </w:r>
      <w:r w:rsidRPr="007446E6">
        <w:t xml:space="preserve">or </w:t>
      </w:r>
      <w:r>
        <w:t>t</w:t>
      </w:r>
      <w:r w:rsidRPr="007446E6">
        <w:t xml:space="preserve">he Loss </w:t>
      </w:r>
      <w:r>
        <w:t>o</w:t>
      </w:r>
      <w:r w:rsidRPr="007446E6">
        <w:t>f</w:t>
      </w:r>
      <w:r>
        <w:t xml:space="preserve"> </w:t>
      </w:r>
      <w:r w:rsidRPr="007446E6">
        <w:t xml:space="preserve">Phase </w:t>
      </w:r>
      <w:r>
        <w:t>II</w:t>
      </w:r>
      <w:r w:rsidRPr="007446E6">
        <w:t xml:space="preserve"> Imports</w:t>
      </w:r>
    </w:p>
    <w:p w:rsidR="002C27D6" w:rsidRPr="007446E6" w:rsidP="002749E8">
      <w:pPr>
        <w:pStyle w:val="Bodypara"/>
        <w:ind w:firstLine="0"/>
      </w:pPr>
    </w:p>
    <w:p w:rsidR="002C27D6" w:rsidRPr="007446E6">
      <w:pPr>
        <w:ind w:left="1440" w:hanging="1440"/>
      </w:pPr>
      <w:r w:rsidRPr="007446E6">
        <w:t>NOTE:</w:t>
      </w:r>
      <w:r w:rsidRPr="007446E6">
        <w:tab/>
        <w:t>In this Attachment AA, “NYPP” refers to the ISO, “NEPEX” refers to ISO New England Inc. and “PJM” refers to PJM Interconnection, LLC.</w:t>
      </w:r>
    </w:p>
    <w:p w:rsidR="002C27D6" w:rsidRPr="007446E6" w:rsidP="002749E8">
      <w:pPr>
        <w:pStyle w:val="Bodypara"/>
        <w:ind w:firstLine="0"/>
      </w:pPr>
    </w:p>
    <w:p w:rsidR="002C27D6" w:rsidP="00DC4E9C">
      <w:pPr>
        <w:ind w:left="1440" w:hanging="1440"/>
      </w:pPr>
      <w:r w:rsidRPr="007446E6">
        <w:t>January 1, 1991</w:t>
      </w:r>
    </w:p>
    <w:p w:rsidR="00DC4E9C" w:rsidRPr="007446E6" w:rsidP="00DC4E9C">
      <w:pPr>
        <w:ind w:left="1440" w:hanging="1440"/>
      </w:pPr>
    </w:p>
    <w:p w:rsidR="002C27D6" w:rsidRPr="007446E6" w:rsidP="00DC4E9C">
      <w:pPr>
        <w:ind w:left="1440" w:hanging="1440"/>
      </w:pPr>
      <w:r w:rsidRPr="007446E6">
        <w:t xml:space="preserve">Review Date: </w:t>
      </w:r>
      <w:smartTag w:uri="urn:schemas-microsoft-com:office:smarttags" w:element="date">
        <w:smartTagPr>
          <w:attr w:name="Day" w:val="1"/>
          <w:attr w:name="Month" w:val="10"/>
          <w:attr w:name="Year" w:val="2006"/>
        </w:smartTagPr>
        <w:r w:rsidRPr="007446E6">
          <w:t>10/1/2006</w:t>
        </w:r>
      </w:smartTag>
    </w:p>
    <w:p w:rsidR="002C27D6" w:rsidRPr="007446E6" w:rsidP="002749E8">
      <w:pPr>
        <w:rPr>
          <w:rFonts w:cs="Courier New"/>
        </w:rPr>
      </w:pPr>
    </w:p>
    <w:p w:rsidR="002C27D6" w:rsidRPr="007446E6">
      <w:pPr>
        <w:ind w:left="2160" w:hanging="2160"/>
        <w:rPr>
          <w:rFonts w:cs="Courier New"/>
        </w:rPr>
      </w:pPr>
      <w:r w:rsidRPr="007446E6">
        <w:rPr>
          <w:rFonts w:cs="Courier New"/>
        </w:rPr>
        <w:t>Reference:</w:t>
      </w:r>
      <w:r w:rsidRPr="007446E6">
        <w:rPr>
          <w:rFonts w:cs="Courier New"/>
        </w:rPr>
        <w:tab/>
        <w:t>Procedure to Protect for the Loss of Hydro-Quebec Exports</w:t>
      </w:r>
    </w:p>
    <w:p w:rsidR="002C27D6" w:rsidRPr="007446E6">
      <w:pPr>
        <w:ind w:left="2160" w:hanging="2160"/>
        <w:rPr>
          <w:rFonts w:cs="Courier New"/>
        </w:rPr>
      </w:pPr>
    </w:p>
    <w:p w:rsidR="002C27D6" w:rsidRPr="00CA53BD" w:rsidP="009A0DD7">
      <w:pPr>
        <w:pStyle w:val="subheadwH2formatting"/>
      </w:pPr>
      <w:r w:rsidRPr="00CA53BD">
        <w:t>33.</w:t>
      </w:r>
      <w:r w:rsidRPr="00CA53BD">
        <w:t>1</w:t>
      </w:r>
      <w:r w:rsidRPr="00CA53BD">
        <w:tab/>
      </w:r>
      <w:r w:rsidRPr="00CA53BD">
        <w:t>I</w:t>
      </w:r>
      <w:r>
        <w:t>ntroduction</w:t>
      </w:r>
    </w:p>
    <w:p w:rsidR="002C27D6" w:rsidRPr="00CA53BD" w:rsidP="00CA53BD">
      <w:pPr>
        <w:pStyle w:val="Bodypara"/>
      </w:pPr>
      <w:r w:rsidRPr="007446E6">
        <w:t>The Hydro-Quebec/NEPOOL Phase II tie has maximum transfer capability of 2,000 MW.</w:t>
      </w:r>
      <w:r w:rsidRPr="007446E6">
        <w:tab/>
        <w:t>Joint PJM/NYPP/NEPEX studies have concluded that the loss of the Phase II facilities a</w:t>
      </w:r>
      <w:r w:rsidRPr="007446E6">
        <w:t xml:space="preserve">t high levels of imports could have a worse effect on NYPP and PJM than the worst internal contingency that these individual systems normally protect against. Accordingly, it has been agreed that Phase II imports will be limited to the extent necessary to </w:t>
      </w:r>
      <w:r w:rsidRPr="007446E6">
        <w:t>insure that NYPP and PJM operation reliability criteria are not violated by the loss of Phase II contingency. This procedure is designed to prevent the occurrence of a loss of Phase II contingency applicable when Phase II is operated in the isolated or syn</w:t>
      </w:r>
      <w:r w:rsidRPr="007446E6">
        <w:t>chronous mode. The absolute maximum loss of Phase II contingency allowable under t</w:t>
      </w:r>
      <w:r>
        <w:t>his procedure will be 2,200 MW.</w:t>
      </w:r>
    </w:p>
    <w:p w:rsidR="002C27D6" w:rsidRPr="00D12FCA" w:rsidP="009A0DD7">
      <w:pPr>
        <w:pStyle w:val="subheadwH2formatting"/>
      </w:pPr>
      <w:r>
        <w:t>33.</w:t>
      </w:r>
      <w:r>
        <w:t>2</w:t>
      </w:r>
      <w:r>
        <w:tab/>
      </w:r>
      <w:r w:rsidRPr="00D12FCA">
        <w:t>S</w:t>
      </w:r>
      <w:r>
        <w:t>ystem</w:t>
      </w:r>
      <w:r w:rsidRPr="00D12FCA">
        <w:t xml:space="preserve"> M</w:t>
      </w:r>
      <w:r>
        <w:t>onitoring</w:t>
      </w:r>
    </w:p>
    <w:p w:rsidR="002C27D6" w:rsidRPr="007446E6">
      <w:pPr>
        <w:rPr>
          <w:rFonts w:cs="Courier New"/>
        </w:rPr>
      </w:pPr>
    </w:p>
    <w:p w:rsidR="002C27D6" w:rsidRPr="007446E6" w:rsidP="002C27D6">
      <w:pPr>
        <w:ind w:left="1080" w:hanging="360"/>
        <w:rPr>
          <w:rFonts w:cs="Courier New"/>
        </w:rPr>
      </w:pPr>
      <w:r w:rsidRPr="007446E6">
        <w:rPr>
          <w:rFonts w:cs="Courier New"/>
        </w:rPr>
        <w:t>1.</w:t>
      </w:r>
      <w:r w:rsidRPr="007446E6">
        <w:rPr>
          <w:rFonts w:cs="Courier New"/>
        </w:rPr>
        <w:tab/>
        <w:t>NYPP and PJM will monitor their respective systems to provide NEPEX with the data required to calculate Phase II im</w:t>
      </w:r>
      <w:r w:rsidRPr="007446E6">
        <w:rPr>
          <w:rFonts w:cs="Courier New"/>
        </w:rPr>
        <w:t>port limits.</w:t>
      </w:r>
    </w:p>
    <w:p w:rsidR="002C27D6" w:rsidRPr="007446E6" w:rsidP="002C27D6">
      <w:pPr>
        <w:rPr>
          <w:rFonts w:cs="Courier New"/>
        </w:rPr>
      </w:pPr>
    </w:p>
    <w:p w:rsidR="002C27D6" w:rsidRPr="007446E6" w:rsidP="002C27D6">
      <w:pPr>
        <w:ind w:left="1080" w:hanging="360"/>
        <w:rPr>
          <w:rFonts w:cs="Courier New"/>
        </w:rPr>
      </w:pPr>
      <w:r w:rsidRPr="007446E6">
        <w:rPr>
          <w:rFonts w:cs="Courier New"/>
        </w:rPr>
        <w:t>2.</w:t>
      </w:r>
      <w:r w:rsidRPr="007446E6">
        <w:rPr>
          <w:rFonts w:cs="Courier New"/>
        </w:rPr>
        <w:tab/>
        <w:t xml:space="preserve">NEPEX will request forecasted data from NYPP and </w:t>
      </w:r>
      <w:r>
        <w:rPr>
          <w:rFonts w:cs="Courier New"/>
        </w:rPr>
        <w:t>PJM required to establish Phase </w:t>
      </w:r>
      <w:r w:rsidRPr="007446E6">
        <w:rPr>
          <w:rFonts w:cs="Courier New"/>
        </w:rPr>
        <w:t>II schedules.</w:t>
      </w:r>
    </w:p>
    <w:p w:rsidR="002C27D6" w:rsidRPr="007446E6" w:rsidP="002C27D6">
      <w:pPr>
        <w:rPr>
          <w:rFonts w:cs="Courier New"/>
        </w:rPr>
      </w:pPr>
    </w:p>
    <w:p w:rsidR="002C27D6" w:rsidRPr="007446E6" w:rsidP="002C27D6">
      <w:pPr>
        <w:ind w:left="1080" w:hanging="360"/>
        <w:rPr>
          <w:rFonts w:cs="Courier New"/>
        </w:rPr>
      </w:pPr>
      <w:r w:rsidRPr="007446E6">
        <w:rPr>
          <w:rFonts w:cs="Courier New"/>
        </w:rPr>
        <w:t>3.</w:t>
      </w:r>
      <w:r w:rsidRPr="007446E6">
        <w:rPr>
          <w:rFonts w:cs="Courier New"/>
        </w:rPr>
        <w:tab/>
        <w:t>NEPEX will set schedules with Hydro-Quebec which are within acceptable limits.</w:t>
      </w:r>
    </w:p>
    <w:p w:rsidR="002C27D6" w:rsidRPr="007446E6" w:rsidP="002C27D6">
      <w:pPr>
        <w:rPr>
          <w:rFonts w:cs="Courier New"/>
        </w:rPr>
      </w:pPr>
    </w:p>
    <w:p w:rsidR="002C27D6" w:rsidRPr="007446E6" w:rsidP="002C27D6">
      <w:pPr>
        <w:ind w:left="1080" w:hanging="360"/>
        <w:rPr>
          <w:rFonts w:cs="Courier New"/>
        </w:rPr>
      </w:pPr>
      <w:r w:rsidRPr="007446E6">
        <w:rPr>
          <w:rFonts w:cs="Courier New"/>
        </w:rPr>
        <w:t>4.</w:t>
      </w:r>
      <w:r w:rsidRPr="007446E6">
        <w:rPr>
          <w:rFonts w:cs="Courier New"/>
        </w:rPr>
        <w:tab/>
        <w:t>NEPEX will monitor real time system conditions in NYPP an</w:t>
      </w:r>
      <w:r w:rsidRPr="007446E6">
        <w:rPr>
          <w:rFonts w:cs="Courier New"/>
        </w:rPr>
        <w:t>d PJM to insure that Phase II imports are within acceptable limits.</w:t>
      </w:r>
    </w:p>
    <w:p w:rsidR="002C27D6" w:rsidRPr="007446E6" w:rsidP="002C27D6">
      <w:pPr>
        <w:rPr>
          <w:rFonts w:cs="Courier New"/>
        </w:rPr>
      </w:pPr>
    </w:p>
    <w:p w:rsidR="002C27D6" w:rsidRPr="007446E6" w:rsidP="002C27D6">
      <w:pPr>
        <w:ind w:left="1080" w:hanging="360"/>
        <w:rPr>
          <w:rFonts w:cs="Courier New"/>
        </w:rPr>
      </w:pPr>
      <w:r w:rsidRPr="007446E6">
        <w:rPr>
          <w:rFonts w:cs="Courier New"/>
        </w:rPr>
        <w:t>5.</w:t>
      </w:r>
      <w:r w:rsidRPr="007446E6">
        <w:rPr>
          <w:rFonts w:cs="Courier New"/>
        </w:rPr>
        <w:tab/>
        <w:t>The calculations required to determine Phase II limitations will normally be done using a software package in the NEPEX computer. The data required to perform the calculations is recei</w:t>
      </w:r>
      <w:r w:rsidRPr="007446E6">
        <w:rPr>
          <w:rFonts w:cs="Courier New"/>
        </w:rPr>
        <w:t>ved in part via the Interpool Network and by manual entry for those values not telemetered. The program fulfills the requirements of this procedure. In the event that the NEPEX computer is unavailable for use, the necessary calculations will be performed b</w:t>
      </w:r>
      <w:r w:rsidRPr="007446E6">
        <w:rPr>
          <w:rFonts w:cs="Courier New"/>
        </w:rPr>
        <w:t>y operator use of a personal computer with data being exchanged by telephone.</w:t>
      </w:r>
    </w:p>
    <w:p w:rsidR="002C27D6" w:rsidRPr="007446E6">
      <w:pPr>
        <w:rPr>
          <w:rFonts w:cs="Courier New"/>
        </w:rPr>
      </w:pPr>
    </w:p>
    <w:p w:rsidR="002C27D6" w:rsidRPr="00DC4E9C" w:rsidP="009A0DD7">
      <w:pPr>
        <w:pStyle w:val="subheadwH2formatting"/>
      </w:pPr>
      <w:r>
        <w:t>33.</w:t>
      </w:r>
      <w:r>
        <w:t>3</w:t>
      </w:r>
      <w:r>
        <w:tab/>
      </w:r>
      <w:r>
        <w:t>D</w:t>
      </w:r>
      <w:r>
        <w:t>efinition of</w:t>
      </w:r>
      <w:r>
        <w:t xml:space="preserve"> T</w:t>
      </w:r>
      <w:r>
        <w:t>erms</w:t>
      </w:r>
    </w:p>
    <w:p w:rsidR="002C27D6" w:rsidRPr="007446E6" w:rsidP="00DC4E9C">
      <w:pPr>
        <w:pStyle w:val="Bodypara"/>
      </w:pPr>
      <w:r w:rsidRPr="007446E6">
        <w:t>The following terms apply to the three (3) NYPP voltage indicators, Rochester 345 KV, Oakdale 345 KV and Oakdale 230 KV. Each indicator will have unique</w:t>
      </w:r>
      <w:r w:rsidRPr="007446E6">
        <w:t xml:space="preserve"> values for each of these terms.</w:t>
      </w:r>
    </w:p>
    <w:p w:rsidR="002C27D6" w:rsidRPr="007446E6" w:rsidP="002749E8">
      <w:pPr>
        <w:pStyle w:val="Definition"/>
        <w:rPr>
          <w:rFonts w:cs="Courier New"/>
        </w:rPr>
      </w:pPr>
      <w:r>
        <w:rPr>
          <w:rFonts w:cs="Courier New"/>
          <w:b/>
        </w:rPr>
        <w:t xml:space="preserve">(Limit) </w:t>
      </w:r>
      <w:r w:rsidRPr="002749E8">
        <w:rPr>
          <w:rFonts w:cs="Courier New"/>
          <w:b/>
        </w:rPr>
        <w:t>Pre-</w:t>
      </w:r>
      <w:r w:rsidRPr="002749E8">
        <w:rPr>
          <w:b/>
        </w:rPr>
        <w:t>contingency</w:t>
      </w:r>
      <w:r w:rsidRPr="002749E8">
        <w:rPr>
          <w:rFonts w:cs="Courier New"/>
          <w:b/>
        </w:rPr>
        <w:t xml:space="preserve"> Low Voltage Limit </w:t>
      </w:r>
      <w:r w:rsidRPr="007446E6">
        <w:rPr>
          <w:rFonts w:cs="Courier New"/>
        </w:rPr>
        <w:t>– the lowest precontingency voltage allowed at the station based on contingencies within NYPP.</w:t>
      </w:r>
    </w:p>
    <w:p w:rsidR="002C27D6" w:rsidRPr="007446E6" w:rsidP="002749E8">
      <w:pPr>
        <w:pStyle w:val="Definition"/>
        <w:rPr>
          <w:rFonts w:cs="Courier New"/>
        </w:rPr>
      </w:pPr>
      <w:r w:rsidRPr="002749E8">
        <w:rPr>
          <w:rFonts w:cs="Courier New"/>
          <w:b/>
        </w:rPr>
        <w:t xml:space="preserve">Actual Voltage – </w:t>
      </w:r>
      <w:r w:rsidRPr="007446E6">
        <w:rPr>
          <w:rFonts w:cs="Courier New"/>
        </w:rPr>
        <w:t>Actual voltage at the station</w:t>
      </w:r>
    </w:p>
    <w:p w:rsidR="002C27D6" w:rsidRPr="007446E6" w:rsidP="002749E8">
      <w:pPr>
        <w:pStyle w:val="Definition"/>
        <w:rPr>
          <w:rFonts w:cs="Courier New"/>
        </w:rPr>
      </w:pPr>
      <w:r w:rsidRPr="002749E8">
        <w:rPr>
          <w:rFonts w:cs="Courier New"/>
          <w:b/>
        </w:rPr>
        <w:t xml:space="preserve">Voltage </w:t>
      </w:r>
      <w:r w:rsidRPr="002749E8">
        <w:rPr>
          <w:b/>
        </w:rPr>
        <w:t>Margin</w:t>
      </w:r>
      <w:r w:rsidRPr="002749E8">
        <w:rPr>
          <w:rFonts w:cs="Courier New"/>
          <w:b/>
        </w:rPr>
        <w:t xml:space="preserve"> – </w:t>
      </w:r>
      <w:r w:rsidRPr="007446E6">
        <w:rPr>
          <w:rFonts w:cs="Courier New"/>
        </w:rPr>
        <w:t>Actual voltage minus P</w:t>
      </w:r>
      <w:r w:rsidRPr="007446E6">
        <w:rPr>
          <w:rFonts w:cs="Courier New"/>
        </w:rPr>
        <w:t>re-contingency Low Voltage Limit</w:t>
      </w:r>
    </w:p>
    <w:p w:rsidR="002C27D6" w:rsidRPr="007446E6" w:rsidP="002749E8">
      <w:pPr>
        <w:pStyle w:val="Definition"/>
        <w:rPr>
          <w:rFonts w:cs="Courier New"/>
        </w:rPr>
      </w:pPr>
      <w:r w:rsidRPr="002749E8">
        <w:rPr>
          <w:rFonts w:cs="Courier New"/>
          <w:b/>
        </w:rPr>
        <w:t xml:space="preserve">Base NE/NB Contingency Limit – </w:t>
      </w:r>
      <w:r w:rsidRPr="007446E6">
        <w:rPr>
          <w:rFonts w:cs="Courier New"/>
        </w:rPr>
        <w:t>The maximum total loss of generation within NE/NB or loss of HQ HVDC Exports to NE/NB allowable when the station voltage is at the Pre-contingency Low Voltage Limit (for the purposes of this p</w:t>
      </w:r>
      <w:r w:rsidRPr="007446E6">
        <w:rPr>
          <w:rFonts w:cs="Courier New"/>
        </w:rPr>
        <w:t>rocedure, the Base NE/</w:t>
      </w:r>
      <w:r w:rsidRPr="002749E8">
        <w:t>NB</w:t>
      </w:r>
      <w:r w:rsidRPr="007446E6">
        <w:rPr>
          <w:rFonts w:cs="Courier New"/>
        </w:rPr>
        <w:t xml:space="preserve"> Contingency Limit is the maximum level of Phase II Imports allowable).</w:t>
      </w:r>
    </w:p>
    <w:p w:rsidR="002C27D6" w:rsidRPr="007446E6" w:rsidP="002749E8">
      <w:pPr>
        <w:pStyle w:val="Definition"/>
        <w:rPr>
          <w:rFonts w:cs="Courier New"/>
        </w:rPr>
      </w:pPr>
      <w:r w:rsidRPr="002749E8">
        <w:rPr>
          <w:rFonts w:cs="Courier New"/>
          <w:b/>
        </w:rPr>
        <w:t xml:space="preserve">Margin </w:t>
      </w:r>
      <w:r w:rsidRPr="002749E8">
        <w:rPr>
          <w:b/>
        </w:rPr>
        <w:t>Sensitivity</w:t>
      </w:r>
      <w:r w:rsidRPr="002749E8">
        <w:rPr>
          <w:rFonts w:cs="Courier New"/>
          <w:b/>
        </w:rPr>
        <w:t xml:space="preserve"> – </w:t>
      </w:r>
      <w:r w:rsidRPr="007446E6">
        <w:rPr>
          <w:rFonts w:cs="Courier New"/>
        </w:rPr>
        <w:t>The number of MW of increase in the Base NE/NB Contingency Limit allowed for each one (1) KV or Voltage Margin.</w:t>
      </w:r>
    </w:p>
    <w:p w:rsidR="002C27D6" w:rsidRPr="007446E6" w:rsidP="002749E8">
      <w:pPr>
        <w:pStyle w:val="Bodypara"/>
        <w:rPr>
          <w:rFonts w:cs="Courier New"/>
        </w:rPr>
      </w:pPr>
      <w:r w:rsidRPr="007446E6">
        <w:rPr>
          <w:rFonts w:cs="Courier New"/>
        </w:rPr>
        <w:t>The following terms apply t</w:t>
      </w:r>
      <w:r w:rsidRPr="007446E6">
        <w:rPr>
          <w:rFonts w:cs="Courier New"/>
        </w:rPr>
        <w:t>o the fourth indicator of NYPP Reactive Conditions, the Central/East (C/E) Interface.</w:t>
      </w:r>
    </w:p>
    <w:p w:rsidR="002C27D6" w:rsidRPr="002749E8" w:rsidP="002749E8">
      <w:pPr>
        <w:pStyle w:val="Definition"/>
        <w:rPr>
          <w:rFonts w:cs="Courier New"/>
        </w:rPr>
      </w:pPr>
      <w:r w:rsidRPr="002749E8">
        <w:rPr>
          <w:b/>
        </w:rPr>
        <w:t>C/E Critical Transfer Level –</w:t>
      </w:r>
      <w:r w:rsidRPr="007446E6">
        <w:t xml:space="preserve"> </w:t>
      </w:r>
      <w:r w:rsidRPr="00D12FCA">
        <w:rPr>
          <w:u w:val="single"/>
        </w:rPr>
        <w:t>Postcontingency</w:t>
      </w:r>
      <w:r w:rsidRPr="007446E6">
        <w:t xml:space="preserve"> transfer limit for the C/E interface based on </w:t>
      </w:r>
      <w:r w:rsidRPr="002749E8">
        <w:t>NYPP</w:t>
      </w:r>
      <w:r>
        <w:t xml:space="preserve"> reactive conditions</w:t>
      </w:r>
    </w:p>
    <w:p w:rsidR="002C27D6" w:rsidRPr="002749E8" w:rsidP="002749E8">
      <w:pPr>
        <w:pStyle w:val="Definition"/>
        <w:rPr>
          <w:rFonts w:cs="Courier New"/>
        </w:rPr>
      </w:pPr>
      <w:r w:rsidRPr="002749E8">
        <w:rPr>
          <w:b/>
        </w:rPr>
        <w:t>C/E Transfer –</w:t>
      </w:r>
      <w:r w:rsidRPr="007446E6">
        <w:t xml:space="preserve"> Actual M</w:t>
      </w:r>
      <w:r>
        <w:t>W transfer on the C/E interfac</w:t>
      </w:r>
      <w:r>
        <w:t>e</w:t>
      </w:r>
    </w:p>
    <w:p w:rsidR="002C27D6" w:rsidRPr="002749E8" w:rsidP="002749E8">
      <w:pPr>
        <w:pStyle w:val="Definition"/>
        <w:rPr>
          <w:rFonts w:cs="Courier New"/>
        </w:rPr>
      </w:pPr>
      <w:r w:rsidRPr="002749E8">
        <w:rPr>
          <w:b/>
        </w:rPr>
        <w:t>*</w:t>
      </w:r>
      <w:r w:rsidRPr="002749E8">
        <w:rPr>
          <w:b/>
        </w:rPr>
        <w:tab/>
        <w:t>Phase II C/E Distribution Factor –</w:t>
      </w:r>
      <w:r w:rsidRPr="007446E6">
        <w:t xml:space="preserve"> The number of MW by which the C/E flow would </w:t>
      </w:r>
      <w:r w:rsidRPr="00DC4E9C">
        <w:t>be</w:t>
      </w:r>
      <w:r w:rsidRPr="007446E6">
        <w:t xml:space="preserve"> increased for each one (1) MW of the total of Phase II imports and MW armed for runback in </w:t>
      </w:r>
      <w:smartTag w:uri="urn:schemas-microsoft-com:office:smarttags" w:element="place">
        <w:smartTag w:uri="urn:schemas-microsoft-com:office:smarttags" w:element="State">
          <w:r w:rsidRPr="007446E6">
            <w:t>New Brunswick</w:t>
          </w:r>
        </w:smartTag>
      </w:smartTag>
      <w:r w:rsidRPr="007446E6">
        <w:t xml:space="preserve"> which would be lost as a re</w:t>
      </w:r>
      <w:r>
        <w:t xml:space="preserve">sult of a single contingency.  </w:t>
      </w:r>
    </w:p>
    <w:p w:rsidR="002C27D6" w:rsidRPr="007446E6" w:rsidP="00DC4E9C">
      <w:pPr>
        <w:pStyle w:val="Bodypara"/>
      </w:pPr>
      <w:r w:rsidRPr="007446E6">
        <w:t>The f</w:t>
      </w:r>
      <w:r w:rsidRPr="007446E6">
        <w:t xml:space="preserve">ollowing terms apply to the PJM Eastern, Central, and Western interfaces and are used in determining limitations based on PJM reactive conditions. </w:t>
      </w:r>
    </w:p>
    <w:p w:rsidR="002C27D6" w:rsidRPr="002749E8" w:rsidP="002749E8">
      <w:pPr>
        <w:pStyle w:val="Definition"/>
        <w:rPr>
          <w:rFonts w:cs="Courier New"/>
        </w:rPr>
      </w:pPr>
      <w:r w:rsidRPr="002749E8">
        <w:rPr>
          <w:b/>
        </w:rPr>
        <w:t>PJM Transfer Limits –</w:t>
      </w:r>
      <w:r w:rsidRPr="007446E6">
        <w:t xml:space="preserve"> Precontigency transfer limits for each PJM interface based on </w:t>
      </w:r>
      <w:r w:rsidRPr="00DC4E9C">
        <w:t>contingencies</w:t>
      </w:r>
      <w:r>
        <w:t xml:space="preserve"> within PJM</w:t>
      </w:r>
      <w:r>
        <w:t>.</w:t>
      </w:r>
    </w:p>
    <w:p w:rsidR="002C27D6" w:rsidRPr="002749E8" w:rsidP="002749E8">
      <w:pPr>
        <w:pStyle w:val="Definition"/>
        <w:rPr>
          <w:rFonts w:cs="Courier New"/>
        </w:rPr>
      </w:pPr>
      <w:r w:rsidRPr="002749E8">
        <w:rPr>
          <w:b/>
        </w:rPr>
        <w:t>PJM Transfers –</w:t>
      </w:r>
      <w:r w:rsidRPr="007446E6">
        <w:t xml:space="preserve"> Actual MW t</w:t>
      </w:r>
      <w:r>
        <w:t>ransfers on each PJM interface.</w:t>
      </w:r>
    </w:p>
    <w:p w:rsidR="002C27D6" w:rsidRPr="002749E8" w:rsidP="002749E8">
      <w:pPr>
        <w:pStyle w:val="Definition"/>
        <w:rPr>
          <w:rFonts w:cs="Courier New"/>
        </w:rPr>
      </w:pPr>
      <w:r w:rsidRPr="002749E8">
        <w:rPr>
          <w:b/>
        </w:rPr>
        <w:t>PJM Transfer Margins –</w:t>
      </w:r>
      <w:r w:rsidRPr="007446E6">
        <w:t xml:space="preserve"> Transfer limit minus actual t</w:t>
      </w:r>
      <w:r>
        <w:t>ransfer for each PJM interface.</w:t>
      </w:r>
    </w:p>
    <w:p w:rsidR="002C27D6" w:rsidRPr="002749E8" w:rsidP="002749E8">
      <w:pPr>
        <w:pStyle w:val="Definition"/>
      </w:pPr>
      <w:r w:rsidRPr="002749E8">
        <w:rPr>
          <w:b/>
        </w:rPr>
        <w:t>PJM Base New England/New Brunswick (NE/NB) Contingency Limit –</w:t>
      </w:r>
      <w:r w:rsidRPr="007446E6">
        <w:t xml:space="preserve"> The maximum total loss of generation within NE/N</w:t>
      </w:r>
      <w:r w:rsidRPr="007446E6">
        <w:t xml:space="preserve">B or loss of HQ HVDC Export to NE/NB which is allowable when any of the three (3) PJM interfaces is loaded to its precontingency transfer limit (for the purposes of this procedure, the PJM Base NE/NB Contingency Limit is the maximum level </w:t>
      </w:r>
      <w:r>
        <w:t>of Phase II Impor</w:t>
      </w:r>
      <w:r>
        <w:t>ts allowable).</w:t>
      </w:r>
    </w:p>
    <w:p w:rsidR="002C27D6" w:rsidRPr="002749E8" w:rsidP="002749E8">
      <w:pPr>
        <w:pStyle w:val="Definition"/>
      </w:pPr>
      <w:r w:rsidRPr="002749E8">
        <w:rPr>
          <w:b/>
        </w:rPr>
        <w:t>PJM Transfer Margin Sensitivity –</w:t>
      </w:r>
      <w:r w:rsidRPr="007446E6">
        <w:t xml:space="preserve"> The number of MW of increase in the PJM Base NE/NB Contingency Limit allowed for each one (1) MW of Transfer Margin. Each PJM interface has an associated Transfer Margin Sensitivity. By exception, the PJM Op</w:t>
      </w:r>
      <w:r w:rsidRPr="007446E6">
        <w:t>erations Planning Section will notify NEPEX supervision of any required change in the</w:t>
      </w:r>
      <w:r>
        <w:t xml:space="preserve"> Transfer Margin Sensitivities.</w:t>
      </w:r>
    </w:p>
    <w:p w:rsidR="002C27D6" w:rsidRPr="002749E8" w:rsidP="002749E8">
      <w:pPr>
        <w:pStyle w:val="Bodypara"/>
        <w:rPr>
          <w:rFonts w:cs="Courier New"/>
        </w:rPr>
      </w:pPr>
      <w:r w:rsidRPr="007446E6">
        <w:t xml:space="preserve">*THE TERMS </w:t>
      </w:r>
      <w:r w:rsidRPr="00DC4E9C">
        <w:t>DEFINED</w:t>
      </w:r>
      <w:r w:rsidRPr="007446E6">
        <w:t xml:space="preserve"> ABOVE ARE THE SAME TERMS USED IN THE PROCEDURE TO PROTECT FOR LOSS OF HYDRO-QUEBEC EXPORTS WITH THE EXCEPTION OF THE </w:t>
      </w:r>
      <w:r w:rsidRPr="00E8419E">
        <w:rPr>
          <w:u w:val="single"/>
        </w:rPr>
        <w:t>PHA</w:t>
      </w:r>
      <w:r w:rsidRPr="00E8419E">
        <w:rPr>
          <w:u w:val="single"/>
        </w:rPr>
        <w:t>SE II C/E DISTRIBUTION FACTOR</w:t>
      </w:r>
      <w:r>
        <w:t>.</w:t>
      </w:r>
    </w:p>
    <w:p w:rsidR="002C27D6" w:rsidRPr="002749E8" w:rsidP="00DC4E9C">
      <w:pPr>
        <w:pStyle w:val="Definition"/>
      </w:pPr>
      <w:r w:rsidRPr="002749E8">
        <w:rPr>
          <w:b/>
        </w:rPr>
        <w:t>Loss of Phase II Contingency –</w:t>
      </w:r>
      <w:r w:rsidRPr="007446E6">
        <w:t xml:space="preserve"> The total of the MW of Phase II import and MW armed for runback in New Brunswick (Keswick Power Relays) which would be lost as a result of a single contingency (See</w:t>
      </w:r>
      <w:r w:rsidRPr="005C6021">
        <w:t xml:space="preserve"> </w:t>
      </w:r>
      <w:r w:rsidRPr="007446E6">
        <w:t>Attachment I for Method of Ca</w:t>
      </w:r>
      <w:r w:rsidRPr="007446E6">
        <w:t>lculating the Loss of Phase II Contingency). While the Keswick Power Relays will normally be disabled, they will be enabled during outages of the Chester Static VAR Compensator. MW armed during these periods must be included in the Loss of Phase II Conting</w:t>
      </w:r>
      <w:r w:rsidRPr="007446E6">
        <w:t>ency.</w:t>
      </w:r>
    </w:p>
    <w:p w:rsidR="002C27D6" w:rsidRPr="002749E8" w:rsidP="002749E8">
      <w:pPr>
        <w:pStyle w:val="Definition"/>
      </w:pPr>
      <w:r w:rsidRPr="002749E8">
        <w:rPr>
          <w:b/>
        </w:rPr>
        <w:t>Phase II Import Limit (Phase II Limit) –</w:t>
      </w:r>
      <w:r w:rsidRPr="007446E6">
        <w:t xml:space="preserve"> The most restrictive Loss of Phase II Contingency allowable based on NYPP and PJM reactive conditions (See Attachment I for Method of Calculating the Phase II Import Limit.</w:t>
      </w:r>
    </w:p>
    <w:p w:rsidR="002C27D6" w:rsidRPr="00DC4E9C" w:rsidP="009A0DD7">
      <w:pPr>
        <w:pStyle w:val="subheadwH2formatting"/>
      </w:pPr>
      <w:r>
        <w:t>33.</w:t>
      </w:r>
      <w:r>
        <w:t>4</w:t>
      </w:r>
      <w:r>
        <w:tab/>
      </w:r>
      <w:r>
        <w:t>P</w:t>
      </w:r>
      <w:r>
        <w:t>rocedures</w:t>
      </w:r>
    </w:p>
    <w:p w:rsidR="002C27D6" w:rsidRPr="007446E6" w:rsidP="00DC4E9C">
      <w:pPr>
        <w:ind w:left="1260" w:hanging="900"/>
        <w:rPr>
          <w:rFonts w:cs="Courier New"/>
        </w:rPr>
      </w:pPr>
      <w:r w:rsidRPr="007446E6">
        <w:rPr>
          <w:rFonts w:cs="Courier New"/>
        </w:rPr>
        <w:t>1.</w:t>
      </w:r>
      <w:r w:rsidRPr="007446E6">
        <w:rPr>
          <w:rFonts w:cs="Courier New"/>
        </w:rPr>
        <w:tab/>
        <w:t xml:space="preserve">Setting Phase II </w:t>
      </w:r>
      <w:r w:rsidRPr="007446E6">
        <w:rPr>
          <w:rFonts w:cs="Courier New"/>
        </w:rPr>
        <w:t>Schedules – All required limitations on Phase II imports are to be recognized in the establishment of Phase II schedules for the next hour. In order to set next hour schedules for the Phase II t</w:t>
      </w:r>
      <w:r>
        <w:rPr>
          <w:rFonts w:cs="Courier New"/>
        </w:rPr>
        <w:t>ie, NEPEX will;</w:t>
      </w:r>
    </w:p>
    <w:p w:rsidR="002C27D6" w:rsidRPr="007446E6" w:rsidP="00DC4E9C">
      <w:pPr>
        <w:pStyle w:val="alphapara"/>
        <w:spacing w:before="120" w:after="120" w:line="240" w:lineRule="auto"/>
      </w:pPr>
      <w:r w:rsidRPr="007446E6">
        <w:t>A.</w:t>
      </w:r>
      <w:r w:rsidRPr="007446E6">
        <w:tab/>
        <w:t>Determine the total of the desired level of</w:t>
      </w:r>
      <w:r w:rsidRPr="007446E6">
        <w:t xml:space="preserve"> Phase II import plus anticipated arming in </w:t>
      </w:r>
      <w:smartTag w:uri="urn:schemas-microsoft-com:office:smarttags" w:element="place">
        <w:smartTag w:uri="urn:schemas-microsoft-com:office:smarttags" w:element="State">
          <w:r w:rsidRPr="007446E6">
            <w:t>New Brunswick</w:t>
          </w:r>
        </w:smartTag>
      </w:smartTag>
      <w:r w:rsidRPr="007446E6">
        <w:t xml:space="preserve"> (if Keswick Power Relays are enabled) for the next hour.</w:t>
      </w:r>
    </w:p>
    <w:p w:rsidR="002C27D6" w:rsidRPr="007446E6" w:rsidP="00DC4E9C">
      <w:pPr>
        <w:pStyle w:val="alphapara"/>
        <w:spacing w:before="120" w:after="120" w:line="240" w:lineRule="auto"/>
      </w:pPr>
      <w:r w:rsidRPr="007446E6">
        <w:t>B.</w:t>
      </w:r>
      <w:r w:rsidRPr="007446E6">
        <w:tab/>
        <w:t>Determine the Phase II Limit with no margin for the next hour.</w:t>
      </w:r>
    </w:p>
    <w:p w:rsidR="002C27D6" w:rsidRPr="007446E6" w:rsidP="00DC4E9C">
      <w:pPr>
        <w:pStyle w:val="alphapara"/>
        <w:spacing w:before="120" w:after="120" w:line="240" w:lineRule="auto"/>
      </w:pPr>
      <w:r w:rsidRPr="007446E6">
        <w:t>C.</w:t>
      </w:r>
      <w:r w:rsidRPr="007446E6">
        <w:tab/>
        <w:t>If the Phase II Limit (no margin) is less than the desired Phase II impo</w:t>
      </w:r>
      <w:r w:rsidRPr="007446E6">
        <w:t xml:space="preserve">rt plus arming in </w:t>
      </w:r>
      <w:smartTag w:uri="urn:schemas-microsoft-com:office:smarttags" w:element="place">
        <w:smartTag w:uri="urn:schemas-microsoft-com:office:smarttags" w:element="State">
          <w:r w:rsidRPr="007446E6">
            <w:t>New Brunswick</w:t>
          </w:r>
        </w:smartTag>
      </w:smartTag>
      <w:r w:rsidRPr="007446E6">
        <w:t>, request that NYPP and/or PJM forecast and authorize use of any available margin for the next hour.</w:t>
      </w:r>
    </w:p>
    <w:p w:rsidR="002C27D6" w:rsidRPr="007446E6" w:rsidP="00DC4E9C">
      <w:pPr>
        <w:pStyle w:val="alphapara"/>
        <w:spacing w:before="120" w:after="120" w:line="240" w:lineRule="auto"/>
      </w:pPr>
      <w:r w:rsidRPr="007446E6">
        <w:t>D.</w:t>
      </w:r>
      <w:r w:rsidRPr="007446E6">
        <w:tab/>
        <w:t>Determine the Phase II Limit using authorized margin.</w:t>
      </w:r>
    </w:p>
    <w:p w:rsidR="002C27D6" w:rsidRPr="007446E6" w:rsidP="00DC4E9C">
      <w:pPr>
        <w:pStyle w:val="alphapara"/>
        <w:spacing w:before="120" w:after="120" w:line="240" w:lineRule="auto"/>
      </w:pPr>
      <w:r w:rsidRPr="007446E6">
        <w:t>E.</w:t>
      </w:r>
      <w:r w:rsidRPr="007446E6">
        <w:tab/>
      </w:r>
      <w:r w:rsidRPr="007446E6">
        <w:t>Thirty minutes in advance of the hour, establish a next hour Pha</w:t>
      </w:r>
      <w:r w:rsidRPr="007446E6">
        <w:t>se II schedule with Hydro-Quebec for which the L/O Phase II Contingency (import plus arming) will be equal to or less than the Phase II Limit (which includes any authorized margin).</w:t>
      </w:r>
    </w:p>
    <w:p w:rsidR="002C27D6" w:rsidRPr="007446E6" w:rsidP="00DC4E9C">
      <w:pPr>
        <w:ind w:left="1260" w:hanging="900"/>
      </w:pPr>
      <w:r>
        <w:t>2</w:t>
      </w:r>
      <w:r w:rsidRPr="007446E6">
        <w:t>.</w:t>
      </w:r>
      <w:r w:rsidRPr="007446E6">
        <w:tab/>
      </w:r>
      <w:r w:rsidRPr="007446E6">
        <w:t>Monitoring System Conditions – At least once each hour, NEPEX will make</w:t>
      </w:r>
      <w:r w:rsidRPr="007446E6">
        <w:t xml:space="preserve"> a </w:t>
      </w:r>
      <w:r w:rsidRPr="00DC4E9C">
        <w:rPr>
          <w:rFonts w:cs="Courier New"/>
        </w:rPr>
        <w:t>complete</w:t>
      </w:r>
      <w:r w:rsidRPr="007446E6">
        <w:t xml:space="preserve"> check of actual system conditions in NYPP and PJM. Whenever a condition exists such that the L/O Phase II Limit based o</w:t>
      </w:r>
      <w:r>
        <w:t>n those conditions, NEPEX will;</w:t>
      </w:r>
    </w:p>
    <w:p w:rsidR="002C27D6" w:rsidRPr="007446E6" w:rsidP="00DC4E9C">
      <w:pPr>
        <w:pStyle w:val="alphapara"/>
        <w:spacing w:before="120" w:after="120" w:line="240" w:lineRule="auto"/>
      </w:pPr>
      <w:r w:rsidRPr="007446E6">
        <w:t>A.</w:t>
      </w:r>
      <w:r w:rsidRPr="007446E6">
        <w:tab/>
      </w:r>
      <w:r w:rsidRPr="007446E6">
        <w:t xml:space="preserve">Contact NYPP and/or PJM to determine if the L/O Phase </w:t>
      </w:r>
      <w:r>
        <w:t>II Contingency must be reduced.</w:t>
      </w:r>
    </w:p>
    <w:p w:rsidR="002C27D6" w:rsidRPr="007446E6" w:rsidP="00DC4E9C">
      <w:pPr>
        <w:pStyle w:val="alphapara"/>
        <w:spacing w:before="120" w:after="120" w:line="240" w:lineRule="auto"/>
      </w:pPr>
      <w:r w:rsidRPr="007446E6">
        <w:t>B.</w:t>
      </w:r>
      <w:r w:rsidRPr="007446E6">
        <w:tab/>
      </w:r>
      <w:r w:rsidRPr="007446E6">
        <w:t>I</w:t>
      </w:r>
      <w:r w:rsidRPr="007446E6">
        <w:t>f the L/O Phase II Contingency must be reduced, reduce imports from New Brunswick to a level at which arming (KPR) is not required and/or reduce Phase II imports so that the L/O Phase II contingency i</w:t>
      </w:r>
      <w:r>
        <w:t>s less than the Phase II Limit.</w:t>
      </w:r>
    </w:p>
    <w:p w:rsidR="002C27D6" w:rsidRPr="007446E6">
      <w:pPr>
        <w:ind w:left="1080"/>
      </w:pPr>
      <w:r w:rsidRPr="007446E6">
        <w:t>ACTION(S) TAKEN TO REDUC</w:t>
      </w:r>
      <w:r w:rsidRPr="007446E6">
        <w:t>E THE L/O PHASE II CONTINGENCY MUST BE ACCOMPLISHED WITHIN TEN (10) MINUTES FROM THE TIME THE PROBLEM IS IDENTIFIED.</w:t>
      </w:r>
    </w:p>
    <w:p w:rsidR="002C27D6" w:rsidRPr="007446E6" w:rsidP="00DC4E9C"/>
    <w:p w:rsidR="002C27D6" w:rsidRPr="007446E6">
      <w:pPr>
        <w:ind w:left="450"/>
      </w:pPr>
      <w:r w:rsidRPr="007446E6">
        <w:t>LOPIIPRO</w:t>
      </w:r>
    </w:p>
    <w:p w:rsidR="002C27D6" w:rsidRPr="007446E6">
      <w:pPr>
        <w:ind w:left="450"/>
      </w:pPr>
      <w:smartTag w:uri="urn:schemas-microsoft-com:office:smarttags" w:element="date">
        <w:smartTagPr>
          <w:attr w:name="Day" w:val="20"/>
          <w:attr w:name="Month" w:val="10"/>
          <w:attr w:name="Year" w:val="1990"/>
        </w:smartTagPr>
        <w:r w:rsidRPr="007446E6">
          <w:t>10-20-90</w:t>
        </w:r>
      </w:smartTag>
    </w:p>
    <w:p w:rsidR="002C27D6" w:rsidRPr="007446E6"/>
    <w:p w:rsidR="002C27D6" w:rsidRPr="00DC4E9C" w:rsidP="009A0DD7">
      <w:pPr>
        <w:pStyle w:val="subheadwH2formatting"/>
      </w:pPr>
      <w:r w:rsidRPr="007446E6">
        <w:t>ATTACHMENT I</w:t>
      </w:r>
      <w:r>
        <w:t xml:space="preserve"> </w:t>
      </w:r>
      <w:r>
        <w:t>–</w:t>
      </w:r>
      <w:r>
        <w:t xml:space="preserve"> </w:t>
      </w:r>
      <w:r w:rsidRPr="007446E6">
        <w:t>M</w:t>
      </w:r>
      <w:r>
        <w:t xml:space="preserve">ethods for </w:t>
      </w:r>
      <w:r w:rsidRPr="007446E6">
        <w:t>C</w:t>
      </w:r>
      <w:r>
        <w:t>alculating the</w:t>
      </w:r>
      <w:r w:rsidRPr="007446E6">
        <w:t xml:space="preserve"> L</w:t>
      </w:r>
      <w:r>
        <w:t>oss</w:t>
      </w:r>
      <w:r w:rsidRPr="007446E6">
        <w:t xml:space="preserve"> </w:t>
      </w:r>
      <w:r>
        <w:t>of</w:t>
      </w:r>
      <w:r w:rsidRPr="007446E6">
        <w:t xml:space="preserve"> P</w:t>
      </w:r>
      <w:r>
        <w:t>hase</w:t>
      </w:r>
      <w:r w:rsidRPr="007446E6">
        <w:t xml:space="preserve"> II C</w:t>
      </w:r>
      <w:r>
        <w:t>ontingency and the</w:t>
      </w:r>
      <w:r w:rsidRPr="007446E6">
        <w:t xml:space="preserve"> P</w:t>
      </w:r>
      <w:r>
        <w:t>hase</w:t>
      </w:r>
      <w:r w:rsidRPr="007446E6">
        <w:t xml:space="preserve"> II I</w:t>
      </w:r>
      <w:r>
        <w:t>mport</w:t>
      </w:r>
      <w:r w:rsidRPr="007446E6">
        <w:t xml:space="preserve"> L</w:t>
      </w:r>
      <w:r>
        <w:t>imit</w:t>
      </w:r>
    </w:p>
    <w:p w:rsidR="002C27D6" w:rsidRPr="007446E6" w:rsidP="00DC4E9C">
      <w:pPr>
        <w:pStyle w:val="Heading4"/>
      </w:pPr>
      <w:r w:rsidRPr="007446E6">
        <w:t>I.</w:t>
      </w:r>
      <w:r w:rsidRPr="007446E6">
        <w:tab/>
      </w:r>
      <w:r w:rsidRPr="007446E6">
        <w:t>The Loss of Ph</w:t>
      </w:r>
      <w:r w:rsidRPr="007446E6">
        <w:t>ase II Contingency</w:t>
      </w:r>
    </w:p>
    <w:p w:rsidR="002C27D6" w:rsidRPr="007446E6" w:rsidP="00DC4E9C">
      <w:pPr>
        <w:pStyle w:val="Bodypara"/>
      </w:pPr>
      <w:r w:rsidRPr="007446E6">
        <w:tab/>
        <w:t xml:space="preserve">The loss of Phase II Contingency is made up of two components; 1) the transfer on the Phase II tie line between Hydro-Quebec and NEPOOL and 2) any MW armed for runback in </w:t>
      </w:r>
      <w:smartTag w:uri="urn:schemas-microsoft-com:office:smarttags" w:element="place">
        <w:smartTag w:uri="urn:schemas-microsoft-com:office:smarttags" w:element="State">
          <w:r w:rsidRPr="007446E6">
            <w:t>New Brunswick</w:t>
          </w:r>
        </w:smartTag>
      </w:smartTag>
      <w:r w:rsidRPr="007446E6">
        <w:t xml:space="preserve"> (Keswick Power Relays). While normally disabled, th</w:t>
      </w:r>
      <w:r w:rsidRPr="007446E6">
        <w:t xml:space="preserve">e Keswick Power Relays will be enabled when the Chester Static VAR Compensator is OOS. </w:t>
      </w:r>
      <w:r w:rsidRPr="00E13302">
        <w:rPr>
          <w:u w:val="single"/>
        </w:rPr>
        <w:t>ALL</w:t>
      </w:r>
      <w:r w:rsidRPr="007446E6">
        <w:t xml:space="preserve"> MW armed for the Keswick Power Relays must be included as part of the Loss of Phase II Contingency. </w:t>
      </w:r>
      <w:r w:rsidRPr="00E13302">
        <w:rPr>
          <w:u w:val="single"/>
        </w:rPr>
        <w:t>The maximum Loss of Phase II Contingency allowable is 2,200 MW.</w:t>
      </w:r>
      <w:r w:rsidRPr="007446E6">
        <w:t xml:space="preserve"> </w:t>
      </w:r>
    </w:p>
    <w:p w:rsidR="002C27D6" w:rsidRPr="007446E6">
      <w:pPr>
        <w:pStyle w:val="Heading9"/>
      </w:pPr>
      <w:r w:rsidRPr="007446E6">
        <w:t>Loss of Phase II Contingency</w:t>
      </w:r>
    </w:p>
    <w:p w:rsidR="002C27D6" w:rsidRPr="007446E6">
      <w:pPr>
        <w:ind w:left="1440"/>
        <w:rPr>
          <w:rFonts w:cs="Courier New"/>
        </w:rPr>
      </w:pPr>
      <w:r w:rsidRPr="007446E6">
        <w:rPr>
          <w:rFonts w:cs="Courier New"/>
        </w:rPr>
        <w:t>=</w:t>
      </w:r>
    </w:p>
    <w:p w:rsidR="002C27D6" w:rsidRPr="007446E6">
      <w:pPr>
        <w:ind w:left="1440"/>
        <w:rPr>
          <w:rFonts w:cs="Courier New"/>
        </w:rPr>
      </w:pPr>
      <w:r w:rsidRPr="007446E6">
        <w:rPr>
          <w:rFonts w:cs="Courier New"/>
        </w:rPr>
        <w:t>Phase II transfers</w:t>
      </w:r>
    </w:p>
    <w:p w:rsidR="002C27D6" w:rsidRPr="007446E6">
      <w:pPr>
        <w:ind w:left="1440"/>
        <w:rPr>
          <w:rFonts w:cs="Courier New"/>
        </w:rPr>
      </w:pPr>
      <w:r w:rsidRPr="007446E6">
        <w:rPr>
          <w:rFonts w:cs="Courier New"/>
        </w:rPr>
        <w:t>+</w:t>
      </w:r>
    </w:p>
    <w:p w:rsidR="002C27D6" w:rsidRPr="007446E6" w:rsidP="00DC4E9C">
      <w:pPr>
        <w:ind w:left="1440"/>
        <w:rPr>
          <w:rFonts w:cs="Courier New"/>
        </w:rPr>
      </w:pPr>
      <w:r w:rsidRPr="007446E6">
        <w:rPr>
          <w:rFonts w:cs="Courier New"/>
        </w:rPr>
        <w:t>MW</w:t>
      </w:r>
      <w:r>
        <w:rPr>
          <w:rFonts w:cs="Courier New"/>
        </w:rPr>
        <w:t xml:space="preserve"> armed for Keswick Power Relays</w:t>
      </w:r>
    </w:p>
    <w:p w:rsidR="002C27D6" w:rsidRPr="007446E6" w:rsidP="00DC4E9C">
      <w:pPr>
        <w:pStyle w:val="Heading4"/>
      </w:pPr>
      <w:r w:rsidRPr="007446E6">
        <w:t>II.</w:t>
      </w:r>
      <w:r w:rsidRPr="007446E6">
        <w:tab/>
      </w:r>
      <w:r>
        <w:t>The Phase II Import Limit</w:t>
      </w:r>
    </w:p>
    <w:p w:rsidR="002C27D6" w:rsidRPr="00DC4E9C" w:rsidP="00DC4E9C">
      <w:pPr>
        <w:pStyle w:val="Bodypara"/>
        <w:rPr>
          <w:rFonts w:cs="Courier New"/>
        </w:rPr>
      </w:pPr>
      <w:r w:rsidRPr="007446E6">
        <w:t>The calculation of the Phase II Limit requires the examination of seven (7) different sets of reactive conditions, four (4) in NYPP and thre</w:t>
      </w:r>
      <w:r w:rsidRPr="007446E6">
        <w:t xml:space="preserve">e (3) in PJM. Three (3) of the NYPP calculations are based on station voltages; Rochester 345, Oakdale 345, Oakdale 230.The remaining NYPP calculation is based on MW flow across the Central East Interface. The PJM calculations are based on MW flows across </w:t>
      </w:r>
      <w:r w:rsidRPr="007446E6">
        <w:t>the Eastern, C</w:t>
      </w:r>
      <w:r>
        <w:t>entral, and Western Interfaces.</w:t>
      </w:r>
    </w:p>
    <w:p w:rsidR="002C27D6" w:rsidRPr="007446E6">
      <w:pPr>
        <w:ind w:left="720" w:firstLine="547"/>
        <w:rPr>
          <w:rFonts w:cs="Courier New"/>
        </w:rPr>
      </w:pPr>
      <w:r w:rsidRPr="007446E6">
        <w:rPr>
          <w:rFonts w:cs="Courier New"/>
        </w:rPr>
        <w:t>The Phase II Limit is the most restrictive of the values calculated.</w:t>
      </w:r>
    </w:p>
    <w:p w:rsidR="002C27D6" w:rsidRPr="00016DD7">
      <w:pPr>
        <w:ind w:left="720" w:firstLine="547"/>
        <w:rPr>
          <w:rFonts w:cs="Courier New"/>
          <w:u w:val="double"/>
        </w:rPr>
      </w:pPr>
    </w:p>
    <w:p w:rsidR="002C27D6" w:rsidRPr="00DC4E9C" w:rsidP="00DC4E9C">
      <w:pPr>
        <w:ind w:left="720" w:firstLine="547"/>
        <w:rPr>
          <w:rFonts w:cs="Courier New"/>
        </w:rPr>
      </w:pPr>
      <w:r w:rsidRPr="007446E6">
        <w:t>The methods for calculating the Phase II Limits are list</w:t>
      </w:r>
      <w:r>
        <w:t>ed below.</w:t>
      </w:r>
    </w:p>
    <w:p w:rsidR="002C27D6" w:rsidRPr="00DC4E9C" w:rsidP="00DC4E9C">
      <w:pPr>
        <w:pStyle w:val="subhead"/>
      </w:pPr>
      <w:r w:rsidRPr="007446E6">
        <w:t>A.</w:t>
      </w:r>
      <w:r w:rsidRPr="007446E6">
        <w:tab/>
      </w:r>
      <w:r w:rsidRPr="00E8419E">
        <w:t>C</w:t>
      </w:r>
      <w:r>
        <w:t>alculation of</w:t>
      </w:r>
      <w:r w:rsidRPr="00E8419E">
        <w:t xml:space="preserve"> L</w:t>
      </w:r>
      <w:r>
        <w:t>imits for</w:t>
      </w:r>
      <w:r w:rsidRPr="00E8419E">
        <w:t xml:space="preserve"> N</w:t>
      </w:r>
      <w:r>
        <w:t>ext</w:t>
      </w:r>
      <w:r w:rsidRPr="00E8419E">
        <w:t xml:space="preserve"> H</w:t>
      </w:r>
      <w:r>
        <w:t>our</w:t>
      </w:r>
      <w:r w:rsidRPr="00E8419E">
        <w:t xml:space="preserve"> S</w:t>
      </w:r>
      <w:r>
        <w:t>cheduling</w:t>
      </w:r>
    </w:p>
    <w:p w:rsidR="002C27D6" w:rsidRPr="00E8419E" w:rsidP="0067698D">
      <w:pPr>
        <w:ind w:left="1080"/>
        <w:rPr>
          <w:rFonts w:cs="Courier New"/>
          <w:u w:val="single"/>
        </w:rPr>
      </w:pPr>
      <w:r w:rsidRPr="007446E6">
        <w:rPr>
          <w:rFonts w:cs="Courier New"/>
        </w:rPr>
        <w:t>1.</w:t>
      </w:r>
      <w:r w:rsidRPr="007446E6">
        <w:rPr>
          <w:rFonts w:cs="Courier New"/>
        </w:rPr>
        <w:tab/>
      </w:r>
      <w:r w:rsidRPr="00E8419E">
        <w:rPr>
          <w:rFonts w:cs="Courier New"/>
          <w:u w:val="single"/>
        </w:rPr>
        <w:t xml:space="preserve">Phase II Limit based </w:t>
      </w:r>
      <w:r w:rsidRPr="00E8419E">
        <w:rPr>
          <w:rFonts w:cs="Courier New"/>
          <w:u w:val="single"/>
        </w:rPr>
        <w:t>on NYPP station voltages</w:t>
      </w:r>
    </w:p>
    <w:p w:rsidR="002C27D6" w:rsidRPr="007446E6">
      <w:pPr>
        <w:rPr>
          <w:rFonts w:cs="Courier New"/>
        </w:rPr>
      </w:pPr>
    </w:p>
    <w:p w:rsidR="002C27D6" w:rsidRPr="007446E6">
      <w:pPr>
        <w:ind w:left="1800" w:hanging="360"/>
        <w:rPr>
          <w:rFonts w:cs="Courier New"/>
        </w:rPr>
      </w:pPr>
      <w:r w:rsidRPr="007446E6">
        <w:rPr>
          <w:rFonts w:cs="Courier New"/>
        </w:rPr>
        <w:t>a. Limit without Voltage Margin- The Phase II Limit without Voltage Margin for each of the three stations is the Base New England/New Brunswick (NE/NB) Contingency Limit for that station.</w:t>
      </w:r>
    </w:p>
    <w:p w:rsidR="002C27D6" w:rsidRPr="007446E6" w:rsidP="00DC4E9C">
      <w:pPr>
        <w:rPr>
          <w:rFonts w:cs="Courier New"/>
        </w:rPr>
      </w:pPr>
    </w:p>
    <w:p w:rsidR="002C27D6" w:rsidRPr="007446E6">
      <w:pPr>
        <w:ind w:left="1800" w:hanging="360"/>
        <w:rPr>
          <w:rFonts w:cs="Courier New"/>
        </w:rPr>
      </w:pPr>
      <w:r w:rsidRPr="007446E6">
        <w:rPr>
          <w:rFonts w:cs="Courier New"/>
        </w:rPr>
        <w:t xml:space="preserve">b. Limit with Voltage Margin – The Phase </w:t>
      </w:r>
      <w:r w:rsidRPr="007446E6">
        <w:rPr>
          <w:rFonts w:cs="Courier New"/>
        </w:rPr>
        <w:t>II Limit with Voltage Margin for each of the three stations is the Base NE/NB Contingency Limit for that station plus the amount of Voltage Margin authorized for that station multiplied by the Margin Sensitivity for that station.</w:t>
      </w:r>
    </w:p>
    <w:p w:rsidR="002C27D6" w:rsidRPr="007446E6">
      <w:pPr>
        <w:ind w:left="1800" w:hanging="360"/>
        <w:rPr>
          <w:rFonts w:cs="Courier New"/>
        </w:rPr>
      </w:pPr>
    </w:p>
    <w:p w:rsidR="002C27D6" w:rsidRPr="007446E6">
      <w:pPr>
        <w:ind w:left="1800" w:hanging="360"/>
        <w:rPr>
          <w:rFonts w:cs="Courier New"/>
        </w:rPr>
      </w:pPr>
      <w:r w:rsidRPr="007446E6">
        <w:rPr>
          <w:rFonts w:cs="Courier New"/>
        </w:rPr>
        <w:tab/>
        <w:t>Phase II Limit</w:t>
      </w:r>
    </w:p>
    <w:p w:rsidR="002C27D6" w:rsidRPr="007446E6">
      <w:pPr>
        <w:ind w:left="1800" w:hanging="360"/>
        <w:rPr>
          <w:rFonts w:cs="Courier New"/>
        </w:rPr>
      </w:pPr>
      <w:r w:rsidRPr="007446E6">
        <w:rPr>
          <w:rFonts w:cs="Courier New"/>
        </w:rPr>
        <w:tab/>
        <w:t>=</w:t>
      </w:r>
    </w:p>
    <w:p w:rsidR="002C27D6" w:rsidRPr="007446E6">
      <w:pPr>
        <w:ind w:left="1800" w:hanging="360"/>
        <w:rPr>
          <w:rFonts w:cs="Courier New"/>
        </w:rPr>
      </w:pPr>
      <w:r w:rsidRPr="007446E6">
        <w:rPr>
          <w:rFonts w:cs="Courier New"/>
        </w:rPr>
        <w:tab/>
        <w:t>Stati</w:t>
      </w:r>
      <w:r w:rsidRPr="007446E6">
        <w:rPr>
          <w:rFonts w:cs="Courier New"/>
        </w:rPr>
        <w:t>on Base NW/NB Contingency Limit</w:t>
      </w:r>
    </w:p>
    <w:p w:rsidR="002C27D6" w:rsidRPr="007446E6">
      <w:pPr>
        <w:ind w:left="1800" w:hanging="360"/>
        <w:rPr>
          <w:rFonts w:cs="Courier New"/>
        </w:rPr>
      </w:pPr>
      <w:r w:rsidRPr="007446E6">
        <w:rPr>
          <w:rFonts w:cs="Courier New"/>
        </w:rPr>
        <w:tab/>
        <w:t>+</w:t>
      </w:r>
    </w:p>
    <w:p w:rsidR="002C27D6" w:rsidRPr="007446E6">
      <w:pPr>
        <w:ind w:left="1800" w:hanging="360"/>
        <w:rPr>
          <w:rFonts w:cs="Courier New"/>
        </w:rPr>
      </w:pPr>
      <w:r w:rsidRPr="007446E6">
        <w:rPr>
          <w:rFonts w:cs="Courier New"/>
        </w:rPr>
        <w:tab/>
        <w:t>Station Margin Sensitivity x Authorized Voltage Margin</w:t>
      </w:r>
    </w:p>
    <w:p w:rsidR="002C27D6" w:rsidRPr="007446E6">
      <w:pPr>
        <w:ind w:left="1800" w:hanging="360"/>
        <w:rPr>
          <w:rFonts w:cs="Courier New"/>
        </w:rPr>
      </w:pPr>
    </w:p>
    <w:p w:rsidR="002C27D6" w:rsidRPr="007446E6" w:rsidP="00016DD7">
      <w:pPr>
        <w:ind w:left="1080"/>
        <w:rPr>
          <w:rFonts w:cs="Courier New"/>
        </w:rPr>
      </w:pPr>
      <w:r w:rsidRPr="007446E6">
        <w:rPr>
          <w:rFonts w:cs="Courier New"/>
        </w:rPr>
        <w:t>2.</w:t>
      </w:r>
      <w:r w:rsidRPr="007446E6">
        <w:rPr>
          <w:rFonts w:cs="Courier New"/>
        </w:rPr>
        <w:tab/>
      </w:r>
      <w:r w:rsidRPr="00E8419E">
        <w:rPr>
          <w:rFonts w:cs="Courier New"/>
          <w:u w:val="single"/>
        </w:rPr>
        <w:t>Phase II Limit based on NYPP Central East flow</w:t>
      </w:r>
    </w:p>
    <w:p w:rsidR="002C27D6" w:rsidRPr="007446E6">
      <w:pPr>
        <w:rPr>
          <w:rFonts w:cs="Courier New"/>
        </w:rPr>
      </w:pPr>
    </w:p>
    <w:p w:rsidR="002C27D6" w:rsidRPr="007446E6">
      <w:pPr>
        <w:ind w:left="1800"/>
        <w:rPr>
          <w:rFonts w:cs="Courier New"/>
        </w:rPr>
      </w:pPr>
      <w:r w:rsidRPr="007446E6">
        <w:rPr>
          <w:rFonts w:cs="Courier New"/>
        </w:rPr>
        <w:t>The Phase II Limit is</w:t>
      </w:r>
    </w:p>
    <w:p w:rsidR="002C27D6" w:rsidRPr="007446E6">
      <w:pPr>
        <w:ind w:left="1800"/>
        <w:rPr>
          <w:rFonts w:cs="Courier New"/>
        </w:rPr>
      </w:pPr>
      <w:r w:rsidRPr="007446E6">
        <w:rPr>
          <w:rFonts w:cs="Courier New"/>
        </w:rPr>
        <w:t>(the C/E Critical Transfer Level minus the forecasted C/E transfer for the next hour)</w:t>
      </w:r>
    </w:p>
    <w:p w:rsidR="002C27D6" w:rsidRPr="007446E6">
      <w:pPr>
        <w:ind w:left="1800"/>
        <w:rPr>
          <w:rFonts w:cs="Courier New"/>
        </w:rPr>
      </w:pPr>
      <w:r w:rsidRPr="007446E6">
        <w:rPr>
          <w:rFonts w:cs="Courier New"/>
        </w:rPr>
        <w:tab/>
      </w:r>
      <w:r w:rsidRPr="007446E6">
        <w:rPr>
          <w:rFonts w:cs="Courier New"/>
        </w:rPr>
        <w:tab/>
      </w:r>
      <w:r w:rsidRPr="007446E6">
        <w:rPr>
          <w:rFonts w:cs="Courier New"/>
        </w:rPr>
        <w:tab/>
        <w:t>di</w:t>
      </w:r>
      <w:r w:rsidRPr="007446E6">
        <w:rPr>
          <w:rFonts w:cs="Courier New"/>
        </w:rPr>
        <w:t>vided by</w:t>
      </w:r>
    </w:p>
    <w:p w:rsidR="002C27D6" w:rsidRPr="007446E6">
      <w:pPr>
        <w:ind w:left="1800"/>
        <w:rPr>
          <w:rFonts w:cs="Courier New"/>
        </w:rPr>
      </w:pPr>
      <w:r w:rsidRPr="007446E6">
        <w:rPr>
          <w:rFonts w:cs="Courier New"/>
        </w:rPr>
        <w:t>the Phase II C/E Distribution Factor</w:t>
      </w:r>
    </w:p>
    <w:p w:rsidR="002C27D6" w:rsidRPr="007446E6">
      <w:pPr>
        <w:ind w:left="1800"/>
        <w:rPr>
          <w:rFonts w:cs="Courier New"/>
        </w:rPr>
      </w:pPr>
    </w:p>
    <w:p w:rsidR="002C27D6" w:rsidRPr="007446E6">
      <w:pPr>
        <w:ind w:left="1800"/>
        <w:rPr>
          <w:rFonts w:cs="Courier New"/>
        </w:rPr>
      </w:pPr>
      <w:r w:rsidRPr="007446E6">
        <w:rPr>
          <w:rFonts w:cs="Courier New"/>
        </w:rPr>
        <w:t>Phase II Limit</w:t>
      </w:r>
    </w:p>
    <w:p w:rsidR="002C27D6" w:rsidRPr="007446E6">
      <w:pPr>
        <w:ind w:left="1800"/>
        <w:rPr>
          <w:rFonts w:cs="Courier New"/>
        </w:rPr>
      </w:pPr>
      <w:r w:rsidRPr="007446E6">
        <w:rPr>
          <w:rFonts w:cs="Courier New"/>
        </w:rPr>
        <w:t>=</w:t>
      </w:r>
    </w:p>
    <w:p w:rsidR="002C27D6" w:rsidRPr="00E8419E">
      <w:pPr>
        <w:ind w:left="1800"/>
        <w:rPr>
          <w:rFonts w:cs="Courier New"/>
          <w:u w:val="single"/>
        </w:rPr>
      </w:pPr>
      <w:r w:rsidRPr="00E8419E">
        <w:rPr>
          <w:rFonts w:cs="Courier New"/>
          <w:u w:val="single"/>
        </w:rPr>
        <w:t>(C/E Crit. Transfer Level- forecasted C/E Transfer</w:t>
      </w:r>
      <w:r>
        <w:rPr>
          <w:rFonts w:cs="Courier New"/>
          <w:u w:val="single"/>
        </w:rPr>
        <w:t>)</w:t>
      </w:r>
    </w:p>
    <w:p w:rsidR="002C27D6" w:rsidRPr="007446E6">
      <w:pPr>
        <w:ind w:left="1800"/>
        <w:rPr>
          <w:rFonts w:cs="Courier New"/>
        </w:rPr>
      </w:pPr>
      <w:r w:rsidRPr="007446E6">
        <w:rPr>
          <w:rFonts w:cs="Courier New"/>
        </w:rPr>
        <w:tab/>
      </w:r>
      <w:r w:rsidRPr="007446E6">
        <w:rPr>
          <w:rFonts w:cs="Courier New"/>
        </w:rPr>
        <w:tab/>
      </w:r>
      <w:r w:rsidRPr="007446E6">
        <w:rPr>
          <w:rFonts w:cs="Courier New"/>
        </w:rPr>
        <w:tab/>
        <w:t>Phase II C/E Distribution Factor</w:t>
      </w:r>
    </w:p>
    <w:p w:rsidR="002C27D6" w:rsidRPr="007446E6">
      <w:pPr>
        <w:ind w:left="1800"/>
        <w:rPr>
          <w:rFonts w:cs="Courier New"/>
        </w:rPr>
      </w:pPr>
    </w:p>
    <w:p w:rsidR="002C27D6" w:rsidRPr="007446E6">
      <w:pPr>
        <w:ind w:left="1440" w:hanging="360"/>
        <w:rPr>
          <w:rFonts w:cs="Courier New"/>
        </w:rPr>
      </w:pPr>
      <w:r w:rsidRPr="007446E6">
        <w:rPr>
          <w:rFonts w:cs="Courier New"/>
        </w:rPr>
        <w:t xml:space="preserve">3. </w:t>
      </w:r>
      <w:r w:rsidRPr="005C6021">
        <w:rPr>
          <w:rFonts w:cs="Courier New"/>
          <w:u w:val="single"/>
        </w:rPr>
        <w:t>Phase I</w:t>
      </w:r>
      <w:r w:rsidRPr="00E8419E">
        <w:rPr>
          <w:rFonts w:cs="Courier New"/>
          <w:u w:val="single"/>
        </w:rPr>
        <w:t>I Limit based on PJM interface flows</w:t>
      </w:r>
    </w:p>
    <w:p w:rsidR="002C27D6" w:rsidRPr="007446E6">
      <w:pPr>
        <w:ind w:left="1800"/>
        <w:rPr>
          <w:rFonts w:cs="Courier New"/>
        </w:rPr>
      </w:pPr>
    </w:p>
    <w:p w:rsidR="002C27D6" w:rsidRPr="007446E6" w:rsidP="0067698D">
      <w:pPr>
        <w:ind w:left="2160" w:hanging="360"/>
        <w:rPr>
          <w:rFonts w:cs="Courier New"/>
        </w:rPr>
      </w:pPr>
      <w:r w:rsidRPr="007446E6">
        <w:rPr>
          <w:rFonts w:cs="Courier New"/>
        </w:rPr>
        <w:t>a.</w:t>
      </w:r>
      <w:r w:rsidRPr="007446E6">
        <w:rPr>
          <w:rFonts w:cs="Courier New"/>
        </w:rPr>
        <w:tab/>
      </w:r>
      <w:r w:rsidRPr="007446E6">
        <w:rPr>
          <w:rFonts w:cs="Courier New"/>
        </w:rPr>
        <w:t>Limit without Transfer Margin – The Phase II Limit w</w:t>
      </w:r>
      <w:r w:rsidRPr="007446E6">
        <w:rPr>
          <w:rFonts w:cs="Courier New"/>
        </w:rPr>
        <w:t>ithout Transfer Margin for each of the three (3) PJM interfaces is the PJM Base NE/NB Contingency Limit (same for all three interfaces)</w:t>
      </w:r>
    </w:p>
    <w:p w:rsidR="002C27D6" w:rsidRPr="007446E6">
      <w:pPr>
        <w:rPr>
          <w:rFonts w:cs="Courier New"/>
        </w:rPr>
      </w:pPr>
    </w:p>
    <w:p w:rsidR="002C27D6" w:rsidRPr="007446E6" w:rsidP="0067698D">
      <w:pPr>
        <w:ind w:left="2160" w:hanging="360"/>
        <w:rPr>
          <w:rFonts w:cs="Courier New"/>
        </w:rPr>
      </w:pPr>
      <w:r w:rsidRPr="007446E6">
        <w:rPr>
          <w:rFonts w:cs="Courier New"/>
        </w:rPr>
        <w:t>b.</w:t>
      </w:r>
      <w:r w:rsidRPr="007446E6">
        <w:rPr>
          <w:rFonts w:cs="Courier New"/>
        </w:rPr>
        <w:tab/>
      </w:r>
      <w:r w:rsidRPr="007446E6">
        <w:rPr>
          <w:rFonts w:cs="Courier New"/>
        </w:rPr>
        <w:t>Limit with Transfer Margin – The Phase II Limit with Transfer Margin for each of the three (3) PJM interfaces is the</w:t>
      </w:r>
      <w:r w:rsidRPr="007446E6">
        <w:rPr>
          <w:rFonts w:cs="Courier New"/>
        </w:rPr>
        <w:t xml:space="preserve"> PJM Base NE/NB Contingency Limit</w:t>
      </w:r>
    </w:p>
    <w:p w:rsidR="002C27D6" w:rsidRPr="007446E6">
      <w:pPr>
        <w:ind w:left="2160" w:firstLine="720"/>
        <w:rPr>
          <w:rFonts w:cs="Courier New"/>
        </w:rPr>
      </w:pPr>
      <w:r w:rsidRPr="007446E6">
        <w:rPr>
          <w:rFonts w:cs="Courier New"/>
        </w:rPr>
        <w:t>plus</w:t>
      </w:r>
    </w:p>
    <w:p w:rsidR="002C27D6" w:rsidRPr="007446E6">
      <w:pPr>
        <w:ind w:left="2160"/>
        <w:rPr>
          <w:rFonts w:cs="Courier New"/>
        </w:rPr>
      </w:pPr>
      <w:r w:rsidRPr="007446E6">
        <w:rPr>
          <w:rFonts w:cs="Courier New"/>
        </w:rPr>
        <w:t>the amount of Transfer Margin authorized for that interface multiplied by the Margin Sensitivity for that interface.</w:t>
      </w:r>
    </w:p>
    <w:p w:rsidR="002C27D6" w:rsidRPr="007446E6">
      <w:pPr>
        <w:ind w:left="2160"/>
        <w:rPr>
          <w:rFonts w:cs="Courier New"/>
        </w:rPr>
      </w:pPr>
    </w:p>
    <w:p w:rsidR="002C27D6" w:rsidRPr="007446E6">
      <w:pPr>
        <w:ind w:left="2160"/>
        <w:rPr>
          <w:rFonts w:cs="Courier New"/>
        </w:rPr>
      </w:pPr>
      <w:r w:rsidRPr="007446E6">
        <w:rPr>
          <w:rFonts w:cs="Courier New"/>
        </w:rPr>
        <w:t>Phase II Limit</w:t>
      </w:r>
    </w:p>
    <w:p w:rsidR="002C27D6" w:rsidRPr="007446E6">
      <w:pPr>
        <w:ind w:left="2160"/>
        <w:rPr>
          <w:rFonts w:cs="Courier New"/>
        </w:rPr>
      </w:pPr>
      <w:r w:rsidRPr="007446E6">
        <w:rPr>
          <w:rFonts w:cs="Courier New"/>
        </w:rPr>
        <w:t>=</w:t>
      </w:r>
    </w:p>
    <w:p w:rsidR="002C27D6" w:rsidRPr="007446E6">
      <w:pPr>
        <w:ind w:left="2160"/>
        <w:rPr>
          <w:rFonts w:cs="Courier New"/>
        </w:rPr>
      </w:pPr>
      <w:r w:rsidRPr="007446E6">
        <w:rPr>
          <w:rFonts w:cs="Courier New"/>
        </w:rPr>
        <w:t xml:space="preserve">PJM </w:t>
      </w:r>
      <w:smartTag w:uri="urn:schemas-microsoft-com:office:smarttags" w:element="place">
        <w:smartTag w:uri="urn:schemas-microsoft-com:office:smarttags" w:element="City">
          <w:r w:rsidRPr="007446E6">
            <w:rPr>
              <w:rFonts w:cs="Courier New"/>
            </w:rPr>
            <w:t>Base</w:t>
          </w:r>
        </w:smartTag>
        <w:r w:rsidRPr="007446E6">
          <w:rPr>
            <w:rFonts w:cs="Courier New"/>
          </w:rPr>
          <w:t xml:space="preserve"> </w:t>
        </w:r>
        <w:smartTag w:uri="urn:schemas-microsoft-com:office:smarttags" w:element="State">
          <w:r w:rsidRPr="007446E6">
            <w:rPr>
              <w:rFonts w:cs="Courier New"/>
            </w:rPr>
            <w:t>NE</w:t>
          </w:r>
        </w:smartTag>
      </w:smartTag>
      <w:r w:rsidRPr="007446E6">
        <w:rPr>
          <w:rFonts w:cs="Courier New"/>
        </w:rPr>
        <w:t>/NB Contingency Limit</w:t>
      </w:r>
    </w:p>
    <w:p w:rsidR="002C27D6" w:rsidRPr="007446E6">
      <w:pPr>
        <w:ind w:left="2160"/>
        <w:rPr>
          <w:rFonts w:cs="Courier New"/>
        </w:rPr>
      </w:pPr>
      <w:r w:rsidRPr="007446E6">
        <w:rPr>
          <w:rFonts w:cs="Courier New"/>
        </w:rPr>
        <w:t>+</w:t>
      </w:r>
    </w:p>
    <w:p w:rsidR="002C27D6" w:rsidRPr="007446E6">
      <w:pPr>
        <w:ind w:left="2160"/>
        <w:rPr>
          <w:rFonts w:cs="Courier New"/>
        </w:rPr>
      </w:pPr>
      <w:r w:rsidRPr="007446E6">
        <w:rPr>
          <w:rFonts w:cs="Courier New"/>
        </w:rPr>
        <w:t>Margin Sensitivity x Authorized Transfer Margin</w:t>
      </w:r>
    </w:p>
    <w:p w:rsidR="002C27D6" w:rsidRPr="00CA53BD" w:rsidP="00CA53BD">
      <w:pPr>
        <w:pStyle w:val="subhead"/>
      </w:pPr>
      <w:r w:rsidRPr="00DC4E9C">
        <w:t>B.</w:t>
      </w:r>
      <w:r w:rsidRPr="00DC4E9C">
        <w:tab/>
      </w:r>
      <w:r w:rsidRPr="00DC4E9C">
        <w:t>C</w:t>
      </w:r>
      <w:r>
        <w:t>alculation of</w:t>
      </w:r>
      <w:r>
        <w:t xml:space="preserve"> R</w:t>
      </w:r>
      <w:r>
        <w:t>eal Time</w:t>
      </w:r>
      <w:r>
        <w:t xml:space="preserve"> L</w:t>
      </w:r>
      <w:r>
        <w:t>imits</w:t>
      </w:r>
    </w:p>
    <w:p w:rsidR="002C27D6" w:rsidRPr="007446E6" w:rsidP="0067698D">
      <w:pPr>
        <w:ind w:left="1080"/>
        <w:rPr>
          <w:rFonts w:cs="Courier New"/>
        </w:rPr>
      </w:pPr>
      <w:r w:rsidRPr="007446E6">
        <w:rPr>
          <w:rFonts w:cs="Courier New"/>
        </w:rPr>
        <w:t>1.</w:t>
      </w:r>
      <w:r w:rsidRPr="007446E6">
        <w:rPr>
          <w:rFonts w:cs="Courier New"/>
        </w:rPr>
        <w:tab/>
      </w:r>
      <w:r w:rsidRPr="007446E6">
        <w:rPr>
          <w:rFonts w:cs="Courier New"/>
        </w:rPr>
        <w:t xml:space="preserve">Phase </w:t>
      </w:r>
      <w:r w:rsidRPr="00E8419E">
        <w:rPr>
          <w:rFonts w:cs="Courier New"/>
          <w:u w:val="single"/>
        </w:rPr>
        <w:t>II Limit based on NYPP station voltages</w:t>
      </w:r>
    </w:p>
    <w:p w:rsidR="002C27D6" w:rsidRPr="007446E6">
      <w:pPr>
        <w:rPr>
          <w:rFonts w:cs="Courier New"/>
        </w:rPr>
      </w:pPr>
    </w:p>
    <w:p w:rsidR="002C27D6" w:rsidRPr="007446E6">
      <w:pPr>
        <w:ind w:left="2160"/>
        <w:rPr>
          <w:rFonts w:cs="Courier New"/>
        </w:rPr>
      </w:pPr>
      <w:r w:rsidRPr="007446E6">
        <w:rPr>
          <w:rFonts w:cs="Courier New"/>
        </w:rPr>
        <w:t>The Phase II Limit for real time conditions for each of the three (3) stations is the Base NE/NB Contingency Limit for the station</w:t>
      </w:r>
    </w:p>
    <w:p w:rsidR="002C27D6" w:rsidRPr="007446E6">
      <w:pPr>
        <w:ind w:left="2160"/>
        <w:rPr>
          <w:rFonts w:cs="Courier New"/>
        </w:rPr>
      </w:pPr>
      <w:r w:rsidRPr="007446E6">
        <w:rPr>
          <w:rFonts w:cs="Courier New"/>
        </w:rPr>
        <w:tab/>
      </w:r>
      <w:r w:rsidRPr="007446E6">
        <w:rPr>
          <w:rFonts w:cs="Courier New"/>
        </w:rPr>
        <w:tab/>
        <w:t>plus</w:t>
      </w:r>
    </w:p>
    <w:p w:rsidR="002C27D6" w:rsidRPr="007446E6">
      <w:pPr>
        <w:ind w:left="2160"/>
        <w:rPr>
          <w:rFonts w:cs="Courier New"/>
        </w:rPr>
      </w:pPr>
      <w:r w:rsidRPr="007446E6">
        <w:rPr>
          <w:rFonts w:cs="Courier New"/>
        </w:rPr>
        <w:t>the amount of actual Voltage Mar</w:t>
      </w:r>
      <w:r w:rsidRPr="007446E6">
        <w:rPr>
          <w:rFonts w:cs="Courier New"/>
        </w:rPr>
        <w:t>gin at the station multiplied by the Margin Sensitivity for the station</w:t>
      </w:r>
    </w:p>
    <w:p w:rsidR="002C27D6" w:rsidRPr="007446E6">
      <w:pPr>
        <w:ind w:left="2160"/>
        <w:rPr>
          <w:rFonts w:cs="Courier New"/>
        </w:rPr>
      </w:pPr>
    </w:p>
    <w:p w:rsidR="002C27D6" w:rsidRPr="007446E6">
      <w:pPr>
        <w:ind w:left="2160"/>
        <w:rPr>
          <w:rFonts w:cs="Courier New"/>
        </w:rPr>
      </w:pPr>
      <w:r w:rsidRPr="007446E6">
        <w:rPr>
          <w:rFonts w:cs="Courier New"/>
        </w:rPr>
        <w:t>Phase II Limit</w:t>
      </w:r>
    </w:p>
    <w:p w:rsidR="002C27D6" w:rsidRPr="007446E6">
      <w:pPr>
        <w:ind w:left="2160"/>
        <w:rPr>
          <w:rFonts w:cs="Courier New"/>
        </w:rPr>
      </w:pPr>
      <w:r w:rsidRPr="007446E6">
        <w:rPr>
          <w:rFonts w:cs="Courier New"/>
        </w:rPr>
        <w:t>=</w:t>
      </w:r>
    </w:p>
    <w:p w:rsidR="002C27D6" w:rsidRPr="007446E6">
      <w:pPr>
        <w:ind w:left="2160"/>
        <w:rPr>
          <w:rFonts w:cs="Courier New"/>
        </w:rPr>
      </w:pPr>
      <w:r w:rsidRPr="007446E6">
        <w:rPr>
          <w:rFonts w:cs="Courier New"/>
        </w:rPr>
        <w:t xml:space="preserve">Station </w:t>
      </w:r>
      <w:smartTag w:uri="urn:schemas-microsoft-com:office:smarttags" w:element="place">
        <w:smartTag w:uri="urn:schemas-microsoft-com:office:smarttags" w:element="City">
          <w:r w:rsidRPr="007446E6">
            <w:rPr>
              <w:rFonts w:cs="Courier New"/>
            </w:rPr>
            <w:t>Base</w:t>
          </w:r>
        </w:smartTag>
        <w:r w:rsidRPr="007446E6">
          <w:rPr>
            <w:rFonts w:cs="Courier New"/>
          </w:rPr>
          <w:t xml:space="preserve"> </w:t>
        </w:r>
        <w:smartTag w:uri="urn:schemas-microsoft-com:office:smarttags" w:element="State">
          <w:r w:rsidRPr="007446E6">
            <w:rPr>
              <w:rFonts w:cs="Courier New"/>
            </w:rPr>
            <w:t>NE</w:t>
          </w:r>
        </w:smartTag>
      </w:smartTag>
      <w:r w:rsidRPr="007446E6">
        <w:rPr>
          <w:rFonts w:cs="Courier New"/>
        </w:rPr>
        <w:t>/NB Contingency Limit</w:t>
      </w:r>
    </w:p>
    <w:p w:rsidR="002C27D6" w:rsidRPr="007446E6">
      <w:pPr>
        <w:ind w:left="2160"/>
        <w:rPr>
          <w:rFonts w:cs="Courier New"/>
        </w:rPr>
      </w:pPr>
      <w:r w:rsidRPr="007446E6">
        <w:rPr>
          <w:rFonts w:cs="Courier New"/>
        </w:rPr>
        <w:t>+</w:t>
      </w:r>
    </w:p>
    <w:p w:rsidR="002C27D6" w:rsidRPr="007446E6">
      <w:pPr>
        <w:ind w:left="2160"/>
        <w:rPr>
          <w:rFonts w:cs="Courier New"/>
        </w:rPr>
      </w:pPr>
      <w:r w:rsidRPr="007446E6">
        <w:rPr>
          <w:rFonts w:cs="Courier New"/>
        </w:rPr>
        <w:t>Margin Sensitivity x actual Voltage Margin</w:t>
      </w:r>
    </w:p>
    <w:p w:rsidR="002C27D6" w:rsidRPr="007446E6">
      <w:pPr>
        <w:ind w:left="2160"/>
        <w:rPr>
          <w:rFonts w:cs="Courier New"/>
        </w:rPr>
      </w:pPr>
    </w:p>
    <w:p w:rsidR="002C27D6" w:rsidRPr="007446E6" w:rsidP="002C27D6">
      <w:pPr>
        <w:ind w:left="1080"/>
        <w:rPr>
          <w:rFonts w:cs="Courier New"/>
        </w:rPr>
      </w:pPr>
      <w:r w:rsidRPr="007446E6">
        <w:rPr>
          <w:rFonts w:cs="Courier New"/>
        </w:rPr>
        <w:t>2.</w:t>
      </w:r>
      <w:r w:rsidRPr="007446E6">
        <w:rPr>
          <w:rFonts w:cs="Courier New"/>
        </w:rPr>
        <w:tab/>
      </w:r>
      <w:r w:rsidRPr="00E8419E">
        <w:rPr>
          <w:rFonts w:cs="Courier New"/>
          <w:u w:val="single"/>
        </w:rPr>
        <w:t>Phase II Limit based on NYPP Central East Flow</w:t>
      </w:r>
    </w:p>
    <w:p w:rsidR="002C27D6" w:rsidRPr="007446E6">
      <w:pPr>
        <w:rPr>
          <w:rFonts w:cs="Courier New"/>
        </w:rPr>
      </w:pPr>
    </w:p>
    <w:p w:rsidR="002C27D6" w:rsidRPr="007446E6">
      <w:pPr>
        <w:ind w:left="2160"/>
        <w:rPr>
          <w:rFonts w:cs="Courier New"/>
        </w:rPr>
      </w:pPr>
      <w:r w:rsidRPr="007446E6">
        <w:rPr>
          <w:rFonts w:cs="Courier New"/>
        </w:rPr>
        <w:t>The Phase II Limit for real time</w:t>
      </w:r>
      <w:r w:rsidRPr="007446E6">
        <w:rPr>
          <w:rFonts w:cs="Courier New"/>
        </w:rPr>
        <w:t xml:space="preserve"> conditions is </w:t>
      </w:r>
    </w:p>
    <w:p w:rsidR="002C27D6" w:rsidRPr="007446E6">
      <w:pPr>
        <w:ind w:left="2160"/>
        <w:rPr>
          <w:rFonts w:cs="Courier New"/>
        </w:rPr>
      </w:pPr>
      <w:r w:rsidRPr="007446E6">
        <w:rPr>
          <w:rFonts w:cs="Courier New"/>
        </w:rPr>
        <w:t>(the C/E Critical Transfer Level minus</w:t>
      </w:r>
    </w:p>
    <w:p w:rsidR="002C27D6" w:rsidRPr="007446E6">
      <w:pPr>
        <w:ind w:left="2160"/>
        <w:rPr>
          <w:rFonts w:cs="Courier New"/>
        </w:rPr>
      </w:pPr>
      <w:r w:rsidRPr="007446E6">
        <w:rPr>
          <w:rFonts w:cs="Courier New"/>
        </w:rPr>
        <w:t>the C/E Transfer)</w:t>
      </w:r>
    </w:p>
    <w:p w:rsidR="002C27D6" w:rsidRPr="007446E6">
      <w:pPr>
        <w:ind w:left="2160"/>
        <w:rPr>
          <w:rFonts w:cs="Courier New"/>
        </w:rPr>
      </w:pPr>
      <w:r w:rsidRPr="007446E6">
        <w:rPr>
          <w:rFonts w:cs="Courier New"/>
        </w:rPr>
        <w:tab/>
      </w:r>
      <w:r w:rsidRPr="007446E6">
        <w:rPr>
          <w:rFonts w:cs="Courier New"/>
        </w:rPr>
        <w:tab/>
        <w:t>divided by</w:t>
      </w:r>
    </w:p>
    <w:p w:rsidR="002C27D6" w:rsidRPr="007446E6">
      <w:pPr>
        <w:ind w:left="2160"/>
        <w:rPr>
          <w:rFonts w:cs="Courier New"/>
        </w:rPr>
      </w:pPr>
      <w:r w:rsidRPr="007446E6">
        <w:rPr>
          <w:rFonts w:cs="Courier New"/>
        </w:rPr>
        <w:t>the Phase II C/E Distribution Factor</w:t>
      </w:r>
    </w:p>
    <w:p w:rsidR="002C27D6" w:rsidRPr="007446E6">
      <w:pPr>
        <w:ind w:left="2160"/>
        <w:rPr>
          <w:rFonts w:cs="Courier New"/>
        </w:rPr>
      </w:pPr>
    </w:p>
    <w:p w:rsidR="002C27D6" w:rsidRPr="007446E6">
      <w:pPr>
        <w:ind w:left="2160"/>
        <w:rPr>
          <w:rFonts w:cs="Courier New"/>
        </w:rPr>
      </w:pPr>
      <w:r w:rsidRPr="007446E6">
        <w:rPr>
          <w:rFonts w:cs="Courier New"/>
        </w:rPr>
        <w:t>Phase II Limit</w:t>
      </w:r>
    </w:p>
    <w:p w:rsidR="002C27D6" w:rsidRPr="007446E6">
      <w:pPr>
        <w:ind w:left="2160"/>
        <w:rPr>
          <w:rFonts w:cs="Courier New"/>
        </w:rPr>
      </w:pPr>
      <w:r w:rsidRPr="007446E6">
        <w:rPr>
          <w:rFonts w:cs="Courier New"/>
        </w:rPr>
        <w:t>=</w:t>
      </w:r>
    </w:p>
    <w:p w:rsidR="002C27D6" w:rsidRPr="00E8419E">
      <w:pPr>
        <w:ind w:left="2160"/>
        <w:rPr>
          <w:rFonts w:cs="Courier New"/>
          <w:u w:val="single"/>
        </w:rPr>
      </w:pPr>
      <w:r w:rsidRPr="00E8419E">
        <w:rPr>
          <w:rFonts w:cs="Courier New"/>
          <w:u w:val="single"/>
        </w:rPr>
        <w:t>(C/E Crit. Transfer Level- actual C/E Transfer)</w:t>
      </w:r>
    </w:p>
    <w:p w:rsidR="002C27D6" w:rsidRPr="007446E6">
      <w:pPr>
        <w:ind w:left="2160"/>
        <w:rPr>
          <w:rFonts w:cs="Courier New"/>
        </w:rPr>
      </w:pPr>
      <w:r w:rsidRPr="007446E6">
        <w:rPr>
          <w:rFonts w:cs="Courier New"/>
        </w:rPr>
        <w:t>Phase II C/E Distribution Factor</w:t>
      </w:r>
    </w:p>
    <w:p w:rsidR="002C27D6" w:rsidRPr="007446E6">
      <w:pPr>
        <w:ind w:left="2160"/>
        <w:rPr>
          <w:rFonts w:cs="Courier New"/>
        </w:rPr>
      </w:pPr>
    </w:p>
    <w:p w:rsidR="002C27D6" w:rsidRPr="007446E6" w:rsidP="002C27D6">
      <w:pPr>
        <w:ind w:left="1080"/>
        <w:rPr>
          <w:rFonts w:cs="Courier New"/>
        </w:rPr>
      </w:pPr>
      <w:r w:rsidRPr="007446E6">
        <w:rPr>
          <w:rFonts w:cs="Courier New"/>
        </w:rPr>
        <w:t>3.</w:t>
      </w:r>
      <w:r w:rsidRPr="007446E6">
        <w:rPr>
          <w:rFonts w:cs="Courier New"/>
        </w:rPr>
        <w:tab/>
      </w:r>
      <w:r w:rsidRPr="00E8419E">
        <w:rPr>
          <w:rFonts w:cs="Courier New"/>
          <w:u w:val="single"/>
        </w:rPr>
        <w:t>Phase II Limit based on PJM in</w:t>
      </w:r>
      <w:r w:rsidRPr="00E8419E">
        <w:rPr>
          <w:rFonts w:cs="Courier New"/>
          <w:u w:val="single"/>
        </w:rPr>
        <w:t>terface flows</w:t>
      </w:r>
    </w:p>
    <w:p w:rsidR="002C27D6" w:rsidRPr="007446E6">
      <w:pPr>
        <w:rPr>
          <w:rFonts w:cs="Courier New"/>
        </w:rPr>
      </w:pPr>
    </w:p>
    <w:p w:rsidR="002C27D6" w:rsidRPr="007446E6">
      <w:pPr>
        <w:ind w:left="2160"/>
        <w:rPr>
          <w:rFonts w:cs="Courier New"/>
        </w:rPr>
      </w:pPr>
      <w:r w:rsidRPr="007446E6">
        <w:rPr>
          <w:rFonts w:cs="Courier New"/>
        </w:rPr>
        <w:t>The Phase II Limit for real time conditions for each of the three (3) PJM interfaces is the PJM Base NE/NB Contingency Limit</w:t>
      </w:r>
    </w:p>
    <w:p w:rsidR="002C27D6" w:rsidRPr="007446E6">
      <w:pPr>
        <w:ind w:left="2160"/>
        <w:rPr>
          <w:rFonts w:cs="Courier New"/>
        </w:rPr>
      </w:pPr>
      <w:r w:rsidRPr="007446E6">
        <w:rPr>
          <w:rFonts w:cs="Courier New"/>
        </w:rPr>
        <w:tab/>
      </w:r>
      <w:r w:rsidRPr="007446E6">
        <w:rPr>
          <w:rFonts w:cs="Courier New"/>
        </w:rPr>
        <w:tab/>
        <w:t>plus</w:t>
      </w:r>
    </w:p>
    <w:p w:rsidR="002C27D6" w:rsidRPr="007446E6">
      <w:pPr>
        <w:ind w:left="2160"/>
        <w:rPr>
          <w:rFonts w:cs="Courier New"/>
        </w:rPr>
      </w:pPr>
      <w:r w:rsidRPr="007446E6">
        <w:rPr>
          <w:rFonts w:cs="Courier New"/>
        </w:rPr>
        <w:t>the amount of actual Transfer Margin on the interface multiplied by the Margin Sensitivity for the interface</w:t>
      </w:r>
    </w:p>
    <w:p w:rsidR="002C27D6" w:rsidRPr="007446E6">
      <w:pPr>
        <w:ind w:left="2160"/>
        <w:rPr>
          <w:rFonts w:cs="Courier New"/>
        </w:rPr>
      </w:pPr>
    </w:p>
    <w:p w:rsidR="002C27D6" w:rsidRPr="007446E6">
      <w:pPr>
        <w:ind w:left="2160"/>
        <w:rPr>
          <w:rFonts w:cs="Courier New"/>
        </w:rPr>
      </w:pPr>
      <w:r w:rsidRPr="007446E6">
        <w:rPr>
          <w:rFonts w:cs="Courier New"/>
        </w:rPr>
        <w:t>Phase II Limit</w:t>
      </w:r>
    </w:p>
    <w:p w:rsidR="002C27D6" w:rsidRPr="007446E6">
      <w:pPr>
        <w:ind w:left="2160"/>
        <w:rPr>
          <w:rFonts w:cs="Courier New"/>
        </w:rPr>
      </w:pPr>
      <w:r w:rsidRPr="007446E6">
        <w:rPr>
          <w:rFonts w:cs="Courier New"/>
        </w:rPr>
        <w:t>=</w:t>
      </w:r>
    </w:p>
    <w:p w:rsidR="002C27D6" w:rsidRPr="007446E6">
      <w:pPr>
        <w:ind w:left="2160"/>
        <w:rPr>
          <w:rFonts w:cs="Courier New"/>
        </w:rPr>
      </w:pPr>
      <w:r w:rsidRPr="007446E6">
        <w:rPr>
          <w:rFonts w:cs="Courier New"/>
        </w:rPr>
        <w:t xml:space="preserve">PJM </w:t>
      </w:r>
      <w:smartTag w:uri="urn:schemas-microsoft-com:office:smarttags" w:element="place">
        <w:smartTag w:uri="urn:schemas-microsoft-com:office:smarttags" w:element="City">
          <w:r w:rsidRPr="007446E6">
            <w:rPr>
              <w:rFonts w:cs="Courier New"/>
            </w:rPr>
            <w:t>Base</w:t>
          </w:r>
        </w:smartTag>
        <w:r w:rsidRPr="007446E6">
          <w:rPr>
            <w:rFonts w:cs="Courier New"/>
          </w:rPr>
          <w:t xml:space="preserve"> </w:t>
        </w:r>
        <w:smartTag w:uri="urn:schemas-microsoft-com:office:smarttags" w:element="State">
          <w:r w:rsidRPr="007446E6">
            <w:rPr>
              <w:rFonts w:cs="Courier New"/>
            </w:rPr>
            <w:t>NE</w:t>
          </w:r>
        </w:smartTag>
      </w:smartTag>
      <w:r w:rsidRPr="007446E6">
        <w:rPr>
          <w:rFonts w:cs="Courier New"/>
        </w:rPr>
        <w:t>/NB Contingency Limit</w:t>
      </w:r>
    </w:p>
    <w:p w:rsidR="002C27D6" w:rsidRPr="007446E6">
      <w:pPr>
        <w:ind w:left="2160"/>
        <w:rPr>
          <w:rFonts w:cs="Courier New"/>
        </w:rPr>
      </w:pPr>
      <w:r w:rsidRPr="007446E6">
        <w:rPr>
          <w:rFonts w:cs="Courier New"/>
        </w:rPr>
        <w:t>+</w:t>
      </w:r>
    </w:p>
    <w:p w:rsidR="002C27D6" w:rsidRPr="007446E6">
      <w:pPr>
        <w:ind w:left="2160"/>
        <w:rPr>
          <w:rFonts w:cs="Courier New"/>
        </w:rPr>
      </w:pPr>
      <w:r w:rsidRPr="007446E6">
        <w:rPr>
          <w:rFonts w:cs="Courier New"/>
        </w:rPr>
        <w:t>Transfer Margin x Margin Sensitivity</w:t>
      </w:r>
    </w:p>
    <w:p w:rsidR="002C27D6" w:rsidRPr="007446E6">
      <w:pPr>
        <w:rPr>
          <w:rFonts w:cs="Courier New"/>
        </w:rPr>
      </w:pPr>
    </w:p>
    <w:sectPr w:rsidSect="00DC4E9C">
      <w:headerReference w:type="even" r:id="rId4"/>
      <w:headerReference w:type="default" r:id="rId5"/>
      <w:footerReference w:type="even" r:id="rId6"/>
      <w:footerReference w:type="default" r:id="rId7"/>
      <w:headerReference w:type="first" r:id="rId8"/>
      <w:footerReference w:type="first" r:id="rId9"/>
      <w:pgSz w:w="12240" w:h="15840"/>
      <w:pgMar w:top="144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33 OATT Attachment AA - Procedure To Protect For The Loss Of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33 OATT Attachment AA - Procedure To Protect For The Loss Of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33 OATT Attachment AA - Procedure To Protect For The Loss Of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CD6"/>
    <w:multiLevelType w:val="multilevel"/>
    <w:tmpl w:val="C958C4FC"/>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B6731FE"/>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914AB3"/>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5F16C1"/>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8A53EF"/>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3B52EC"/>
    <w:multiLevelType w:val="hybridMultilevel"/>
    <w:tmpl w:val="CF687D28"/>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AFB1252"/>
    <w:multiLevelType w:val="multilevel"/>
    <w:tmpl w:val="3DAC5BF8"/>
    <w:lvl w:ilvl="0">
      <w:start w:val="1"/>
      <w:numFmt w:val="upperLetter"/>
      <w:lvlText w:val="%1."/>
      <w:lvlJc w:val="left"/>
      <w:pPr>
        <w:tabs>
          <w:tab w:val="num" w:pos="1080"/>
        </w:tabs>
        <w:ind w:left="1080" w:hanging="720"/>
      </w:pPr>
      <w:rPr>
        <w:rFonts w:hint="default"/>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BAA656F"/>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8A75DC"/>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3904FA"/>
    <w:multiLevelType w:val="multilevel"/>
    <w:tmpl w:val="C958C4FC"/>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98D11F3"/>
    <w:multiLevelType w:val="hybridMultilevel"/>
    <w:tmpl w:val="8A20629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FC48A5"/>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321161D"/>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3D168E1"/>
    <w:multiLevelType w:val="multilevel"/>
    <w:tmpl w:val="F5FA2840"/>
    <w:lvl w:ilvl="0">
      <w:start w:val="1"/>
      <w:numFmt w:val="upperRoman"/>
      <w:lvlText w:val="%1."/>
      <w:lvlJc w:val="right"/>
      <w:pPr>
        <w:tabs>
          <w:tab w:val="num" w:pos="1447"/>
        </w:tabs>
        <w:ind w:left="1447"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9313267"/>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EFA0B32"/>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20E1DE4"/>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4D12D8C"/>
    <w:multiLevelType w:val="hybrid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EBD41C7"/>
    <w:multiLevelType w:val="multilevel"/>
    <w:tmpl w:val="F5FA2840"/>
    <w:lvl w:ilvl="0">
      <w:start w:val="1"/>
      <w:numFmt w:val="upperRoman"/>
      <w:lvlText w:val="%1."/>
      <w:lvlJc w:val="right"/>
      <w:pPr>
        <w:tabs>
          <w:tab w:val="num" w:pos="1447"/>
        </w:tabs>
        <w:ind w:left="1447"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2D55384"/>
    <w:multiLevelType w:val="hybridMultilevel"/>
    <w:tmpl w:val="C958C4FC"/>
    <w:lvl w:ilvl="0">
      <w:start w:val="1"/>
      <w:numFmt w:val="lowerLetter"/>
      <w:lvlText w:val="%1."/>
      <w:lvlJc w:val="left"/>
      <w:pPr>
        <w:tabs>
          <w:tab w:val="num" w:pos="2160"/>
        </w:tabs>
        <w:ind w:left="2160" w:hanging="36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820191"/>
    <w:multiLevelType w:val="multilevel"/>
    <w:tmpl w:val="8A20629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6C6B01"/>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78276D5"/>
    <w:multiLevelType w:val="hybrid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8286F8C"/>
    <w:multiLevelType w:val="hybridMultilevel"/>
    <w:tmpl w:val="F5FA2840"/>
    <w:lvl w:ilvl="0">
      <w:start w:val="1"/>
      <w:numFmt w:val="upperRoman"/>
      <w:lvlText w:val="%1."/>
      <w:lvlJc w:val="right"/>
      <w:pPr>
        <w:tabs>
          <w:tab w:val="num" w:pos="1447"/>
        </w:tabs>
        <w:ind w:left="1447"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EC239A8"/>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35"/>
  </w:num>
  <w:num w:numId="3">
    <w:abstractNumId w:val="6"/>
  </w:num>
  <w:num w:numId="4">
    <w:abstractNumId w:val="36"/>
  </w:num>
  <w:num w:numId="5">
    <w:abstractNumId w:val="26"/>
  </w:num>
  <w:num w:numId="6">
    <w:abstractNumId w:val="28"/>
  </w:num>
  <w:num w:numId="7">
    <w:abstractNumId w:val="8"/>
  </w:num>
  <w:num w:numId="8">
    <w:abstractNumId w:val="38"/>
  </w:num>
  <w:num w:numId="9">
    <w:abstractNumId w:val="25"/>
  </w:num>
  <w:num w:numId="10">
    <w:abstractNumId w:val="22"/>
  </w:num>
  <w:num w:numId="11">
    <w:abstractNumId w:val="4"/>
  </w:num>
  <w:num w:numId="12">
    <w:abstractNumId w:val="32"/>
  </w:num>
  <w:num w:numId="13">
    <w:abstractNumId w:val="10"/>
  </w:num>
  <w:num w:numId="14">
    <w:abstractNumId w:val="16"/>
  </w:num>
  <w:num w:numId="15">
    <w:abstractNumId w:val="19"/>
  </w:num>
  <w:num w:numId="16">
    <w:abstractNumId w:val="3"/>
  </w:num>
  <w:num w:numId="17">
    <w:abstractNumId w:val="24"/>
  </w:num>
  <w:num w:numId="18">
    <w:abstractNumId w:val="27"/>
  </w:num>
  <w:num w:numId="19">
    <w:abstractNumId w:val="20"/>
  </w:num>
  <w:num w:numId="20">
    <w:abstractNumId w:val="34"/>
  </w:num>
  <w:num w:numId="21">
    <w:abstractNumId w:val="2"/>
  </w:num>
  <w:num w:numId="22">
    <w:abstractNumId w:val="11"/>
  </w:num>
  <w:num w:numId="23">
    <w:abstractNumId w:val="0"/>
  </w:num>
  <w:num w:numId="24">
    <w:abstractNumId w:val="5"/>
  </w:num>
  <w:num w:numId="25">
    <w:abstractNumId w:val="9"/>
  </w:num>
  <w:num w:numId="26">
    <w:abstractNumId w:val="33"/>
  </w:num>
  <w:num w:numId="27">
    <w:abstractNumId w:val="15"/>
  </w:num>
  <w:num w:numId="28">
    <w:abstractNumId w:val="17"/>
  </w:num>
  <w:num w:numId="29">
    <w:abstractNumId w:val="30"/>
  </w:num>
  <w:num w:numId="30">
    <w:abstractNumId w:val="14"/>
  </w:num>
  <w:num w:numId="31">
    <w:abstractNumId w:val="31"/>
  </w:num>
  <w:num w:numId="32">
    <w:abstractNumId w:val="23"/>
  </w:num>
  <w:num w:numId="33">
    <w:abstractNumId w:val="21"/>
  </w:num>
  <w:num w:numId="34">
    <w:abstractNumId w:val="18"/>
  </w:num>
  <w:num w:numId="35">
    <w:abstractNumId w:val="1"/>
  </w:num>
  <w:num w:numId="36">
    <w:abstractNumId w:val="12"/>
  </w:num>
  <w:num w:numId="37">
    <w:abstractNumId w:val="29"/>
  </w:num>
  <w:num w:numId="38">
    <w:abstractNumId w:val="37"/>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6DD7"/>
    <w:rsid w:val="00006A1C"/>
    <w:rsid w:val="00016DD7"/>
    <w:rsid w:val="002749E8"/>
    <w:rsid w:val="002C27D6"/>
    <w:rsid w:val="005C6021"/>
    <w:rsid w:val="0067698D"/>
    <w:rsid w:val="007446E6"/>
    <w:rsid w:val="009A0DD7"/>
    <w:rsid w:val="00CA53BD"/>
    <w:rsid w:val="00D12FCA"/>
    <w:rsid w:val="00DC4E9C"/>
    <w:rsid w:val="00E13302"/>
    <w:rsid w:val="00E8419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9A6"/>
    <w:pPr>
      <w:widowControl w:val="0"/>
    </w:pPr>
    <w:rPr>
      <w:snapToGrid w:val="0"/>
      <w:sz w:val="24"/>
    </w:rPr>
  </w:style>
  <w:style w:type="paragraph" w:styleId="Heading1">
    <w:name w:val="heading 1"/>
    <w:basedOn w:val="Normal"/>
    <w:next w:val="Normal"/>
    <w:link w:val="Heading1Char"/>
    <w:qFormat/>
    <w:rsid w:val="00FB69A6"/>
    <w:pPr>
      <w:keepNext/>
      <w:spacing w:before="240" w:after="240"/>
      <w:ind w:left="720" w:hanging="720"/>
      <w:outlineLvl w:val="0"/>
    </w:pPr>
    <w:rPr>
      <w:b/>
    </w:rPr>
  </w:style>
  <w:style w:type="paragraph" w:styleId="Heading2">
    <w:name w:val="heading 2"/>
    <w:basedOn w:val="Normal"/>
    <w:next w:val="Normal"/>
    <w:qFormat/>
    <w:rsid w:val="00FB69A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B69A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B69A6"/>
    <w:pPr>
      <w:keepNext/>
      <w:tabs>
        <w:tab w:val="left" w:pos="1800"/>
      </w:tabs>
      <w:spacing w:before="240" w:after="240"/>
      <w:ind w:left="1800" w:hanging="1080"/>
      <w:outlineLvl w:val="3"/>
    </w:pPr>
    <w:rPr>
      <w:b/>
    </w:rPr>
  </w:style>
  <w:style w:type="paragraph" w:styleId="Heading5">
    <w:name w:val="heading 5"/>
    <w:basedOn w:val="Normal"/>
    <w:next w:val="Normal"/>
    <w:qFormat/>
    <w:rsid w:val="00FB69A6"/>
    <w:pPr>
      <w:keepNext/>
      <w:spacing w:line="480" w:lineRule="auto"/>
      <w:ind w:left="1440" w:right="-90" w:hanging="720"/>
      <w:outlineLvl w:val="4"/>
    </w:pPr>
    <w:rPr>
      <w:b/>
    </w:rPr>
  </w:style>
  <w:style w:type="paragraph" w:styleId="Heading6">
    <w:name w:val="heading 6"/>
    <w:basedOn w:val="Normal"/>
    <w:next w:val="Normal"/>
    <w:qFormat/>
    <w:rsid w:val="00FB69A6"/>
    <w:pPr>
      <w:keepNext/>
      <w:spacing w:line="480" w:lineRule="auto"/>
      <w:ind w:left="1080" w:right="-90" w:hanging="360"/>
      <w:outlineLvl w:val="5"/>
    </w:pPr>
    <w:rPr>
      <w:b/>
    </w:rPr>
  </w:style>
  <w:style w:type="paragraph" w:styleId="Heading7">
    <w:name w:val="heading 7"/>
    <w:basedOn w:val="Normal"/>
    <w:next w:val="Normal"/>
    <w:qFormat/>
    <w:rsid w:val="00FB69A6"/>
    <w:pPr>
      <w:keepNext/>
      <w:spacing w:line="480" w:lineRule="auto"/>
      <w:ind w:left="720" w:right="630"/>
      <w:outlineLvl w:val="6"/>
    </w:pPr>
    <w:rPr>
      <w:b/>
    </w:rPr>
  </w:style>
  <w:style w:type="paragraph" w:styleId="Heading8">
    <w:name w:val="heading 8"/>
    <w:basedOn w:val="Normal"/>
    <w:next w:val="Normal"/>
    <w:qFormat/>
    <w:rsid w:val="00FB69A6"/>
    <w:pPr>
      <w:keepNext/>
      <w:spacing w:line="480" w:lineRule="auto"/>
      <w:ind w:left="720" w:right="-90"/>
      <w:outlineLvl w:val="7"/>
    </w:pPr>
    <w:rPr>
      <w:b/>
    </w:rPr>
  </w:style>
  <w:style w:type="paragraph" w:styleId="Heading9">
    <w:name w:val="heading 9"/>
    <w:basedOn w:val="Normal"/>
    <w:next w:val="Normal"/>
    <w:qFormat/>
    <w:rsid w:val="00FB69A6"/>
    <w:pPr>
      <w:keepNext/>
      <w:spacing w:line="480" w:lineRule="auto"/>
      <w:ind w:right="630" w:firstLine="720"/>
      <w:outlineLvl w:val="8"/>
    </w:pPr>
    <w:rPr>
      <w:b/>
    </w:rPr>
  </w:style>
  <w:style w:type="character" w:default="1" w:styleId="DefaultParagraphFont">
    <w:name w:val="Default Paragraph Font"/>
    <w:uiPriority w:val="1"/>
    <w:semiHidden/>
    <w:unhideWhenUsed/>
    <w:rsid w:val="00FB69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FB69A6"/>
  </w:style>
  <w:style w:type="paragraph" w:customStyle="1" w:styleId="subheadwH2formatting">
    <w:name w:val="subhead w H2 formatting"/>
    <w:basedOn w:val="Heading2"/>
    <w:rsid w:val="009A0DD7"/>
    <w:pPr>
      <w:pageBreakBefore/>
    </w:pPr>
  </w:style>
  <w:style w:type="character" w:customStyle="1" w:styleId="Heading1Char">
    <w:name w:val="Heading 1 Char"/>
    <w:basedOn w:val="DefaultParagraphFont"/>
    <w:link w:val="Heading1"/>
    <w:rsid w:val="00FB69A6"/>
    <w:rPr>
      <w:b/>
      <w:snapToGrid w:val="0"/>
      <w:sz w:val="24"/>
    </w:rPr>
  </w:style>
  <w:style w:type="character" w:customStyle="1" w:styleId="Heading3Char1">
    <w:name w:val="Heading 3 Char1"/>
    <w:basedOn w:val="DefaultParagraphFont"/>
    <w:link w:val="Heading3"/>
    <w:rsid w:val="00FB69A6"/>
    <w:rPr>
      <w:b/>
      <w:snapToGrid w:val="0"/>
      <w:sz w:val="24"/>
    </w:rPr>
  </w:style>
  <w:style w:type="paragraph" w:styleId="TOC5">
    <w:name w:val="toc 5"/>
    <w:basedOn w:val="Normal"/>
    <w:next w:val="Normal"/>
    <w:rsid w:val="00FB69A6"/>
    <w:pPr>
      <w:widowControl/>
      <w:ind w:left="960"/>
    </w:pPr>
    <w:rPr>
      <w:snapToGrid/>
      <w:szCs w:val="24"/>
    </w:rPr>
  </w:style>
  <w:style w:type="paragraph" w:styleId="Header">
    <w:name w:val="header"/>
    <w:basedOn w:val="Normal"/>
    <w:rsid w:val="00FB69A6"/>
    <w:pPr>
      <w:widowControl/>
      <w:tabs>
        <w:tab w:val="center" w:pos="4680"/>
        <w:tab w:val="right" w:pos="9360"/>
      </w:tabs>
    </w:pPr>
    <w:rPr>
      <w:snapToGrid/>
      <w:szCs w:val="24"/>
    </w:rPr>
  </w:style>
  <w:style w:type="paragraph" w:styleId="Footer">
    <w:name w:val="footer"/>
    <w:basedOn w:val="Normal"/>
    <w:rsid w:val="00FB69A6"/>
    <w:pPr>
      <w:tabs>
        <w:tab w:val="center" w:pos="4320"/>
        <w:tab w:val="right" w:pos="8640"/>
      </w:tabs>
    </w:pPr>
  </w:style>
  <w:style w:type="character" w:customStyle="1" w:styleId="Heading3Char">
    <w:name w:val="Heading 3 Char"/>
    <w:basedOn w:val="DefaultParagraphFont"/>
    <w:rsid w:val="00FB69A6"/>
    <w:rPr>
      <w:b/>
      <w:snapToGrid w:val="0"/>
      <w:sz w:val="24"/>
      <w:lang w:val="en-US" w:eastAsia="en-US" w:bidi="ar-SA"/>
    </w:rPr>
  </w:style>
  <w:style w:type="character" w:styleId="FootnoteReference">
    <w:name w:val="footnote reference"/>
    <w:semiHidden/>
    <w:rsid w:val="00FB69A6"/>
  </w:style>
  <w:style w:type="paragraph" w:customStyle="1" w:styleId="Level1">
    <w:name w:val="Level 1"/>
    <w:basedOn w:val="Normal"/>
    <w:rsid w:val="00FC32F8"/>
    <w:pPr>
      <w:ind w:left="1890" w:hanging="720"/>
    </w:pPr>
  </w:style>
  <w:style w:type="paragraph" w:customStyle="1" w:styleId="Definition">
    <w:name w:val="Definition"/>
    <w:basedOn w:val="Normal"/>
    <w:rsid w:val="00FB69A6"/>
    <w:pPr>
      <w:widowControl/>
      <w:spacing w:before="240" w:after="240"/>
    </w:pPr>
  </w:style>
  <w:style w:type="paragraph" w:customStyle="1" w:styleId="Definitionindent">
    <w:name w:val="Definition indent"/>
    <w:basedOn w:val="Definition"/>
    <w:rsid w:val="00FB69A6"/>
    <w:pPr>
      <w:spacing w:before="120" w:after="120"/>
      <w:ind w:left="720"/>
    </w:pPr>
  </w:style>
  <w:style w:type="paragraph" w:customStyle="1" w:styleId="Bodypara">
    <w:name w:val="Body para"/>
    <w:basedOn w:val="Normal"/>
    <w:link w:val="BodyparaChar"/>
    <w:rsid w:val="00FB69A6"/>
    <w:pPr>
      <w:spacing w:line="480" w:lineRule="auto"/>
      <w:ind w:firstLine="720"/>
    </w:pPr>
  </w:style>
  <w:style w:type="paragraph" w:customStyle="1" w:styleId="alphapara">
    <w:name w:val="alpha para"/>
    <w:basedOn w:val="Bodypara"/>
    <w:rsid w:val="00FB69A6"/>
    <w:pPr>
      <w:ind w:left="1440" w:hanging="720"/>
    </w:pPr>
  </w:style>
  <w:style w:type="paragraph" w:styleId="Date">
    <w:name w:val="Date"/>
    <w:basedOn w:val="Normal"/>
    <w:next w:val="Normal"/>
    <w:rsid w:val="00FB69A6"/>
    <w:pPr>
      <w:widowControl/>
    </w:pPr>
  </w:style>
  <w:style w:type="paragraph" w:customStyle="1" w:styleId="TOCheading">
    <w:name w:val="TOC heading"/>
    <w:basedOn w:val="Normal"/>
    <w:rsid w:val="00FB69A6"/>
    <w:pPr>
      <w:spacing w:before="240" w:after="240"/>
    </w:pPr>
    <w:rPr>
      <w:b/>
    </w:rPr>
  </w:style>
  <w:style w:type="paragraph" w:styleId="DocumentMap">
    <w:name w:val="Document Map"/>
    <w:basedOn w:val="Normal"/>
    <w:semiHidden/>
    <w:rsid w:val="00FB69A6"/>
    <w:pPr>
      <w:shd w:val="clear" w:color="auto" w:fill="000080"/>
    </w:pPr>
    <w:rPr>
      <w:rFonts w:ascii="Tahoma" w:hAnsi="Tahoma" w:cs="Tahoma"/>
      <w:sz w:val="20"/>
    </w:rPr>
  </w:style>
  <w:style w:type="paragraph" w:styleId="BalloonText">
    <w:name w:val="Balloon Text"/>
    <w:basedOn w:val="Normal"/>
    <w:semiHidden/>
    <w:rsid w:val="00FB69A6"/>
    <w:rPr>
      <w:rFonts w:ascii="Tahoma" w:hAnsi="Tahoma" w:cs="Tahoma"/>
      <w:sz w:val="16"/>
      <w:szCs w:val="16"/>
    </w:rPr>
  </w:style>
  <w:style w:type="paragraph" w:customStyle="1" w:styleId="Footers">
    <w:name w:val="Footers"/>
    <w:basedOn w:val="Heading1"/>
    <w:rsid w:val="00FB69A6"/>
    <w:pPr>
      <w:tabs>
        <w:tab w:val="left" w:pos="1440"/>
        <w:tab w:val="left" w:pos="7020"/>
        <w:tab w:val="right" w:pos="9360"/>
      </w:tabs>
    </w:pPr>
    <w:rPr>
      <w:b w:val="0"/>
      <w:sz w:val="20"/>
    </w:rPr>
  </w:style>
  <w:style w:type="paragraph" w:customStyle="1" w:styleId="subhead">
    <w:name w:val="subhead"/>
    <w:basedOn w:val="Heading4"/>
    <w:rsid w:val="00FB69A6"/>
    <w:pPr>
      <w:tabs>
        <w:tab w:val="clear" w:pos="1800"/>
      </w:tabs>
      <w:ind w:left="720" w:firstLine="0"/>
    </w:pPr>
  </w:style>
  <w:style w:type="paragraph" w:customStyle="1" w:styleId="alphaheading">
    <w:name w:val="alpha heading"/>
    <w:basedOn w:val="Normal"/>
    <w:rsid w:val="00FB69A6"/>
    <w:pPr>
      <w:keepNext/>
      <w:tabs>
        <w:tab w:val="left" w:pos="1440"/>
      </w:tabs>
      <w:spacing w:before="240" w:after="240"/>
      <w:ind w:left="1440" w:hanging="720"/>
    </w:pPr>
    <w:rPr>
      <w:b/>
      <w:szCs w:val="24"/>
    </w:rPr>
  </w:style>
  <w:style w:type="paragraph" w:customStyle="1" w:styleId="romannumeralpara">
    <w:name w:val="roman numeral para"/>
    <w:basedOn w:val="Normal"/>
    <w:rsid w:val="00FB69A6"/>
    <w:pPr>
      <w:spacing w:line="480" w:lineRule="auto"/>
      <w:ind w:left="1440" w:hanging="720"/>
    </w:pPr>
  </w:style>
  <w:style w:type="paragraph" w:customStyle="1" w:styleId="Bulletpara">
    <w:name w:val="Bullet para"/>
    <w:basedOn w:val="Normal"/>
    <w:rsid w:val="00FB69A6"/>
    <w:pPr>
      <w:widowControl/>
      <w:numPr>
        <w:numId w:val="35"/>
      </w:numPr>
      <w:tabs>
        <w:tab w:val="left" w:pos="900"/>
      </w:tabs>
      <w:spacing w:before="120" w:after="120"/>
    </w:pPr>
    <w:rPr>
      <w:szCs w:val="24"/>
    </w:rPr>
  </w:style>
  <w:style w:type="paragraph" w:styleId="TOC1">
    <w:name w:val="toc 1"/>
    <w:basedOn w:val="Normal"/>
    <w:next w:val="Normal"/>
    <w:semiHidden/>
    <w:rsid w:val="00FB69A6"/>
  </w:style>
  <w:style w:type="paragraph" w:customStyle="1" w:styleId="Tarifftitle">
    <w:name w:val="Tariff title"/>
    <w:basedOn w:val="Normal"/>
    <w:rsid w:val="00FB69A6"/>
    <w:rPr>
      <w:b/>
      <w:sz w:val="28"/>
      <w:szCs w:val="28"/>
    </w:rPr>
  </w:style>
  <w:style w:type="paragraph" w:styleId="TOC2">
    <w:name w:val="toc 2"/>
    <w:basedOn w:val="Normal"/>
    <w:next w:val="Normal"/>
    <w:semiHidden/>
    <w:rsid w:val="00FB69A6"/>
    <w:pPr>
      <w:ind w:left="240"/>
    </w:pPr>
  </w:style>
  <w:style w:type="character" w:styleId="Hyperlink">
    <w:name w:val="Hyperlink"/>
    <w:basedOn w:val="DefaultParagraphFont"/>
    <w:rsid w:val="00FB69A6"/>
    <w:rPr>
      <w:color w:val="0000FF"/>
      <w:u w:val="single"/>
    </w:rPr>
  </w:style>
  <w:style w:type="paragraph" w:styleId="TOC3">
    <w:name w:val="toc 3"/>
    <w:basedOn w:val="Normal"/>
    <w:next w:val="Normal"/>
    <w:semiHidden/>
    <w:rsid w:val="00FB69A6"/>
    <w:pPr>
      <w:ind w:left="480"/>
    </w:pPr>
  </w:style>
  <w:style w:type="paragraph" w:styleId="TOC4">
    <w:name w:val="toc 4"/>
    <w:basedOn w:val="Normal"/>
    <w:next w:val="Normal"/>
    <w:semiHidden/>
    <w:rsid w:val="00FB69A6"/>
    <w:pPr>
      <w:ind w:left="720"/>
    </w:pPr>
  </w:style>
  <w:style w:type="paragraph" w:styleId="TOC6">
    <w:name w:val="toc 6"/>
    <w:basedOn w:val="Normal"/>
    <w:next w:val="Normal"/>
    <w:rsid w:val="00FB69A6"/>
    <w:pPr>
      <w:widowControl/>
      <w:ind w:left="1200"/>
    </w:pPr>
    <w:rPr>
      <w:snapToGrid/>
      <w:szCs w:val="24"/>
    </w:rPr>
  </w:style>
  <w:style w:type="paragraph" w:styleId="TOC7">
    <w:name w:val="toc 7"/>
    <w:basedOn w:val="Normal"/>
    <w:next w:val="Normal"/>
    <w:rsid w:val="00FB69A6"/>
    <w:pPr>
      <w:widowControl/>
      <w:ind w:left="1440"/>
    </w:pPr>
    <w:rPr>
      <w:snapToGrid/>
      <w:szCs w:val="24"/>
    </w:rPr>
  </w:style>
  <w:style w:type="paragraph" w:styleId="TOC8">
    <w:name w:val="toc 8"/>
    <w:basedOn w:val="Normal"/>
    <w:next w:val="Normal"/>
    <w:rsid w:val="00FB69A6"/>
    <w:pPr>
      <w:widowControl/>
      <w:ind w:left="1680"/>
    </w:pPr>
    <w:rPr>
      <w:snapToGrid/>
      <w:szCs w:val="24"/>
    </w:rPr>
  </w:style>
  <w:style w:type="paragraph" w:styleId="TOC9">
    <w:name w:val="toc 9"/>
    <w:basedOn w:val="Normal"/>
    <w:next w:val="Normal"/>
    <w:rsid w:val="00FB69A6"/>
    <w:pPr>
      <w:widowControl/>
      <w:ind w:left="1920"/>
    </w:pPr>
    <w:rPr>
      <w:snapToGrid/>
      <w:szCs w:val="24"/>
    </w:rPr>
  </w:style>
  <w:style w:type="paragraph" w:customStyle="1" w:styleId="a">
    <w:name w:val="_"/>
    <w:basedOn w:val="Normal"/>
    <w:rsid w:val="00FB69A6"/>
    <w:pPr>
      <w:ind w:left="1800" w:hanging="630"/>
    </w:pPr>
  </w:style>
  <w:style w:type="character" w:styleId="CommentReference">
    <w:name w:val="annotation reference"/>
    <w:basedOn w:val="DefaultParagraphFont"/>
    <w:rsid w:val="00FB69A6"/>
    <w:rPr>
      <w:sz w:val="16"/>
      <w:szCs w:val="16"/>
    </w:rPr>
  </w:style>
  <w:style w:type="paragraph" w:styleId="CommentText">
    <w:name w:val="annotation text"/>
    <w:basedOn w:val="Normal"/>
    <w:link w:val="CommentTextChar"/>
    <w:rsid w:val="00FB69A6"/>
    <w:rPr>
      <w:sz w:val="20"/>
    </w:rPr>
  </w:style>
  <w:style w:type="character" w:customStyle="1" w:styleId="CommentTextChar">
    <w:name w:val="Comment Text Char"/>
    <w:basedOn w:val="DefaultParagraphFont"/>
    <w:link w:val="CommentText"/>
    <w:rsid w:val="00FB69A6"/>
    <w:rPr>
      <w:snapToGrid w:val="0"/>
    </w:rPr>
  </w:style>
  <w:style w:type="paragraph" w:styleId="CommentSubject">
    <w:name w:val="annotation subject"/>
    <w:basedOn w:val="CommentText"/>
    <w:next w:val="CommentText"/>
    <w:link w:val="CommentSubjectChar"/>
    <w:rsid w:val="00FB69A6"/>
    <w:rPr>
      <w:b/>
      <w:bCs/>
    </w:rPr>
  </w:style>
  <w:style w:type="character" w:customStyle="1" w:styleId="CommentSubjectChar">
    <w:name w:val="Comment Subject Char"/>
    <w:basedOn w:val="CommentTextChar"/>
    <w:link w:val="CommentSubject"/>
    <w:rsid w:val="00FB69A6"/>
    <w:rPr>
      <w:b/>
      <w:bCs/>
    </w:rPr>
  </w:style>
  <w:style w:type="character" w:styleId="PageNumber">
    <w:name w:val="page number"/>
    <w:basedOn w:val="DefaultParagraphFont"/>
    <w:rsid w:val="00FB69A6"/>
  </w:style>
  <w:style w:type="paragraph" w:styleId="BodyTextIndent">
    <w:name w:val="Body Text Indent"/>
    <w:aliases w:val="bi"/>
    <w:basedOn w:val="Normal"/>
    <w:link w:val="BodyTextIndentChar"/>
    <w:rsid w:val="00FB6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basedOn w:val="DefaultParagraphFont"/>
    <w:link w:val="BodyTextIndent"/>
    <w:rsid w:val="00FB69A6"/>
    <w:rPr>
      <w:snapToGrid w:val="0"/>
      <w:sz w:val="24"/>
    </w:rPr>
  </w:style>
  <w:style w:type="character" w:customStyle="1" w:styleId="BodyparaChar">
    <w:name w:val="Body para Char"/>
    <w:basedOn w:val="DefaultParagraphFont"/>
    <w:link w:val="Bodypara"/>
    <w:rsid w:val="00FB69A6"/>
    <w:rPr>
      <w:snapToGrid w:val="0"/>
      <w:sz w:val="24"/>
    </w:rPr>
  </w:style>
  <w:style w:type="table" w:styleId="TableGrid">
    <w:name w:val="Table Grid"/>
    <w:basedOn w:val="TableNormal"/>
    <w:rsid w:val="00FB6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33</vt:lpstr>
    </vt:vector>
  </TitlesOfParts>
  <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dc:title>
  <cp:revision>1</cp:revision>
  <cp:lastPrinted>2007-05-30T22:09:00Z</cp:lastPrinted>
  <dcterms:created xsi:type="dcterms:W3CDTF">2016-09-04T00:42:00Z</dcterms:created>
  <dcterms:modified xsi:type="dcterms:W3CDTF">2016-09-04T00:42:00Z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