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09" w:rsidRDefault="00D060B7">
      <w:pPr>
        <w:pStyle w:val="Heading2"/>
        <w:pageBreakBefore/>
      </w:pPr>
      <w:bookmarkStart w:id="0" w:name="_Toc261439777"/>
      <w:bookmarkStart w:id="1" w:name="_Toc285718075"/>
      <w:bookmarkStart w:id="2" w:name="_GoBack"/>
      <w:bookmarkEnd w:id="2"/>
      <w:r>
        <w:t>31.3</w:t>
      </w:r>
      <w:bookmarkStart w:id="3" w:name="_Hlt260747600"/>
      <w:bookmarkEnd w:id="3"/>
      <w:r>
        <w:tab/>
        <w:t>Economic Planning Process</w:t>
      </w:r>
      <w:bookmarkEnd w:id="0"/>
      <w:bookmarkEnd w:id="1"/>
      <w:r w:rsidRPr="00C12D5F">
        <w:rPr>
          <w:vertAlign w:val="superscript"/>
        </w:rPr>
        <w:t>1</w:t>
      </w:r>
    </w:p>
    <w:p w:rsidR="003C7C09" w:rsidRDefault="00D060B7">
      <w:pPr>
        <w:pStyle w:val="Heading3"/>
      </w:pPr>
      <w:bookmarkStart w:id="4" w:name="_Toc261439778"/>
      <w:bookmarkStart w:id="5" w:name="_Toc285718076"/>
      <w:r>
        <w:t>31.3.1</w:t>
      </w:r>
      <w:r>
        <w:tab/>
        <w:t>Congestion Assessment and Resource Integration Study for Economic Planning</w:t>
      </w:r>
      <w:bookmarkEnd w:id="4"/>
      <w:bookmarkEnd w:id="5"/>
    </w:p>
    <w:p w:rsidR="003C7C09" w:rsidRDefault="00D060B7">
      <w:pPr>
        <w:pStyle w:val="Heading4"/>
      </w:pPr>
      <w:bookmarkStart w:id="6" w:name="_Toc261439779"/>
      <w:bookmarkStart w:id="7" w:name="_Toc285718077"/>
      <w:r>
        <w:t>31.3.1.1</w:t>
      </w:r>
      <w:r>
        <w:tab/>
        <w:t>General</w:t>
      </w:r>
      <w:bookmarkEnd w:id="6"/>
      <w:bookmarkEnd w:id="7"/>
    </w:p>
    <w:p w:rsidR="003C7C09" w:rsidRDefault="00D060B7">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6647E2" w:rsidRDefault="00D060B7">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3C7C09" w:rsidRDefault="00D060B7">
      <w:pPr>
        <w:pStyle w:val="Bodypara"/>
      </w:pPr>
      <w:r>
        <w:t xml:space="preserve">The CARIS will align with the reliability planning process.  </w:t>
      </w:r>
    </w:p>
    <w:p w:rsidR="003C7C09" w:rsidRDefault="00D060B7">
      <w:pPr>
        <w:pStyle w:val="Heading4"/>
      </w:pPr>
      <w:bookmarkStart w:id="8" w:name="_Toc261439780"/>
      <w:bookmarkStart w:id="9" w:name="_Toc285718078"/>
      <w:r>
        <w:t>31.3.1.2</w:t>
      </w:r>
      <w:r>
        <w:tab/>
        <w:t>Interested Party Participation in the Development of t</w:t>
      </w:r>
      <w:r>
        <w:t>he CARIS</w:t>
      </w:r>
      <w:bookmarkEnd w:id="8"/>
      <w:bookmarkEnd w:id="9"/>
    </w:p>
    <w:p w:rsidR="003C7C09" w:rsidRDefault="00D060B7">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3C7C09" w:rsidRDefault="00D060B7">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3C7C09" w:rsidRDefault="00D060B7">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3C7C09" w:rsidRDefault="00D060B7">
      <w:pPr>
        <w:pStyle w:val="romannumeralpara"/>
      </w:pPr>
      <w:r>
        <w:lastRenderedPageBreak/>
        <w:t>31.3.1.2.4</w:t>
      </w:r>
      <w:r>
        <w:tab/>
        <w:t>The ISO shall post all requests for congestion and resource integration studies on its website.</w:t>
      </w:r>
    </w:p>
    <w:p w:rsidR="003C7C09" w:rsidRDefault="00D060B7">
      <w:pPr>
        <w:pStyle w:val="Heading4"/>
      </w:pPr>
      <w:bookmarkStart w:id="10" w:name="_Toc261439781"/>
      <w:bookmarkStart w:id="11" w:name="_Toc285718079"/>
      <w:r>
        <w:t>31.3.1.3</w:t>
      </w:r>
      <w:r>
        <w:tab/>
        <w:t>Preparation of the CARIS</w:t>
      </w:r>
      <w:bookmarkEnd w:id="10"/>
      <w:bookmarkEnd w:id="11"/>
    </w:p>
    <w:p w:rsidR="003C7C09" w:rsidRDefault="00D060B7">
      <w:pPr>
        <w:pStyle w:val="romannumeralpara"/>
      </w:pPr>
      <w:r>
        <w:t>31.3.1.3.1</w:t>
      </w:r>
      <w:r>
        <w:tab/>
        <w:t xml:space="preserve">The Study Period for the CARIS shall be the same ten-year Study Period covered by the most recently approved CRP. </w:t>
      </w:r>
    </w:p>
    <w:p w:rsidR="003C7C09" w:rsidRDefault="00D060B7">
      <w:pPr>
        <w:pStyle w:val="romannumeralpara"/>
      </w:pPr>
      <w:r>
        <w:t>31.3.1.3.2</w:t>
      </w:r>
      <w:r w:rsidRPr="00FF2D14">
        <w:tab/>
        <w:t>The CARIS will assume a reliable system throughout the Study Period, based first upon the sol</w:t>
      </w:r>
      <w:r w:rsidRPr="00FF2D14">
        <w:t>utions identified in the most recently completed viability and sufficiency analysis performed pursuant to 31.2.5.7, as part of the CRP process, and reported to stakeholders and the NYDPS for comment.  The baseline system for the CARIS shall first incorpora</w:t>
      </w:r>
      <w:r w:rsidRPr="00FF2D14">
        <w:t>te sufficient viable market-based solutions to meet the identified Reliability Needs as well as any regulated backstop solutions triggered by an ISO request pursuant to Section 31.2.8 of this Attachment Y.  The ISO, in conjunction with the ESPWG, will deve</w:t>
      </w:r>
      <w:r w:rsidRPr="00FF2D14">
        <w:t>lop methodologies to scale back market-based solutions to the minimum needed to meet the identified Reliability Needs, if more have been proposed than are necessary to meet the identified Reliability Needs.  Regulated backstop solutions that have been prop</w:t>
      </w:r>
      <w:r w:rsidRPr="00FF2D14">
        <w:t>osed but not triggered pursuant to Sectio</w:t>
      </w:r>
      <w:r>
        <w:t>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3C7C09" w:rsidRDefault="00D060B7">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3C7C09" w:rsidRDefault="00D060B7">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3C7C09" w:rsidRDefault="00D060B7">
      <w:pPr>
        <w:pStyle w:val="italpara"/>
      </w:pPr>
      <w:r>
        <w:t>Present Value in year 1 = Sum o</w:t>
      </w:r>
      <w:r>
        <w:t>f the Present Values from each of the 10 years of the Study Period.</w:t>
      </w:r>
    </w:p>
    <w:p w:rsidR="003C7C09" w:rsidRDefault="00D060B7">
      <w:pPr>
        <w:pStyle w:val="romannumeralpara"/>
      </w:pPr>
      <w:r>
        <w:tab/>
        <w:t>The discount rate to be used for the present value analysis shall be the current after-tax weighted average cost of capital for the Transmission Owners.</w:t>
      </w:r>
    </w:p>
    <w:p w:rsidR="003C7C09" w:rsidRDefault="00D060B7">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3C7C09" w:rsidRDefault="00D060B7">
      <w:pPr>
        <w:pStyle w:val="italpara"/>
      </w:pPr>
      <w:r>
        <w:t>Present Value i</w:t>
      </w:r>
      <w:r>
        <w:t xml:space="preserve">n year 1 = Sum of the Present Values from each of the 10 years of the Study Period. </w:t>
      </w:r>
    </w:p>
    <w:p w:rsidR="003C7C09" w:rsidRDefault="00D060B7">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3C7C09" w:rsidRDefault="00D060B7">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3C7C09" w:rsidRDefault="00D060B7">
      <w:pPr>
        <w:pStyle w:val="romannumeralpara"/>
      </w:pPr>
      <w:r>
        <w:t>31.3.1.3.5.2</w:t>
      </w:r>
      <w:r>
        <w:tab/>
        <w:t>Reductions in losses measure the change in marginal losses payments. Losses payments will be based upon the loss component of the zonal LBMP load payments.</w:t>
      </w:r>
    </w:p>
    <w:p w:rsidR="003C7C09" w:rsidRDefault="00D060B7">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3C7C09" w:rsidRDefault="00D060B7">
      <w:pPr>
        <w:pStyle w:val="romannumeralpara"/>
        <w:rPr>
          <w:b/>
        </w:rPr>
      </w:pPr>
      <w:r>
        <w:t>31.3.1.3.5.4</w:t>
      </w:r>
      <w:r>
        <w:tab/>
        <w:t>The TCC payment metric set forth below will be used for purposes of the study phase of the CARIS process, and will not be used for regulated economic transmis</w:t>
      </w:r>
      <w:r>
        <w:t xml:space="preserve">sion project cost allocation under Section 31.5.4.4 </w:t>
      </w:r>
      <w:r w:rsidRPr="00E97B80">
        <w:t>of this Attachment Y.</w:t>
      </w:r>
      <w:r>
        <w:t xml:space="preserve">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3C7C09" w:rsidRDefault="00D060B7">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3C7C09" w:rsidRDefault="00D060B7">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3C7C09" w:rsidRDefault="00D060B7">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3C7C09" w:rsidRDefault="00D060B7">
      <w:pPr>
        <w:pStyle w:val="romannumeralpara"/>
        <w:rPr>
          <w:rFonts w:ascii="TimesNewRomanPSMT" w:hAnsi="TimesNewRomanPSMT" w:cs="TimesNewRomanPSMT"/>
        </w:rPr>
      </w:pPr>
      <w:r>
        <w:t>31.3.1.3.5.6.2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3C7C09" w:rsidRDefault="00D060B7">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w:t>
      </w:r>
      <w:r>
        <w:rPr>
          <w:rFonts w:ascii="TimesNewRomanPSMT" w:hAnsi="TimesNewRomanPSMT" w:cs="TimesNewRomanPSMT"/>
        </w:rPr>
        <w:t xml:space="preserve">e the cost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w:t>
      </w:r>
      <w:r>
        <w:rPr>
          <w:rFonts w:ascii="TimesNewRomanPSMT" w:hAnsi="TimesNewRomanPSMT" w:cs="TimesNewRomanPSMT"/>
        </w:rPr>
        <w:t xml:space="preserve"> the latest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w:t>
      </w:r>
      <w:r>
        <w:t xml:space="preserv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3C7C09" w:rsidRDefault="00D060B7">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w:t>
      </w:r>
      <w:r>
        <w:rPr>
          <w:rFonts w:ascii="TimesNewRomanPSMT" w:hAnsi="TimesNewRomanPSMT" w:cs="TimesNewRomanPSMT"/>
        </w:rPr>
        <w:t>ed generic project for each planning year by: (i) forecasting the cost per megawatt-year of Installed Capacity in that Locality under the assumption that the proposed generic project is not in place, with that forecast based on the latest available ICAP De</w:t>
      </w:r>
      <w:r>
        <w:rPr>
          <w:rFonts w:ascii="TimesNewRomanPSMT" w:hAnsi="TimesNewRomanPSMT" w:cs="TimesNewRomanPSMT"/>
        </w:rPr>
        <w:t xml:space="preserve">mand Curve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for that Locality</w:t>
      </w:r>
      <w:r>
        <w:t xml:space="preserve">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3C7C09" w:rsidRDefault="00D060B7">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w:t>
      </w:r>
      <w:r>
        <w:rPr>
          <w:rFonts w:ascii="TimesNewRomanPSMT" w:hAnsi="TimesNewRomanPSMT" w:cs="TimesNewRomanPSMT"/>
        </w:rPr>
        <w:t xml:space="preserve"> as a stream of present value benefits for each Locality and for Rest of State.  </w:t>
      </w:r>
      <w:r>
        <w:t xml:space="preserve">The applicable planning years start with the proposed commercial operation date of the proposed generic project and end ten years after the proposed commercial operation date </w:t>
      </w:r>
      <w:r>
        <w:t>of the proposed generic project.</w:t>
      </w:r>
    </w:p>
    <w:p w:rsidR="003C7C09" w:rsidRDefault="00D060B7">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w:t>
      </w:r>
      <w:r>
        <w:rPr>
          <w:rFonts w:ascii="TimesNewRomanPSMT" w:hAnsi="TimesNewRomanPSMT" w:cs="TimesNewRomanPSMT"/>
        </w:rPr>
        <w:t>at the proposed generic project is in place, with that forecast based on the latest available ICAP Demand Curve for the NYCA and the amount of Installed Capacity available in the NYCA; (ii) subtracting that forecasted cost per megawatt-year from the foreca</w:t>
      </w:r>
      <w:r>
        <w:rPr>
          <w:rFonts w:ascii="TimesNewRomanPSMT" w:hAnsi="TimesNewRomanPSMT" w:cs="TimesNewRomanPSMT"/>
        </w:rPr>
        <w:t>sted cost per megawatt-year of Installed Capacity in Rest of State calculated in subsection (1) under the assumption that the proposed generic project is not in place; and (iii) multiplying that difference by fifty percent (50%) of the assumed amount of In</w:t>
      </w:r>
      <w:r>
        <w:rPr>
          <w:rFonts w:ascii="TimesNewRomanPSMT" w:hAnsi="TimesNewRomanPSMT" w:cs="TimesNewRomanPSMT"/>
        </w:rPr>
        <w:t>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3C7C09" w:rsidRDefault="00D060B7">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w:t>
      </w:r>
      <w:r>
        <w:rPr>
          <w:rFonts w:ascii="Times New Roman" w:hAnsi="Times New Roman"/>
        </w:rPr>
        <w:t xml:space="preserve">y: (i) forecasting the cost per megawatt-year of Installed Capacity in that Locality under the assumption that the proposed generic project is in place, with that forecast based on the latest available ICAP Demand Curve for that Locality and the amount of </w:t>
      </w:r>
      <w:r>
        <w:rPr>
          <w:rFonts w:ascii="Times New Roman" w:hAnsi="Times New Roman"/>
        </w:rPr>
        <w:t>Installed Capacity available in that Locality as shown in the relevant NYISO Load and Capacity Data Report developed for that year; (ii) subtracting the greater of that forecasted cost per megawatt-year with the proposed generic project in place or the for</w:t>
      </w:r>
      <w:r>
        <w:rPr>
          <w:rFonts w:ascii="Times New Roman" w:hAnsi="Times New Roman"/>
        </w:rPr>
        <w:t>ecasted Rest of State Installed Capacity cost per megawatt-year with the proposed generic project in place from the forecasted cost of Installed Capacity in that Locality calculated in subsection (1) under the assumption that the proposed generic project i</w:t>
      </w:r>
      <w:r>
        <w:rPr>
          <w:rFonts w:ascii="Times New Roman" w:hAnsi="Times New Roman"/>
        </w:rPr>
        <w:t>s not in place; and (iii) multiplying that difference by fifty percent (50%) of assumed amount of Installed Capacity available in that Locality, as taken from the relevant Load and Capacity tables developed for the CARIS process.</w:t>
      </w:r>
    </w:p>
    <w:p w:rsidR="003C7C09" w:rsidRDefault="00D060B7">
      <w:pPr>
        <w:pStyle w:val="alphapara1"/>
        <w:ind w:firstLine="0"/>
      </w:pPr>
      <w:r>
        <w:rPr>
          <w:rFonts w:ascii="Times New Roman" w:hAnsi="Times New Roman"/>
        </w:rPr>
        <w:t>This ICAP cost metric will</w:t>
      </w:r>
      <w:r>
        <w:rPr>
          <w:rFonts w:ascii="Times New Roman" w:hAnsi="Times New Roman"/>
        </w:rPr>
        <w:t xml:space="preserve"> then be represented for each applicable planning year as a stream of present value benefits for each Locality and for Rest of State.  The applicable planning years start with the proposed commercial operation date of the proposed generic project and end w</w:t>
      </w:r>
      <w:r>
        <w:rPr>
          <w:rFonts w:ascii="Times New Roman" w:hAnsi="Times New Roman"/>
        </w:rPr>
        <w:t>ith the earlier of: (i) the year when the system, with the proposed generic project in place, reaches an LOLE of 0.1, or (ii) ten years after the proposed commercial operation date of the proposed generic project.</w:t>
      </w:r>
    </w:p>
    <w:p w:rsidR="003C7C09" w:rsidRDefault="00D060B7">
      <w:pPr>
        <w:pStyle w:val="alphapara1"/>
      </w:pPr>
      <w:r>
        <w:rPr>
          <w:rFonts w:ascii="Times New Roman" w:hAnsi="Times New Roman"/>
        </w:rPr>
        <w:t>(3)</w:t>
      </w:r>
      <w:r>
        <w:rPr>
          <w:rFonts w:ascii="Times New Roman" w:hAnsi="Times New Roman"/>
        </w:rPr>
        <w:tab/>
        <w:t>The forecast of Installed Capacity cos</w:t>
      </w:r>
      <w:r>
        <w:rPr>
          <w:rFonts w:ascii="Times New Roman" w:hAnsi="Times New Roman"/>
        </w:rPr>
        <w:t xml:space="preserve">ts per megawatt-year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w:t>
      </w:r>
      <w:r>
        <w:rPr>
          <w:rFonts w:ascii="TimesNewRomanPSMT" w:hAnsi="TimesNewRomanPSMT" w:cs="TimesNewRomanPSMT"/>
        </w:rPr>
        <w:t xml:space="preserve">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w:t>
      </w:r>
      <w:r>
        <w:rPr>
          <w:rFonts w:ascii="Times New Roman" w:hAnsi="Times New Roman"/>
        </w:rPr>
        <w:t>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w:t>
      </w:r>
      <w:r>
        <w:rPr>
          <w:rFonts w:ascii="Times New Roman" w:hAnsi="Times New Roman"/>
        </w:rPr>
        <w:t xml:space="preserve">Demand Curve. </w:t>
      </w:r>
    </w:p>
    <w:p w:rsidR="003C7C09" w:rsidRDefault="00D060B7">
      <w:pPr>
        <w:pStyle w:val="alphapara1"/>
        <w:ind w:firstLine="0"/>
        <w:rPr>
          <w:rFonts w:ascii="Times New Roman" w:hAnsi="Times New Roman"/>
        </w:rPr>
      </w:pPr>
      <w:r>
        <w:rPr>
          <w:rFonts w:ascii="TimesNewRomanPSMT" w:hAnsi="TimesNewRomanPSMT" w:cs="TimesNewRomanPSMT"/>
        </w:rPr>
        <w:t>The forecasts of Installed Capacity costs for Localities or Rest of State performed in subsections (1) and (2) above shall, in addition to the assumptions listed above, be based upon: (i) the forecasted Net CONE for the Locality (the NYCA in</w:t>
      </w:r>
      <w:r>
        <w:rPr>
          <w:rFonts w:ascii="TimesNewRomanPSMT" w:hAnsi="TimesNewRomanPSMT" w:cs="TimesNewRomanPSMT"/>
        </w:rPr>
        <w:t xml:space="preserve"> the case of the Rest of State forecast); (ii) the amount of Installed Capacity required to meet the future proxy Locational Minimum Installed Capacity Requirement (the Minimum Installed Capacity Requirement for the NYCA in the case of the Rest of State fo</w:t>
      </w:r>
      <w:r>
        <w:rPr>
          <w:rFonts w:ascii="TimesNewRomanPSMT" w:hAnsi="TimesNewRomanPSMT" w:cs="TimesNewRomanPSMT"/>
        </w:rPr>
        <w:t xml:space="preserve">recast); (iii) the slope of the relevant ICAP Demand Curve, and (iv) the smallest quantity </w:t>
      </w:r>
      <w:r>
        <w:rPr>
          <w:rFonts w:ascii="Times New Roman" w:hAnsi="Times New Roman"/>
        </w:rPr>
        <w:t>where the cost of Installed Capacity on that ICAP Demand Curve reaches zero.</w:t>
      </w:r>
    </w:p>
    <w:p w:rsidR="00285611" w:rsidRPr="00285611" w:rsidRDefault="00D060B7" w:rsidP="00285611">
      <w:pPr>
        <w:pStyle w:val="alphapara1"/>
        <w:rPr>
          <w:rFonts w:ascii="Times New Roman" w:hAnsi="Times New Roman"/>
          <w:u w:val="double"/>
        </w:rPr>
      </w:pPr>
      <w:r w:rsidRPr="00285611">
        <w:rPr>
          <w:rFonts w:ascii="Times New Roman" w:hAnsi="Times New Roman"/>
        </w:rPr>
        <w:t>31.3.1.3.6</w:t>
      </w:r>
      <w:r w:rsidRPr="00285611">
        <w:rPr>
          <w:rFonts w:ascii="Times New Roman" w:hAnsi="Times New Roman"/>
        </w:rPr>
        <w:tab/>
        <w:t xml:space="preserve">As referenced in Section 31.2.1.3, the ISO, using engineering judgment, will </w:t>
      </w:r>
      <w:r w:rsidRPr="00285611">
        <w:rPr>
          <w:rFonts w:ascii="Times New Roman" w:hAnsi="Times New Roman"/>
        </w:rPr>
        <w:t>determine whether a regional alternative transmission solution might more efficiently or more cost effectively address congestion on the BPTFs identified in the CARIS that impacts more than one Transmission District than any local transmission solutions id</w:t>
      </w:r>
      <w:r w:rsidRPr="00285611">
        <w:rPr>
          <w:rFonts w:ascii="Times New Roman" w:hAnsi="Times New Roman"/>
        </w:rPr>
        <w:t>entified by the Transmission Owners in their LTPs in the event the LTPs specify that such transmission solutions are included to address congestion for economic reasons.</w:t>
      </w:r>
    </w:p>
    <w:p w:rsidR="003C7C09" w:rsidRDefault="00D060B7">
      <w:pPr>
        <w:pStyle w:val="Heading4"/>
      </w:pPr>
      <w:bookmarkStart w:id="12" w:name="_Toc261439782"/>
      <w:bookmarkStart w:id="13" w:name="_Toc285718080"/>
      <w:r>
        <w:t>31.3.1.4</w:t>
      </w:r>
      <w:r>
        <w:tab/>
        <w:t>Planning Participant Data Input</w:t>
      </w:r>
      <w:bookmarkEnd w:id="12"/>
      <w:bookmarkEnd w:id="13"/>
    </w:p>
    <w:p w:rsidR="003C7C09" w:rsidRDefault="00D060B7">
      <w:pPr>
        <w:pStyle w:val="Bodypara"/>
      </w:pPr>
      <w:r>
        <w:t>At the ISO’s request, Market Participants, De</w:t>
      </w:r>
      <w:r>
        <w:t>velopers, and other parties shall provide, in accordance with the schedule set forth in the ISO Procedures, the data necessary for the development of the CARIS.  This input will include but not be limited to existing and planned additions and modifications</w:t>
      </w:r>
      <w:r>
        <w:t xml:space="preserve"> to the New York State Transmission System (to be provided by Transmission Owners and municipal electric utilities); proposals for merchant transmission facilities (to be provided by merchant Developers); generation additions and retirements (to be provide</w:t>
      </w:r>
      <w:r>
        <w:t>d by generator owners and Developers); demand response programs (to be provided by demand response providers); and any long-term firm transmission requests made to the ISO.  The relevant Transmission Owners will assist the ISO in developing the potential s</w:t>
      </w:r>
      <w:r>
        <w:t xml:space="preserve">olution cost estimates to be used by the ISO to conduct benefit/cost analysis of each of the potential solutions. </w:t>
      </w:r>
    </w:p>
    <w:p w:rsidR="003C7C09" w:rsidRDefault="00D060B7">
      <w:pPr>
        <w:pStyle w:val="Heading4"/>
      </w:pPr>
      <w:bookmarkStart w:id="14" w:name="_Toc261439783"/>
      <w:bookmarkStart w:id="15" w:name="_Toc285718081"/>
      <w:r>
        <w:t>31.3.1.5</w:t>
      </w:r>
      <w:r>
        <w:tab/>
        <w:t>Congestion and Resource Integration Scenario Development</w:t>
      </w:r>
      <w:bookmarkEnd w:id="14"/>
      <w:bookmarkEnd w:id="15"/>
    </w:p>
    <w:p w:rsidR="003C7C09" w:rsidRDefault="00D060B7">
      <w:pPr>
        <w:pStyle w:val="Bodypara"/>
      </w:pPr>
      <w:r>
        <w:t>The ISO, in consultation with the ESPWG, shall develop congestion and resou</w:t>
      </w:r>
      <w:r>
        <w:t>rce integration scenarios addressing the Study Period.  Variables for consideration in the development of these congestion and resource integration scenarios include but are not limited to:  load forecast uncertainty, fuel price uncertainty, new resources,</w:t>
      </w:r>
      <w:r>
        <w:t xml:space="preserve"> retirements, emission data, the cost of allowances and potential requirements imposed by proposed environmental and energy efficiency mandates, as well as overall ISO resource requirements.  The ISO shall report the results of these scenario analyses in t</w:t>
      </w:r>
      <w:r>
        <w:t>he CARIS.</w:t>
      </w:r>
    </w:p>
    <w:p w:rsidR="003C7C09" w:rsidRDefault="00D060B7">
      <w:pPr>
        <w:pStyle w:val="Heading4"/>
      </w:pPr>
      <w:bookmarkStart w:id="16" w:name="_Toc261439784"/>
      <w:bookmarkStart w:id="17" w:name="_Toc285718082"/>
      <w:r>
        <w:t>31.3.1.6</w:t>
      </w:r>
      <w:r>
        <w:tab/>
        <w:t>Consequences for Other Regions</w:t>
      </w:r>
    </w:p>
    <w:p w:rsidR="003C7C09" w:rsidRDefault="00D060B7">
      <w:pPr>
        <w:pStyle w:val="Bodypara"/>
      </w:pPr>
      <w:r>
        <w:t>The ISO will coordinate with the ISO/RTO Regions to identify the consequences of an economic transmission project on such neighboring ISO/RTO Regions using the respective planning criteria of such ISO/RTO R</w:t>
      </w:r>
      <w:r>
        <w:t xml:space="preserve">egions.  The ISO shall report the results in the CARIS.  The ISO shall not bear the costs of required upgrades in another region.  </w:t>
      </w:r>
    </w:p>
    <w:p w:rsidR="003C7C09" w:rsidRDefault="00D060B7">
      <w:pPr>
        <w:pStyle w:val="Heading4"/>
      </w:pPr>
      <w:r>
        <w:t>31.3.1.7</w:t>
      </w:r>
      <w:r>
        <w:tab/>
        <w:t>CARIS Report Preparation</w:t>
      </w:r>
      <w:bookmarkEnd w:id="16"/>
      <w:bookmarkEnd w:id="17"/>
    </w:p>
    <w:p w:rsidR="003C7C09" w:rsidRDefault="00D060B7">
      <w:pPr>
        <w:pStyle w:val="Bodypara"/>
      </w:pPr>
      <w:r>
        <w:t xml:space="preserve">Once all the analyses described above have been completed, ISO staff will prepare a draft </w:t>
      </w:r>
      <w:r>
        <w:t>of the CARIS including a discussion of its assumptions, inputs, methodology, and the results of its analyses.</w:t>
      </w:r>
    </w:p>
    <w:p w:rsidR="003C7C09" w:rsidRDefault="00D060B7">
      <w:pPr>
        <w:pStyle w:val="Heading3"/>
      </w:pPr>
      <w:bookmarkStart w:id="18" w:name="_Toc261439785"/>
      <w:bookmarkStart w:id="19" w:name="_Toc285718083"/>
      <w:r>
        <w:t>31.3.2</w:t>
      </w:r>
      <w:r>
        <w:tab/>
        <w:t>CARIS Review Process and Actual Project Proposals</w:t>
      </w:r>
      <w:bookmarkEnd w:id="18"/>
      <w:bookmarkEnd w:id="19"/>
      <w:r>
        <w:rPr>
          <w:rStyle w:val="FootnoteReference"/>
          <w:vertAlign w:val="superscript"/>
        </w:rPr>
        <w:footnoteReference w:id="1"/>
      </w:r>
    </w:p>
    <w:p w:rsidR="003C7C09" w:rsidRDefault="00D060B7">
      <w:pPr>
        <w:pStyle w:val="Heading4"/>
      </w:pPr>
      <w:bookmarkStart w:id="20" w:name="_Toc261439786"/>
      <w:bookmarkStart w:id="21" w:name="_Toc285718084"/>
      <w:r>
        <w:t>31.3.2.1</w:t>
      </w:r>
      <w:r>
        <w:tab/>
        <w:t>Collaborative Governance Process</w:t>
      </w:r>
      <w:bookmarkEnd w:id="20"/>
      <w:bookmarkEnd w:id="21"/>
    </w:p>
    <w:p w:rsidR="003C7C09" w:rsidRDefault="00D060B7">
      <w:pPr>
        <w:pStyle w:val="Bodypara"/>
      </w:pPr>
      <w:r>
        <w:t>The draft CARIS shall be submitted to both TPA</w:t>
      </w:r>
      <w:r>
        <w:t>S and the ESPWG for review and comment.  The ISO shall make available to any interested party sufficient information to replicate the results of the draft CARIS.  The information made available will be electronically masked and made available pursuant to a</w:t>
      </w:r>
      <w:r>
        <w:t xml:space="preserve"> process that the ISO reasonably determines is necessary to prevent the disclosure of any Confidential Information or Critical Energy Infrastructure Information contained in the information made available.  Following completion of that review, the draft CA</w:t>
      </w:r>
      <w:r>
        <w:t>RIS reflecting the revisions resulting from the TPAS and ESPWG review shall be forwarded to the Business Issues Committee and the Management Committee for discussion and action.</w:t>
      </w:r>
    </w:p>
    <w:p w:rsidR="003C7C09" w:rsidRDefault="00D060B7">
      <w:pPr>
        <w:pStyle w:val="Heading4"/>
      </w:pPr>
      <w:bookmarkStart w:id="22" w:name="_Toc261439787"/>
      <w:bookmarkStart w:id="23" w:name="_Toc285718085"/>
      <w:r>
        <w:t>31.3.2.2</w:t>
      </w:r>
      <w:r>
        <w:tab/>
        <w:t>Board Action</w:t>
      </w:r>
      <w:bookmarkEnd w:id="22"/>
      <w:bookmarkEnd w:id="23"/>
      <w:r>
        <w:t xml:space="preserve"> </w:t>
      </w:r>
    </w:p>
    <w:p w:rsidR="003C7C09" w:rsidRDefault="00D060B7">
      <w:pPr>
        <w:pStyle w:val="Bodypara"/>
      </w:pPr>
      <w:r>
        <w:t>Following the Management Committee vote, the draft CARI</w:t>
      </w:r>
      <w:r>
        <w:t>S, with Business Issues Committee and Management Committee input, will be forwarded to the ISO Board for review and action.  Concurrently, the draft CARIS will be provided to the Market Monitoring Unit for its review and consideration.  The Board may appro</w:t>
      </w:r>
      <w:r>
        <w:t>ve the CARIS as submitted, or propose modifications on its own motion.  If any changes are proposed by the Board, the revised CARIS shall be returned to the Management Committee for comment.  The Board shall not make a final determination on a revised CARI</w:t>
      </w:r>
      <w:r>
        <w:t xml:space="preserve">S until it has reviewed the Management Committee comments.  Upon approval by the Board, the ISO shall issue the CARIS to the marketplace by posting it on its website. </w:t>
      </w:r>
    </w:p>
    <w:p w:rsidR="003C7C09" w:rsidRDefault="00D060B7">
      <w:pPr>
        <w:pStyle w:val="Bodypara"/>
      </w:pPr>
      <w:r>
        <w:rPr>
          <w:color w:val="000000"/>
        </w:rPr>
        <w:t xml:space="preserve">The responsibilities of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3C7C09" w:rsidRDefault="00D060B7">
      <w:pPr>
        <w:pStyle w:val="Heading4"/>
      </w:pPr>
      <w:bookmarkStart w:id="24" w:name="_Toc261439788"/>
      <w:bookmarkStart w:id="25" w:name="_Toc285718086"/>
      <w:r>
        <w:t>31.3.2.3</w:t>
      </w:r>
      <w:r>
        <w:tab/>
        <w:t>Public Information Sessions</w:t>
      </w:r>
      <w:bookmarkEnd w:id="24"/>
      <w:bookmarkEnd w:id="25"/>
    </w:p>
    <w:p w:rsidR="003C7C09" w:rsidRDefault="00D060B7">
      <w:pPr>
        <w:pStyle w:val="Bodypara"/>
      </w:pPr>
      <w:r>
        <w:t>In order to provide ample exposure for the market place to</w:t>
      </w:r>
      <w:r>
        <w:t xml:space="preserve"> understand the content of the CARIS, the ISO will provide various opportunities for Market Participants and other potentially interested parties to discuss final CARIS.  Such opportunities may include presentations at various ISO Market Participant commit</w:t>
      </w:r>
      <w:r>
        <w:t>tees, focused discussions with various industry sectors, and /or presentations in public venues.</w:t>
      </w:r>
    </w:p>
    <w:p w:rsidR="003C7C09" w:rsidRDefault="00D060B7">
      <w:pPr>
        <w:pStyle w:val="Heading4"/>
      </w:pPr>
      <w:bookmarkStart w:id="26" w:name="_Toc261439789"/>
      <w:bookmarkStart w:id="27" w:name="_Toc285718087"/>
      <w:r>
        <w:t>31.3.2.4</w:t>
      </w:r>
      <w:r>
        <w:tab/>
        <w:t>Actual Project Proposals</w:t>
      </w:r>
      <w:bookmarkEnd w:id="26"/>
      <w:bookmarkEnd w:id="27"/>
    </w:p>
    <w:p w:rsidR="003C7C09" w:rsidRDefault="00D060B7">
      <w:pPr>
        <w:pStyle w:val="Bodypara"/>
      </w:pPr>
      <w:r>
        <w:t xml:space="preserve">As discussed in Section 31.3.1 of this Attachment Y, the CARIS analyzes system congestion over the Study Period and, for </w:t>
      </w:r>
      <w:r>
        <w:t>informational purposes, provides benefit/cost analysis and other analysis of potential generic solutions to the congestion identified.  If, in response to the CARIS, a Developer proposes an actual project</w:t>
      </w:r>
      <w:r>
        <w:t xml:space="preserve">, including an Interregional Transmission Project, </w:t>
      </w:r>
      <w:r>
        <w:t>t</w:t>
      </w:r>
      <w:r>
        <w:t>o address specific congestion identified in the CARIS, then the ISO will</w:t>
      </w:r>
      <w:r>
        <w:t>: (I)</w:t>
      </w:r>
      <w:r>
        <w:t xml:space="preserve"> process that project proposal in accordance with the relevant provisions of Sections 31.5.1, 31.5.4 and 31.5.</w:t>
      </w:r>
      <w:r>
        <w:t>6</w:t>
      </w:r>
      <w:r>
        <w:t xml:space="preserve"> of this Attachment Y</w:t>
      </w:r>
      <w:r>
        <w:t>, and (ii) for Interregional Transmission Proje</w:t>
      </w:r>
      <w:r>
        <w:t>cts, jointly evaluate the project proposal with the relevant adjacent transmission planning region(s) in accordance with Section 7.3 of the Interregional Planning Protocol</w:t>
      </w:r>
      <w:r>
        <w:t xml:space="preserve">.  </w:t>
      </w:r>
    </w:p>
    <w:p w:rsidR="003C7C09" w:rsidRPr="008A4E00" w:rsidRDefault="00D060B7">
      <w:pPr>
        <w:pStyle w:val="Heading4"/>
      </w:pPr>
      <w:r>
        <w:t>31.3.2.4.1</w:t>
      </w:r>
      <w:r>
        <w:tab/>
        <w:t>Eligibility and Qualification Criteria for Developers and Projects</w:t>
      </w:r>
    </w:p>
    <w:p w:rsidR="003C7C09" w:rsidRDefault="00D060B7" w:rsidP="003C7C09">
      <w:pPr>
        <w:pStyle w:val="Bodypara"/>
      </w:pPr>
      <w:r>
        <w:t>For</w:t>
      </w:r>
      <w:r>
        <w:t xml:space="preserve"> purposes of fulfilling the requirements of the Developer qualification criteria in this Section 31.3.2.4.1</w:t>
      </w:r>
      <w:r>
        <w:t>.</w:t>
      </w:r>
      <w:r>
        <w:t xml:space="preserve"> and its subsections, the term “Developer” includes Affiliates, as that term is defined in Section 2 of the ISO Services Tariff and Section 1 of the</w:t>
      </w:r>
      <w:r>
        <w:t xml:space="preserve"> ISO OATT.  To the extent that a Developer relies on Affiliate(s) to satisfy any or all of the qualification criteria set forth in Section 31.3.2.4.1.</w:t>
      </w:r>
      <w:r>
        <w:t>1.</w:t>
      </w:r>
      <w:r>
        <w:t>1, the Affiliate(s) shall provide to the ISO: (i) the information required in Section 31.3.2.4.1.1</w:t>
      </w:r>
      <w:r>
        <w:t>.1</w:t>
      </w:r>
      <w:r>
        <w:t xml:space="preserve"> to </w:t>
      </w:r>
      <w:r>
        <w:t>demonstrate its capability to satisfy the applicable qualification criteria,</w:t>
      </w:r>
      <w:r>
        <w:rPr>
          <w:b/>
        </w:rPr>
        <w:t xml:space="preserve"> </w:t>
      </w:r>
      <w:r>
        <w:t>and (ii) a notarized officer’s certificate, signed by an authorized officer of the Affiliate with signatory authority, in a form acceptable to the ISO, certifying that the Affilia</w:t>
      </w:r>
      <w:r>
        <w:t>te will participate in the Developer’s project in the manner described by the Developer and will abide by the requirements set forth in this Attachment Y, the ISO Tariffs, and ISO Procedures related and applicable to the Affiliate’s participation.</w:t>
      </w:r>
    </w:p>
    <w:p w:rsidR="003C7C09" w:rsidRDefault="00D060B7">
      <w:pPr>
        <w:pStyle w:val="Heading4"/>
      </w:pPr>
      <w:r>
        <w:t>31.3.2.4</w:t>
      </w:r>
      <w:r>
        <w:t>.1.1</w:t>
      </w:r>
      <w:r>
        <w:tab/>
        <w:t>Developer Qualification and Timing</w:t>
      </w:r>
    </w:p>
    <w:p w:rsidR="003C7C09" w:rsidRDefault="00D060B7">
      <w:pPr>
        <w:pStyle w:val="Bodypara"/>
      </w:pPr>
      <w:r>
        <w:t xml:space="preserve">The ISO shall provide each Developer with an opportunity to demonstrate that it has or can draw upon the financial resources, technical expertise, and experience needed to </w:t>
      </w:r>
      <w:r>
        <w:t xml:space="preserve">finance, </w:t>
      </w:r>
      <w:r>
        <w:t>develop, construct, operate and mai</w:t>
      </w:r>
      <w:r>
        <w:t>ntain a transmission project proposed to address specific congestion identified in the CARIS.  The ISO shall consider the qualifications of each Developer in an even-handed and non-discriminatory manner, treating Transmission Owners and Other Developers al</w:t>
      </w:r>
      <w:r>
        <w:t xml:space="preserve">ike.  </w:t>
      </w:r>
    </w:p>
    <w:p w:rsidR="00285611" w:rsidRPr="00285611" w:rsidRDefault="00D060B7" w:rsidP="00285611">
      <w:pPr>
        <w:pStyle w:val="Heading4"/>
      </w:pPr>
      <w:r w:rsidRPr="00861264">
        <w:t>31.3.2.4.1.1.1 Developer Qualification Criteria</w:t>
      </w:r>
    </w:p>
    <w:p w:rsidR="003C7C09" w:rsidRDefault="00D060B7">
      <w:pPr>
        <w:pStyle w:val="Bodypara"/>
      </w:pPr>
      <w:r>
        <w:t>The ISO shall make a determination on the qualification of a Developer to propose to develop a transmission project as a solution to address specific congestion identified in the CARIS based on the fol</w:t>
      </w:r>
      <w:r>
        <w:t xml:space="preserve">lowing criteria: </w:t>
      </w:r>
    </w:p>
    <w:p w:rsidR="003C7C09" w:rsidRDefault="00D060B7" w:rsidP="003C7C09">
      <w:pPr>
        <w:pStyle w:val="alphapara"/>
      </w:pPr>
      <w:r>
        <w:t>31.3.2.4.1.1.1</w:t>
      </w:r>
      <w:r>
        <w:t>.1</w:t>
      </w:r>
      <w:r>
        <w:tab/>
        <w:t>The technical and engineering qualifications and experience of the Developer relevant to the development, construction, operation and maintenance of a transmission facility, including evidence of the Developer’s demonstra</w:t>
      </w:r>
      <w:r>
        <w:t>ted capability to adhere to standardized construction, maintenance, and operating practices and to contract with third parties to develop, construct, maintain, and/or operate transmission facilities;</w:t>
      </w:r>
    </w:p>
    <w:p w:rsidR="003C7C09" w:rsidRDefault="00D060B7" w:rsidP="003C7C09">
      <w:pPr>
        <w:pStyle w:val="alphapara"/>
      </w:pPr>
      <w:r>
        <w:t>31.3.2.4.1.1.</w:t>
      </w:r>
      <w:r>
        <w:t>1.</w:t>
      </w:r>
      <w:r>
        <w:t>2</w:t>
      </w:r>
      <w:r>
        <w:tab/>
        <w:t>The current and expected capabilities o</w:t>
      </w:r>
      <w:r>
        <w:t xml:space="preserve">f the Developer to, </w:t>
      </w:r>
      <w:r>
        <w:t xml:space="preserve">develop and construct a transmission facility and to operate and maintain it for the life of the facility.  </w:t>
      </w:r>
      <w:r>
        <w:t>If the Developer has previously developed, constructed, maintained or operated transmission facilities</w:t>
      </w:r>
      <w:r>
        <w:t>, the Developer shall prov</w:t>
      </w:r>
      <w:r>
        <w:t xml:space="preserve">ide the ISO a description of </w:t>
      </w:r>
      <w:r>
        <w:t xml:space="preserve">the </w:t>
      </w:r>
      <w:r>
        <w:t xml:space="preserve">transmission facilities (not to exceed ten) that the Developer has previously developed, constructed, maintained or operated and the status of those facilities, including whether the construction was completed, whether the </w:t>
      </w:r>
      <w:r>
        <w:t xml:space="preserve">facility entered into commercial operations, whether the facility has been suspended or terminated for any reason, and evidence demonstrating the ability of the Developer to address and timely remedy any operational failure of the facilities; and </w:t>
      </w:r>
    </w:p>
    <w:p w:rsidR="003C7C09" w:rsidRDefault="00D060B7" w:rsidP="003C7C09">
      <w:pPr>
        <w:pStyle w:val="alphapara"/>
      </w:pPr>
      <w:r>
        <w:t>31.3.2.4</w:t>
      </w:r>
      <w:r>
        <w:t>.1.1</w:t>
      </w:r>
      <w:r>
        <w:t>.1</w:t>
      </w:r>
      <w:r>
        <w:t xml:space="preserve">.3   The Developer’s current and expected capability to finance, or its experience in arranging financing for, transmission facilities.  For purposes of the ISO’s determination, the Developer shall provide the ISO:  </w:t>
      </w:r>
    </w:p>
    <w:p w:rsidR="003C7C09" w:rsidRPr="00B01654" w:rsidRDefault="00D060B7" w:rsidP="003C7C09">
      <w:pPr>
        <w:pStyle w:val="alphapara"/>
      </w:pPr>
      <w:r w:rsidRPr="00B01654">
        <w:t xml:space="preserve">(1)  </w:t>
      </w:r>
      <w:r w:rsidRPr="00B01654">
        <w:tab/>
        <w:t>evidence of its demonstrate</w:t>
      </w:r>
      <w:r w:rsidRPr="00B01654">
        <w:t xml:space="preserve">d experience financing or arranging financing for transmission facilities, </w:t>
      </w:r>
      <w:r>
        <w:t xml:space="preserve">if any </w:t>
      </w:r>
      <w:r w:rsidRPr="00B01654">
        <w:t>including a description of such projects (not to exceed ten) over the previous ten years, the capital costs and financial structure of such projects, a description of any fin</w:t>
      </w:r>
      <w:r w:rsidRPr="00B01654">
        <w:t xml:space="preserve">ancing obtained for these projects through rates approved by the Commission or a state regulatory agency, the financing closing date of such projects, and whether any of the projects are in default; </w:t>
      </w:r>
    </w:p>
    <w:p w:rsidR="003C7C09" w:rsidRPr="00B01654" w:rsidRDefault="00D060B7" w:rsidP="003C7C09">
      <w:pPr>
        <w:pStyle w:val="alphapara"/>
      </w:pPr>
      <w:r w:rsidRPr="00B01654">
        <w:t xml:space="preserve">(2) </w:t>
      </w:r>
      <w:r w:rsidRPr="00B01654">
        <w:tab/>
        <w:t>its audited annual financial statements from the mo</w:t>
      </w:r>
      <w:r w:rsidRPr="00B01654">
        <w:t>st recent three years and its most recent quarterly financial statement or equivalent information;</w:t>
      </w:r>
    </w:p>
    <w:p w:rsidR="003C7C09" w:rsidRPr="00B01654" w:rsidRDefault="00D060B7" w:rsidP="003C7C09">
      <w:pPr>
        <w:pStyle w:val="alphapara"/>
      </w:pPr>
      <w:r w:rsidRPr="00B01654">
        <w:t xml:space="preserve">(3)  </w:t>
      </w:r>
      <w:r w:rsidRPr="00B01654">
        <w:tab/>
        <w:t>its credit rating from Moody’s Investor Services, Standard &amp; Poor’s, or Fitch or equivalent information, if available;</w:t>
      </w:r>
    </w:p>
    <w:p w:rsidR="003C7C09" w:rsidRPr="00B01654" w:rsidRDefault="00D060B7" w:rsidP="003C7C09">
      <w:pPr>
        <w:pStyle w:val="alphapara"/>
      </w:pPr>
      <w:r w:rsidRPr="00B01654">
        <w:t xml:space="preserve">(4)  </w:t>
      </w:r>
      <w:r w:rsidRPr="00B01654">
        <w:tab/>
        <w:t>a description of any prior</w:t>
      </w:r>
      <w:r w:rsidRPr="00B01654">
        <w:t xml:space="preserve"> bankruptcy declarations, material defaults, dissolution, merger or acquisition by the Developer or its predecessors or subsidiaries occurring within the previous five years; and</w:t>
      </w:r>
    </w:p>
    <w:p w:rsidR="003C7C09" w:rsidRDefault="00D060B7" w:rsidP="003C7C09">
      <w:pPr>
        <w:pStyle w:val="alphapara"/>
      </w:pPr>
      <w:r w:rsidRPr="00B01654">
        <w:t>(5)</w:t>
      </w:r>
      <w:r w:rsidRPr="00B01654">
        <w:tab/>
        <w:t>such other evidence that demonstrates its current and expected capability</w:t>
      </w:r>
      <w:r w:rsidRPr="00B01654">
        <w:t xml:space="preserve"> to finance a project to address specific congestion identified in the CARIS.</w:t>
      </w:r>
      <w:r>
        <w:t xml:space="preserve"> </w:t>
      </w:r>
    </w:p>
    <w:p w:rsidR="00285611" w:rsidRDefault="00D060B7" w:rsidP="00285611">
      <w:pPr>
        <w:pStyle w:val="alphapara"/>
      </w:pPr>
      <w:r>
        <w:t>31.3.2.4.1.1.1.4  A detailed plan describing how the Developer – in the absence of previous experience financing, developing, constructing, operating, or maintaining transmissio</w:t>
      </w:r>
      <w:r>
        <w:t>n facilities – will finance, develop, construct, operate, and maintain a transmission facility, including the financial, technical, and engineering qualifications and experience and capabilities of any third parties with which it will contract for these pu</w:t>
      </w:r>
      <w:r>
        <w:t>rposes.</w:t>
      </w:r>
    </w:p>
    <w:p w:rsidR="00285611" w:rsidRDefault="00D060B7" w:rsidP="00285611">
      <w:pPr>
        <w:pStyle w:val="alphapara"/>
      </w:pPr>
      <w:r w:rsidRPr="00861264">
        <w:rPr>
          <w:b/>
        </w:rPr>
        <w:t>31.3.2.4.1.1.2</w:t>
      </w:r>
      <w:r w:rsidRPr="00861264">
        <w:rPr>
          <w:b/>
        </w:rPr>
        <w:tab/>
        <w:t>Developer Qualification Determination</w:t>
      </w:r>
    </w:p>
    <w:p w:rsidR="003C7C09" w:rsidRDefault="00D060B7">
      <w:pPr>
        <w:pStyle w:val="Bodypara"/>
      </w:pPr>
      <w:r>
        <w:t xml:space="preserve">Any Developer seeking to become qualified may submit the required information, or update any previously submitted information, at any time.  The ISO shall treat on a confidential basis in </w:t>
      </w:r>
      <w:r>
        <w:t>accordance with the requirements of its Code of Conduct in Attachment F of the ISO OATT any non-public financial qualification information that is submitted to the ISO by the Developer under Section 31.3.2.4.1.1.</w:t>
      </w:r>
      <w:r>
        <w:t>1.</w:t>
      </w:r>
      <w:r>
        <w:t>3 and is designated by the Developer as “C</w:t>
      </w:r>
      <w:r>
        <w:t>onfidential Information.”  The ISO shall within 15 days of a Developer’s submittal, notify the Developer if the information is incomplete.  If the submittal is deemed incomplete, the Developer shall submit the additional information within 30 days of the I</w:t>
      </w:r>
      <w:r>
        <w:t xml:space="preserve">SO’s request.  The ISO shall notify the Developer of its qualification status within 30 days of receiving all necessary information.  A Developer shall retain its qualification status for a three-year period following the notification date; </w:t>
      </w:r>
      <w:r>
        <w:rPr>
          <w:i/>
        </w:rPr>
        <w:t>provided, howev</w:t>
      </w:r>
      <w:r>
        <w:rPr>
          <w:i/>
        </w:rPr>
        <w:t>er</w:t>
      </w:r>
      <w:r>
        <w:t>, that the ISO may revoke this status if it determines that there has been a material change in the Developer’s qualifications and the Developer no longer meets the qualification requirements.  A Developer that has been qualified shall inform the ISO wit</w:t>
      </w:r>
      <w:r>
        <w:t>hin thirty days of any material change to the information it provided regarding its qualifications and shall submit to the ISO each year its most recent audited annual financial statement when available.  At the conclusion of the three-year period or follo</w:t>
      </w:r>
      <w:r>
        <w:t>wing the ISO’s revocation of a Developer’s qualification status, the Developer may re-apply for a qualification status under this section.</w:t>
      </w:r>
    </w:p>
    <w:p w:rsidR="003C7C09" w:rsidRDefault="00D060B7">
      <w:pPr>
        <w:pStyle w:val="Bodypara"/>
      </w:pPr>
      <w:r>
        <w:t>Any Developer determined by the ISO to be qualified under this section shall be eligible to propose a regulated trans</w:t>
      </w:r>
      <w:r>
        <w:t xml:space="preserve">mission project as a solution to address specific congestion identified in the CARIS and shall be eligible to use the cost allocation and cost recovery mechanism for regulated transmission projects set forth in Section 31.5 of this Attachment Y and </w:t>
      </w:r>
      <w:r>
        <w:t>Rate S</w:t>
      </w:r>
      <w:r>
        <w:t>c</w:t>
      </w:r>
      <w:r>
        <w:t>hedule</w:t>
      </w:r>
      <w:r>
        <w:t xml:space="preserve"> 10 of the ISO OATT</w:t>
      </w:r>
      <w:r>
        <w:t xml:space="preserve"> for any approved project.</w:t>
      </w:r>
    </w:p>
    <w:p w:rsidR="003C7C09" w:rsidRDefault="00D060B7">
      <w:pPr>
        <w:pStyle w:val="Heading4"/>
      </w:pPr>
      <w:r>
        <w:t>31.3.2.4.1.2</w:t>
      </w:r>
      <w:r>
        <w:tab/>
        <w:t>Information Requirements for Projects</w:t>
      </w:r>
    </w:p>
    <w:p w:rsidR="003C7C09" w:rsidRDefault="00D060B7">
      <w:pPr>
        <w:pStyle w:val="Bodypara"/>
      </w:pPr>
      <w:r>
        <w:t>The ISO shall consider the criteria in Section 31.3.2.4.2 when determining whether a proposed project is eligible to be offered as a regulated economic t</w:t>
      </w:r>
      <w:r>
        <w:t>ransmission project.</w:t>
      </w:r>
    </w:p>
    <w:p w:rsidR="003C7C09" w:rsidRDefault="00D060B7">
      <w:pPr>
        <w:pStyle w:val="Heading4"/>
      </w:pPr>
      <w:r>
        <w:t>31.3.2.4.1.3</w:t>
      </w:r>
      <w:r>
        <w:tab/>
        <w:t xml:space="preserve">Timing for Submittal of Project </w:t>
      </w:r>
      <w:r>
        <w:t xml:space="preserve">Information </w:t>
      </w:r>
      <w:r>
        <w:t>and Entity Qualification Information and Opportunity to Provide Additional Information</w:t>
      </w:r>
    </w:p>
    <w:p w:rsidR="003C7C09" w:rsidRDefault="00D060B7">
      <w:pPr>
        <w:pStyle w:val="Bodypara1"/>
        <w:spacing w:line="240" w:lineRule="auto"/>
        <w:ind w:left="720" w:firstLine="1440"/>
        <w:rPr>
          <w:rFonts w:ascii="Times New Roman" w:hAnsi="Times New Roman"/>
          <w:b/>
        </w:rPr>
      </w:pPr>
    </w:p>
    <w:p w:rsidR="003C7C09" w:rsidRDefault="00D060B7">
      <w:pPr>
        <w:pStyle w:val="Bodypara"/>
      </w:pPr>
      <w:r>
        <w:t xml:space="preserve">The required </w:t>
      </w:r>
      <w:r>
        <w:t xml:space="preserve">project </w:t>
      </w:r>
      <w:r>
        <w:t xml:space="preserve">information may be submitted at any time, but the proposed regulated </w:t>
      </w:r>
      <w:r>
        <w:t>economic transmission project will be evaluated against the most recently available CARIS Phase II database.  Any Developer that the ISO has determined under Section 31.3.2.4.1.1</w:t>
      </w:r>
      <w:r>
        <w:t>.2</w:t>
      </w:r>
      <w:r>
        <w:t xml:space="preserve"> to be qualified to propose to develop a transmission project to address spe</w:t>
      </w:r>
      <w:r>
        <w:t>cific congestion identified in the CARIS may submit the required</w:t>
      </w:r>
      <w:r>
        <w:t xml:space="preserve"> project</w:t>
      </w:r>
      <w:r>
        <w:t xml:space="preserve"> information; </w:t>
      </w:r>
      <w:r>
        <w:rPr>
          <w:i/>
        </w:rPr>
        <w:t>provided, however</w:t>
      </w:r>
      <w:r>
        <w:t>, that based on the specific congestion identified that requires a solution, the ISO may request that the qualified Developer provide additional Develope</w:t>
      </w:r>
      <w:r>
        <w:t xml:space="preserve">r information.  Any Developer that the ISO has not determined to be qualified, but that wants to propose to develop a project, must submit to the ISO the information required for Developer qualification under Section 31.3.2.4.1.1.  The ISO shall within 30 </w:t>
      </w:r>
      <w:r>
        <w:t>days of a Developer’s submittal of its Developer qualification information, notify the Developer if this information is incomplete.  The Developer shall submit additional Developer or project information required by the ISO within 15 days of the ISO’s requ</w:t>
      </w:r>
      <w:r>
        <w:t>est.  A Developer that fails to submit the additional Developer qualification information or the required project information will not be eligible for its project to be considered in that planning cycle.</w:t>
      </w:r>
    </w:p>
    <w:p w:rsidR="003C7C09" w:rsidRDefault="00D060B7">
      <w:pPr>
        <w:pStyle w:val="Heading4"/>
      </w:pPr>
      <w:r>
        <w:t>31.3.2.4.2</w:t>
      </w:r>
      <w:r>
        <w:tab/>
        <w:t>Project Information Requirements</w:t>
      </w:r>
    </w:p>
    <w:p w:rsidR="003C7C09" w:rsidRDefault="00D060B7">
      <w:pPr>
        <w:pStyle w:val="Bodypara"/>
      </w:pPr>
      <w:r>
        <w:t xml:space="preserve">Any </w:t>
      </w:r>
      <w:r>
        <w:t>Developer seeking to offer a regulated economic transmission project as a solution to address specific congestion identified in the CARIS must provide, at a minimum, the following details:  (1) contact information; (2) the lead time necessary to complete t</w:t>
      </w:r>
      <w:r>
        <w:t>he project including, if available, the construction windows in which the Developer can perform construction and what, if any, outages may be required during these periods; (3) a description of the project, including type, size, and geographic and electric</w:t>
      </w:r>
      <w:r>
        <w:t>al location, as well as planning and engineering specifications as appropriate; (4) evidence of a commercially viable technology; (5) a major milestone schedule; (6) a schedule for obtaining any required permits and other certifications; (7) a demonstratio</w:t>
      </w:r>
      <w:r>
        <w:t>n of Site Control or a schedule for obtaining such control; (8) status of any contracts (other than an Interconnection Agreement) that are</w:t>
      </w:r>
      <w:r>
        <w:t xml:space="preserve"> under negotiation or in place, including any contracts with third-party contractors; </w:t>
      </w:r>
      <w:r>
        <w:t>(9) status of ISO interconnectio</w:t>
      </w:r>
      <w:r>
        <w:t>n studies and interconnection agreement; (10) status of equipment availability and procurement; (11) evidence of financing or ability to finance the project; (12) detailed capital cost estimates for each segment of the project; (13) a description of permit</w:t>
      </w:r>
      <w:r>
        <w:t>ting or other risks facing the project at the stage of project development, including evidence of the reasonableness of project cost estimates, all based on the information available at the time of the submission; and (14) any other information requested b</w:t>
      </w:r>
      <w:r>
        <w:t>y the ISO.</w:t>
      </w:r>
    </w:p>
    <w:p w:rsidR="003C7C09" w:rsidRDefault="00D060B7">
      <w:pPr>
        <w:spacing w:line="480" w:lineRule="auto"/>
        <w:ind w:firstLine="720"/>
      </w:pPr>
      <w:r>
        <w:t>A Developer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3C7C09" w:rsidRDefault="00D060B7">
      <w:pPr>
        <w:spacing w:line="480" w:lineRule="auto"/>
        <w:ind w:firstLine="720"/>
      </w:pPr>
      <w:r>
        <w:t>A Developer shall submit the following information to indicate the stat</w:t>
      </w:r>
      <w:r>
        <w:t>us of any required permits: (i) copies of all final permits received that the ISO determines are relevant to its consideration, or (ii) where one or more permits are pending, the completed permit application(s) with information on what additional actions m</w:t>
      </w:r>
      <w:r>
        <w:t>ust be taken to meet the permit requirements and a timeline providing the expected timing for finalization and receipt of the final permit(s).  The final permits shall be submitted to the ISO when available.</w:t>
      </w:r>
      <w:r>
        <w:rPr>
          <w:b/>
        </w:rPr>
        <w:t xml:space="preserve"> </w:t>
      </w:r>
    </w:p>
    <w:p w:rsidR="003C7C09" w:rsidRDefault="00D060B7">
      <w:pPr>
        <w:spacing w:line="480" w:lineRule="auto"/>
        <w:ind w:firstLine="720"/>
      </w:pPr>
      <w:r>
        <w:t>A Developer shall submit the following informat</w:t>
      </w:r>
      <w:r>
        <w:t>ion, as appropriate, to indicate evidence of financing by it or any Affiliate upon which it is relying for financing: (i) evidence of self-financing or project financing through approved rates or the ability to do so, (ii) copies of all loan commitment let</w:t>
      </w:r>
      <w:r>
        <w:t>ter(s) and signed financing contract(s), or (iii) where such financing is pending, the status of the application for any relevant financing, including a timeline providing the status of discussions and negotiations of relevant documents and when the negoti</w:t>
      </w:r>
      <w:r>
        <w:t>ations are expected to be completed.  The final contracts or approved rates shall be submitted to the ISO when available.</w:t>
      </w:r>
    </w:p>
    <w:p w:rsidR="003C7C09" w:rsidRDefault="00D060B7">
      <w:pPr>
        <w:spacing w:line="480" w:lineRule="auto"/>
        <w:ind w:firstLine="720"/>
      </w:pPr>
      <w:r>
        <w:t>Failure to provide any data requested by the ISO within the timeframe provided in Section 31.3.2.4.1.3 of this Attachment Y will resul</w:t>
      </w:r>
      <w:r>
        <w:t xml:space="preserve">t in the rejection of the proposed solution from further consideration during that planning cycle.  </w:t>
      </w:r>
    </w:p>
    <w:p w:rsidR="003C7C09" w:rsidRDefault="00D060B7">
      <w:pPr>
        <w:pStyle w:val="Heading4"/>
      </w:pPr>
      <w:r>
        <w:t>31.3.2.5</w:t>
      </w:r>
      <w:r>
        <w:tab/>
        <w:t>Posting of Approved Solutions</w:t>
      </w:r>
    </w:p>
    <w:p w:rsidR="003C7C09" w:rsidRDefault="00D060B7">
      <w:pPr>
        <w:pStyle w:val="Bodypara"/>
      </w:pPr>
      <w:r>
        <w:t xml:space="preserve">The ISO shall post on its website a list of all Developers who have undertaken a commitment to build a project that </w:t>
      </w:r>
      <w:r>
        <w:t>has been approved by project beneficiaries, in accordance with Section 31.5.4.6 of this Attachment Y.</w:t>
      </w:r>
    </w:p>
    <w:p w:rsidR="00C12D5F" w:rsidRDefault="00D060B7">
      <w:pPr>
        <w:pStyle w:val="Bodypara"/>
      </w:pPr>
    </w:p>
    <w:p w:rsidR="003C7C09" w:rsidRPr="00C12D5F" w:rsidRDefault="00D060B7" w:rsidP="00C12D5F">
      <w:pPr>
        <w:pStyle w:val="Bodypara"/>
        <w:spacing w:line="240" w:lineRule="auto"/>
        <w:rPr>
          <w:sz w:val="20"/>
          <w:szCs w:val="20"/>
        </w:rPr>
      </w:pPr>
      <w:r w:rsidRPr="00C12D5F">
        <w:rPr>
          <w:sz w:val="20"/>
          <w:szCs w:val="20"/>
          <w:vertAlign w:val="superscript"/>
        </w:rPr>
        <w:t>1</w:t>
      </w:r>
      <w:r w:rsidRPr="00C12D5F">
        <w:rPr>
          <w:sz w:val="20"/>
          <w:szCs w:val="20"/>
        </w:rPr>
        <w:t>This OATT Section 31.3 is subject to revision per Order on Rehearing and Compliance, 148 FERC ¶ 61,044 (July 17, 2014).  Subsequent footnotes identify s</w:t>
      </w:r>
      <w:r w:rsidRPr="00C12D5F">
        <w:rPr>
          <w:sz w:val="20"/>
          <w:szCs w:val="20"/>
        </w:rPr>
        <w:t>pecific subsections that the NYISO currently anticipates will be revised in its compliance filing.  Please be advised that in revising its tariffs in accordance with FERC’s directives, the NYISO may be required to revise additional subsections that are not</w:t>
      </w:r>
      <w:r w:rsidRPr="00C12D5F">
        <w:rPr>
          <w:sz w:val="20"/>
          <w:szCs w:val="20"/>
        </w:rPr>
        <w:t xml:space="preserve"> designated by footnotes.</w:t>
      </w:r>
    </w:p>
    <w:sectPr w:rsidR="003C7C09" w:rsidRPr="00C12D5F" w:rsidSect="00E76F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0B7">
      <w:r>
        <w:separator/>
      </w:r>
    </w:p>
  </w:endnote>
  <w:endnote w:type="continuationSeparator" w:id="0">
    <w:p w:rsidR="00000000" w:rsidRDefault="00D0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jc w:val="right"/>
      <w:rPr>
        <w:rFonts w:ascii="Arial" w:eastAsia="Arial" w:hAnsi="Arial" w:cs="Arial"/>
        <w:color w:val="000000"/>
        <w:sz w:val="16"/>
      </w:rPr>
    </w:pPr>
    <w:r>
      <w:rPr>
        <w:rFonts w:ascii="Arial" w:eastAsia="Arial" w:hAnsi="Arial" w:cs="Arial"/>
        <w:color w:val="000000"/>
        <w:sz w:val="16"/>
      </w:rPr>
      <w:t>Effective Date: 10/18</w:t>
    </w:r>
    <w:r>
      <w:rPr>
        <w:rFonts w:ascii="Arial" w:eastAsia="Arial" w:hAnsi="Arial" w:cs="Arial"/>
        <w:color w:val="000000"/>
        <w:sz w:val="16"/>
      </w:rPr>
      <w:t xml:space="preserve">/2017 -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BF" w:rsidRDefault="00D060B7">
      <w:r>
        <w:separator/>
      </w:r>
    </w:p>
  </w:footnote>
  <w:footnote w:type="continuationSeparator" w:id="0">
    <w:p w:rsidR="007842BF" w:rsidRDefault="00D060B7">
      <w:r>
        <w:continuationSeparator/>
      </w:r>
    </w:p>
  </w:footnote>
  <w:footnote w:id="1">
    <w:p w:rsidR="003C7C09" w:rsidRDefault="00D060B7" w:rsidP="003C7C09">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31.3.2 is subject to revision per Order on Rehearing and Compliance, </w:t>
      </w:r>
      <w:r w:rsidRPr="00A67B75">
        <w:t>148 FERC ¶ 61,044</w:t>
      </w:r>
      <w:r>
        <w:t xml:space="preserve"> (July 17,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31.3 OATT Att Y Economic Planning </w:t>
    </w:r>
    <w:r>
      <w:rPr>
        <w:rFonts w:ascii="Arial" w:eastAsia="Arial" w:hAnsi="Arial" w:cs="Arial"/>
        <w:color w:val="000000"/>
        <w:sz w:val="16"/>
      </w:rPr>
      <w:t>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5" w:rsidRDefault="00D060B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D64DFC0">
      <w:start w:val="1"/>
      <w:numFmt w:val="bullet"/>
      <w:pStyle w:val="00BulletList"/>
      <w:lvlText w:val=""/>
      <w:lvlJc w:val="left"/>
      <w:pPr>
        <w:tabs>
          <w:tab w:val="num" w:pos="1440"/>
        </w:tabs>
        <w:ind w:left="1440" w:hanging="720"/>
      </w:pPr>
      <w:rPr>
        <w:rFonts w:ascii="Symbol" w:hAnsi="Symbol" w:hint="default"/>
      </w:rPr>
    </w:lvl>
    <w:lvl w:ilvl="1" w:tplc="5CDE06E2">
      <w:start w:val="1"/>
      <w:numFmt w:val="bullet"/>
      <w:lvlText w:val="o"/>
      <w:lvlJc w:val="left"/>
      <w:pPr>
        <w:tabs>
          <w:tab w:val="num" w:pos="1440"/>
        </w:tabs>
        <w:ind w:left="1440" w:hanging="360"/>
      </w:pPr>
      <w:rPr>
        <w:rFonts w:ascii="Courier New" w:hAnsi="Courier New" w:hint="default"/>
      </w:rPr>
    </w:lvl>
    <w:lvl w:ilvl="2" w:tplc="7318E216">
      <w:start w:val="1"/>
      <w:numFmt w:val="bullet"/>
      <w:lvlText w:val=""/>
      <w:lvlJc w:val="left"/>
      <w:pPr>
        <w:tabs>
          <w:tab w:val="num" w:pos="2160"/>
        </w:tabs>
        <w:ind w:left="2160" w:hanging="360"/>
      </w:pPr>
      <w:rPr>
        <w:rFonts w:ascii="Wingdings" w:hAnsi="Wingdings" w:hint="default"/>
      </w:rPr>
    </w:lvl>
    <w:lvl w:ilvl="3" w:tplc="21D8C654">
      <w:start w:val="1"/>
      <w:numFmt w:val="bullet"/>
      <w:lvlText w:val=""/>
      <w:lvlJc w:val="left"/>
      <w:pPr>
        <w:tabs>
          <w:tab w:val="num" w:pos="2880"/>
        </w:tabs>
        <w:ind w:left="2880" w:hanging="360"/>
      </w:pPr>
      <w:rPr>
        <w:rFonts w:ascii="Symbol" w:hAnsi="Symbol" w:hint="default"/>
      </w:rPr>
    </w:lvl>
    <w:lvl w:ilvl="4" w:tplc="1B5E57DA">
      <w:start w:val="1"/>
      <w:numFmt w:val="bullet"/>
      <w:lvlText w:val="o"/>
      <w:lvlJc w:val="left"/>
      <w:pPr>
        <w:tabs>
          <w:tab w:val="num" w:pos="3600"/>
        </w:tabs>
        <w:ind w:left="3600" w:hanging="360"/>
      </w:pPr>
      <w:rPr>
        <w:rFonts w:ascii="Courier New" w:hAnsi="Courier New" w:hint="default"/>
      </w:rPr>
    </w:lvl>
    <w:lvl w:ilvl="5" w:tplc="D4680FF2">
      <w:start w:val="1"/>
      <w:numFmt w:val="bullet"/>
      <w:lvlText w:val=""/>
      <w:lvlJc w:val="left"/>
      <w:pPr>
        <w:tabs>
          <w:tab w:val="num" w:pos="4320"/>
        </w:tabs>
        <w:ind w:left="4320" w:hanging="360"/>
      </w:pPr>
      <w:rPr>
        <w:rFonts w:ascii="Wingdings" w:hAnsi="Wingdings" w:hint="default"/>
      </w:rPr>
    </w:lvl>
    <w:lvl w:ilvl="6" w:tplc="2834B888">
      <w:start w:val="1"/>
      <w:numFmt w:val="bullet"/>
      <w:lvlText w:val=""/>
      <w:lvlJc w:val="left"/>
      <w:pPr>
        <w:tabs>
          <w:tab w:val="num" w:pos="5040"/>
        </w:tabs>
        <w:ind w:left="5040" w:hanging="360"/>
      </w:pPr>
      <w:rPr>
        <w:rFonts w:ascii="Symbol" w:hAnsi="Symbol" w:hint="default"/>
      </w:rPr>
    </w:lvl>
    <w:lvl w:ilvl="7" w:tplc="E4B6C6B8">
      <w:start w:val="1"/>
      <w:numFmt w:val="bullet"/>
      <w:lvlText w:val="o"/>
      <w:lvlJc w:val="left"/>
      <w:pPr>
        <w:tabs>
          <w:tab w:val="num" w:pos="5760"/>
        </w:tabs>
        <w:ind w:left="5760" w:hanging="360"/>
      </w:pPr>
      <w:rPr>
        <w:rFonts w:ascii="Courier New" w:hAnsi="Courier New" w:hint="default"/>
      </w:rPr>
    </w:lvl>
    <w:lvl w:ilvl="8" w:tplc="2572CE3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992F6FC">
      <w:start w:val="1"/>
      <w:numFmt w:val="bullet"/>
      <w:pStyle w:val="Bulletpara"/>
      <w:lvlText w:val=""/>
      <w:lvlJc w:val="left"/>
      <w:pPr>
        <w:tabs>
          <w:tab w:val="num" w:pos="720"/>
        </w:tabs>
        <w:ind w:left="720" w:hanging="360"/>
      </w:pPr>
      <w:rPr>
        <w:rFonts w:ascii="Symbol" w:hAnsi="Symbol" w:hint="default"/>
      </w:rPr>
    </w:lvl>
    <w:lvl w:ilvl="1" w:tplc="E426183E" w:tentative="1">
      <w:start w:val="1"/>
      <w:numFmt w:val="bullet"/>
      <w:lvlText w:val="o"/>
      <w:lvlJc w:val="left"/>
      <w:pPr>
        <w:tabs>
          <w:tab w:val="num" w:pos="1440"/>
        </w:tabs>
        <w:ind w:left="1440" w:hanging="360"/>
      </w:pPr>
      <w:rPr>
        <w:rFonts w:ascii="Courier New" w:hAnsi="Courier New" w:hint="default"/>
      </w:rPr>
    </w:lvl>
    <w:lvl w:ilvl="2" w:tplc="84482404" w:tentative="1">
      <w:start w:val="1"/>
      <w:numFmt w:val="bullet"/>
      <w:lvlText w:val=""/>
      <w:lvlJc w:val="left"/>
      <w:pPr>
        <w:tabs>
          <w:tab w:val="num" w:pos="2160"/>
        </w:tabs>
        <w:ind w:left="2160" w:hanging="360"/>
      </w:pPr>
      <w:rPr>
        <w:rFonts w:ascii="Wingdings" w:hAnsi="Wingdings" w:hint="default"/>
      </w:rPr>
    </w:lvl>
    <w:lvl w:ilvl="3" w:tplc="1D14F2DE" w:tentative="1">
      <w:start w:val="1"/>
      <w:numFmt w:val="bullet"/>
      <w:lvlText w:val=""/>
      <w:lvlJc w:val="left"/>
      <w:pPr>
        <w:tabs>
          <w:tab w:val="num" w:pos="2880"/>
        </w:tabs>
        <w:ind w:left="2880" w:hanging="360"/>
      </w:pPr>
      <w:rPr>
        <w:rFonts w:ascii="Symbol" w:hAnsi="Symbol" w:hint="default"/>
      </w:rPr>
    </w:lvl>
    <w:lvl w:ilvl="4" w:tplc="D250F6B8" w:tentative="1">
      <w:start w:val="1"/>
      <w:numFmt w:val="bullet"/>
      <w:lvlText w:val="o"/>
      <w:lvlJc w:val="left"/>
      <w:pPr>
        <w:tabs>
          <w:tab w:val="num" w:pos="3600"/>
        </w:tabs>
        <w:ind w:left="3600" w:hanging="360"/>
      </w:pPr>
      <w:rPr>
        <w:rFonts w:ascii="Courier New" w:hAnsi="Courier New" w:hint="default"/>
      </w:rPr>
    </w:lvl>
    <w:lvl w:ilvl="5" w:tplc="AEC0A880" w:tentative="1">
      <w:start w:val="1"/>
      <w:numFmt w:val="bullet"/>
      <w:lvlText w:val=""/>
      <w:lvlJc w:val="left"/>
      <w:pPr>
        <w:tabs>
          <w:tab w:val="num" w:pos="4320"/>
        </w:tabs>
        <w:ind w:left="4320" w:hanging="360"/>
      </w:pPr>
      <w:rPr>
        <w:rFonts w:ascii="Wingdings" w:hAnsi="Wingdings" w:hint="default"/>
      </w:rPr>
    </w:lvl>
    <w:lvl w:ilvl="6" w:tplc="D390C63E" w:tentative="1">
      <w:start w:val="1"/>
      <w:numFmt w:val="bullet"/>
      <w:lvlText w:val=""/>
      <w:lvlJc w:val="left"/>
      <w:pPr>
        <w:tabs>
          <w:tab w:val="num" w:pos="5040"/>
        </w:tabs>
        <w:ind w:left="5040" w:hanging="360"/>
      </w:pPr>
      <w:rPr>
        <w:rFonts w:ascii="Symbol" w:hAnsi="Symbol" w:hint="default"/>
      </w:rPr>
    </w:lvl>
    <w:lvl w:ilvl="7" w:tplc="B686D346" w:tentative="1">
      <w:start w:val="1"/>
      <w:numFmt w:val="bullet"/>
      <w:lvlText w:val="o"/>
      <w:lvlJc w:val="left"/>
      <w:pPr>
        <w:tabs>
          <w:tab w:val="num" w:pos="5760"/>
        </w:tabs>
        <w:ind w:left="5760" w:hanging="360"/>
      </w:pPr>
      <w:rPr>
        <w:rFonts w:ascii="Courier New" w:hAnsi="Courier New" w:hint="default"/>
      </w:rPr>
    </w:lvl>
    <w:lvl w:ilvl="8" w:tplc="E1564C5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3844246">
      <w:start w:val="1"/>
      <w:numFmt w:val="bullet"/>
      <w:lvlText w:val=""/>
      <w:lvlJc w:val="left"/>
      <w:pPr>
        <w:ind w:left="1440" w:hanging="360"/>
      </w:pPr>
      <w:rPr>
        <w:rFonts w:ascii="Symbol" w:hAnsi="Symbol" w:hint="default"/>
      </w:rPr>
    </w:lvl>
    <w:lvl w:ilvl="1" w:tplc="0706EA92" w:tentative="1">
      <w:start w:val="1"/>
      <w:numFmt w:val="bullet"/>
      <w:lvlText w:val="o"/>
      <w:lvlJc w:val="left"/>
      <w:pPr>
        <w:ind w:left="2160" w:hanging="360"/>
      </w:pPr>
      <w:rPr>
        <w:rFonts w:ascii="Courier New" w:hAnsi="Courier New" w:cs="Courier New" w:hint="default"/>
      </w:rPr>
    </w:lvl>
    <w:lvl w:ilvl="2" w:tplc="61D82FE8" w:tentative="1">
      <w:start w:val="1"/>
      <w:numFmt w:val="bullet"/>
      <w:lvlText w:val=""/>
      <w:lvlJc w:val="left"/>
      <w:pPr>
        <w:ind w:left="2880" w:hanging="360"/>
      </w:pPr>
      <w:rPr>
        <w:rFonts w:ascii="Wingdings" w:hAnsi="Wingdings" w:hint="default"/>
      </w:rPr>
    </w:lvl>
    <w:lvl w:ilvl="3" w:tplc="20D03DAE" w:tentative="1">
      <w:start w:val="1"/>
      <w:numFmt w:val="bullet"/>
      <w:lvlText w:val=""/>
      <w:lvlJc w:val="left"/>
      <w:pPr>
        <w:ind w:left="3600" w:hanging="360"/>
      </w:pPr>
      <w:rPr>
        <w:rFonts w:ascii="Symbol" w:hAnsi="Symbol" w:hint="default"/>
      </w:rPr>
    </w:lvl>
    <w:lvl w:ilvl="4" w:tplc="8C32C4C6" w:tentative="1">
      <w:start w:val="1"/>
      <w:numFmt w:val="bullet"/>
      <w:lvlText w:val="o"/>
      <w:lvlJc w:val="left"/>
      <w:pPr>
        <w:ind w:left="4320" w:hanging="360"/>
      </w:pPr>
      <w:rPr>
        <w:rFonts w:ascii="Courier New" w:hAnsi="Courier New" w:cs="Courier New" w:hint="default"/>
      </w:rPr>
    </w:lvl>
    <w:lvl w:ilvl="5" w:tplc="8F8EBAAE" w:tentative="1">
      <w:start w:val="1"/>
      <w:numFmt w:val="bullet"/>
      <w:lvlText w:val=""/>
      <w:lvlJc w:val="left"/>
      <w:pPr>
        <w:ind w:left="5040" w:hanging="360"/>
      </w:pPr>
      <w:rPr>
        <w:rFonts w:ascii="Wingdings" w:hAnsi="Wingdings" w:hint="default"/>
      </w:rPr>
    </w:lvl>
    <w:lvl w:ilvl="6" w:tplc="389C30EE" w:tentative="1">
      <w:start w:val="1"/>
      <w:numFmt w:val="bullet"/>
      <w:lvlText w:val=""/>
      <w:lvlJc w:val="left"/>
      <w:pPr>
        <w:ind w:left="5760" w:hanging="360"/>
      </w:pPr>
      <w:rPr>
        <w:rFonts w:ascii="Symbol" w:hAnsi="Symbol" w:hint="default"/>
      </w:rPr>
    </w:lvl>
    <w:lvl w:ilvl="7" w:tplc="A9D256A2" w:tentative="1">
      <w:start w:val="1"/>
      <w:numFmt w:val="bullet"/>
      <w:lvlText w:val="o"/>
      <w:lvlJc w:val="left"/>
      <w:pPr>
        <w:ind w:left="6480" w:hanging="360"/>
      </w:pPr>
      <w:rPr>
        <w:rFonts w:ascii="Courier New" w:hAnsi="Courier New" w:cs="Courier New" w:hint="default"/>
      </w:rPr>
    </w:lvl>
    <w:lvl w:ilvl="8" w:tplc="193690C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746FBCC">
      <w:start w:val="1"/>
      <w:numFmt w:val="bullet"/>
      <w:lvlText w:val=""/>
      <w:lvlJc w:val="left"/>
      <w:pPr>
        <w:ind w:left="1440" w:hanging="360"/>
      </w:pPr>
      <w:rPr>
        <w:rFonts w:ascii="Symbol" w:hAnsi="Symbol" w:hint="default"/>
      </w:rPr>
    </w:lvl>
    <w:lvl w:ilvl="1" w:tplc="80E432E8" w:tentative="1">
      <w:start w:val="1"/>
      <w:numFmt w:val="bullet"/>
      <w:lvlText w:val="o"/>
      <w:lvlJc w:val="left"/>
      <w:pPr>
        <w:ind w:left="2160" w:hanging="360"/>
      </w:pPr>
      <w:rPr>
        <w:rFonts w:ascii="Courier New" w:hAnsi="Courier New" w:cs="Courier New" w:hint="default"/>
      </w:rPr>
    </w:lvl>
    <w:lvl w:ilvl="2" w:tplc="7534C904" w:tentative="1">
      <w:start w:val="1"/>
      <w:numFmt w:val="bullet"/>
      <w:lvlText w:val=""/>
      <w:lvlJc w:val="left"/>
      <w:pPr>
        <w:ind w:left="2880" w:hanging="360"/>
      </w:pPr>
      <w:rPr>
        <w:rFonts w:ascii="Wingdings" w:hAnsi="Wingdings" w:hint="default"/>
      </w:rPr>
    </w:lvl>
    <w:lvl w:ilvl="3" w:tplc="320AF1DE" w:tentative="1">
      <w:start w:val="1"/>
      <w:numFmt w:val="bullet"/>
      <w:lvlText w:val=""/>
      <w:lvlJc w:val="left"/>
      <w:pPr>
        <w:ind w:left="3600" w:hanging="360"/>
      </w:pPr>
      <w:rPr>
        <w:rFonts w:ascii="Symbol" w:hAnsi="Symbol" w:hint="default"/>
      </w:rPr>
    </w:lvl>
    <w:lvl w:ilvl="4" w:tplc="6D025930" w:tentative="1">
      <w:start w:val="1"/>
      <w:numFmt w:val="bullet"/>
      <w:lvlText w:val="o"/>
      <w:lvlJc w:val="left"/>
      <w:pPr>
        <w:ind w:left="4320" w:hanging="360"/>
      </w:pPr>
      <w:rPr>
        <w:rFonts w:ascii="Courier New" w:hAnsi="Courier New" w:cs="Courier New" w:hint="default"/>
      </w:rPr>
    </w:lvl>
    <w:lvl w:ilvl="5" w:tplc="F4C009CE" w:tentative="1">
      <w:start w:val="1"/>
      <w:numFmt w:val="bullet"/>
      <w:lvlText w:val=""/>
      <w:lvlJc w:val="left"/>
      <w:pPr>
        <w:ind w:left="5040" w:hanging="360"/>
      </w:pPr>
      <w:rPr>
        <w:rFonts w:ascii="Wingdings" w:hAnsi="Wingdings" w:hint="default"/>
      </w:rPr>
    </w:lvl>
    <w:lvl w:ilvl="6" w:tplc="7256C5C2" w:tentative="1">
      <w:start w:val="1"/>
      <w:numFmt w:val="bullet"/>
      <w:lvlText w:val=""/>
      <w:lvlJc w:val="left"/>
      <w:pPr>
        <w:ind w:left="5760" w:hanging="360"/>
      </w:pPr>
      <w:rPr>
        <w:rFonts w:ascii="Symbol" w:hAnsi="Symbol" w:hint="default"/>
      </w:rPr>
    </w:lvl>
    <w:lvl w:ilvl="7" w:tplc="2CD8D7CC" w:tentative="1">
      <w:start w:val="1"/>
      <w:numFmt w:val="bullet"/>
      <w:lvlText w:val="o"/>
      <w:lvlJc w:val="left"/>
      <w:pPr>
        <w:ind w:left="6480" w:hanging="360"/>
      </w:pPr>
      <w:rPr>
        <w:rFonts w:ascii="Courier New" w:hAnsi="Courier New" w:cs="Courier New" w:hint="default"/>
      </w:rPr>
    </w:lvl>
    <w:lvl w:ilvl="8" w:tplc="4AF6428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0CEBB70">
      <w:start w:val="1"/>
      <w:numFmt w:val="bullet"/>
      <w:lvlText w:val=""/>
      <w:lvlJc w:val="left"/>
      <w:pPr>
        <w:ind w:left="1440" w:hanging="360"/>
      </w:pPr>
      <w:rPr>
        <w:rFonts w:ascii="Symbol" w:hAnsi="Symbol" w:hint="default"/>
      </w:rPr>
    </w:lvl>
    <w:lvl w:ilvl="1" w:tplc="2D6285BE" w:tentative="1">
      <w:start w:val="1"/>
      <w:numFmt w:val="bullet"/>
      <w:lvlText w:val="o"/>
      <w:lvlJc w:val="left"/>
      <w:pPr>
        <w:ind w:left="2160" w:hanging="360"/>
      </w:pPr>
      <w:rPr>
        <w:rFonts w:ascii="Courier New" w:hAnsi="Courier New" w:cs="Courier New" w:hint="default"/>
      </w:rPr>
    </w:lvl>
    <w:lvl w:ilvl="2" w:tplc="6C8252EC" w:tentative="1">
      <w:start w:val="1"/>
      <w:numFmt w:val="bullet"/>
      <w:lvlText w:val=""/>
      <w:lvlJc w:val="left"/>
      <w:pPr>
        <w:ind w:left="2880" w:hanging="360"/>
      </w:pPr>
      <w:rPr>
        <w:rFonts w:ascii="Wingdings" w:hAnsi="Wingdings" w:hint="default"/>
      </w:rPr>
    </w:lvl>
    <w:lvl w:ilvl="3" w:tplc="7842DC4A" w:tentative="1">
      <w:start w:val="1"/>
      <w:numFmt w:val="bullet"/>
      <w:lvlText w:val=""/>
      <w:lvlJc w:val="left"/>
      <w:pPr>
        <w:ind w:left="3600" w:hanging="360"/>
      </w:pPr>
      <w:rPr>
        <w:rFonts w:ascii="Symbol" w:hAnsi="Symbol" w:hint="default"/>
      </w:rPr>
    </w:lvl>
    <w:lvl w:ilvl="4" w:tplc="C6AE83D8" w:tentative="1">
      <w:start w:val="1"/>
      <w:numFmt w:val="bullet"/>
      <w:lvlText w:val="o"/>
      <w:lvlJc w:val="left"/>
      <w:pPr>
        <w:ind w:left="4320" w:hanging="360"/>
      </w:pPr>
      <w:rPr>
        <w:rFonts w:ascii="Courier New" w:hAnsi="Courier New" w:cs="Courier New" w:hint="default"/>
      </w:rPr>
    </w:lvl>
    <w:lvl w:ilvl="5" w:tplc="6636B746" w:tentative="1">
      <w:start w:val="1"/>
      <w:numFmt w:val="bullet"/>
      <w:lvlText w:val=""/>
      <w:lvlJc w:val="left"/>
      <w:pPr>
        <w:ind w:left="5040" w:hanging="360"/>
      </w:pPr>
      <w:rPr>
        <w:rFonts w:ascii="Wingdings" w:hAnsi="Wingdings" w:hint="default"/>
      </w:rPr>
    </w:lvl>
    <w:lvl w:ilvl="6" w:tplc="A9D6183C" w:tentative="1">
      <w:start w:val="1"/>
      <w:numFmt w:val="bullet"/>
      <w:lvlText w:val=""/>
      <w:lvlJc w:val="left"/>
      <w:pPr>
        <w:ind w:left="5760" w:hanging="360"/>
      </w:pPr>
      <w:rPr>
        <w:rFonts w:ascii="Symbol" w:hAnsi="Symbol" w:hint="default"/>
      </w:rPr>
    </w:lvl>
    <w:lvl w:ilvl="7" w:tplc="33DA9EF6" w:tentative="1">
      <w:start w:val="1"/>
      <w:numFmt w:val="bullet"/>
      <w:lvlText w:val="o"/>
      <w:lvlJc w:val="left"/>
      <w:pPr>
        <w:ind w:left="6480" w:hanging="360"/>
      </w:pPr>
      <w:rPr>
        <w:rFonts w:ascii="Courier New" w:hAnsi="Courier New" w:cs="Courier New" w:hint="default"/>
      </w:rPr>
    </w:lvl>
    <w:lvl w:ilvl="8" w:tplc="BA00315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1C262A4">
      <w:start w:val="1"/>
      <w:numFmt w:val="bullet"/>
      <w:lvlText w:val=""/>
      <w:lvlJc w:val="left"/>
      <w:pPr>
        <w:tabs>
          <w:tab w:val="num" w:pos="1440"/>
        </w:tabs>
        <w:ind w:left="1440" w:hanging="360"/>
      </w:pPr>
      <w:rPr>
        <w:rFonts w:ascii="Symbol" w:hAnsi="Symbol" w:hint="default"/>
        <w:sz w:val="18"/>
        <w:u w:val="none"/>
      </w:rPr>
    </w:lvl>
    <w:lvl w:ilvl="1" w:tplc="950C992C" w:tentative="1">
      <w:start w:val="1"/>
      <w:numFmt w:val="bullet"/>
      <w:lvlText w:val="o"/>
      <w:lvlJc w:val="left"/>
      <w:pPr>
        <w:tabs>
          <w:tab w:val="num" w:pos="2520"/>
        </w:tabs>
        <w:ind w:left="2520" w:hanging="360"/>
      </w:pPr>
      <w:rPr>
        <w:rFonts w:ascii="Courier New" w:hAnsi="Courier New" w:hint="default"/>
      </w:rPr>
    </w:lvl>
    <w:lvl w:ilvl="2" w:tplc="C4EE5508" w:tentative="1">
      <w:start w:val="1"/>
      <w:numFmt w:val="bullet"/>
      <w:lvlText w:val=""/>
      <w:lvlJc w:val="left"/>
      <w:pPr>
        <w:tabs>
          <w:tab w:val="num" w:pos="3240"/>
        </w:tabs>
        <w:ind w:left="3240" w:hanging="360"/>
      </w:pPr>
      <w:rPr>
        <w:rFonts w:ascii="Wingdings" w:hAnsi="Wingdings" w:hint="default"/>
      </w:rPr>
    </w:lvl>
    <w:lvl w:ilvl="3" w:tplc="6A663874" w:tentative="1">
      <w:start w:val="1"/>
      <w:numFmt w:val="bullet"/>
      <w:lvlText w:val=""/>
      <w:lvlJc w:val="left"/>
      <w:pPr>
        <w:tabs>
          <w:tab w:val="num" w:pos="3960"/>
        </w:tabs>
        <w:ind w:left="3960" w:hanging="360"/>
      </w:pPr>
      <w:rPr>
        <w:rFonts w:ascii="Symbol" w:hAnsi="Symbol" w:hint="default"/>
      </w:rPr>
    </w:lvl>
    <w:lvl w:ilvl="4" w:tplc="2B1C1622" w:tentative="1">
      <w:start w:val="1"/>
      <w:numFmt w:val="bullet"/>
      <w:lvlText w:val="o"/>
      <w:lvlJc w:val="left"/>
      <w:pPr>
        <w:tabs>
          <w:tab w:val="num" w:pos="4680"/>
        </w:tabs>
        <w:ind w:left="4680" w:hanging="360"/>
      </w:pPr>
      <w:rPr>
        <w:rFonts w:ascii="Courier New" w:hAnsi="Courier New" w:hint="default"/>
      </w:rPr>
    </w:lvl>
    <w:lvl w:ilvl="5" w:tplc="9B604770" w:tentative="1">
      <w:start w:val="1"/>
      <w:numFmt w:val="bullet"/>
      <w:lvlText w:val=""/>
      <w:lvlJc w:val="left"/>
      <w:pPr>
        <w:tabs>
          <w:tab w:val="num" w:pos="5400"/>
        </w:tabs>
        <w:ind w:left="5400" w:hanging="360"/>
      </w:pPr>
      <w:rPr>
        <w:rFonts w:ascii="Wingdings" w:hAnsi="Wingdings" w:hint="default"/>
      </w:rPr>
    </w:lvl>
    <w:lvl w:ilvl="6" w:tplc="E38AAF5E" w:tentative="1">
      <w:start w:val="1"/>
      <w:numFmt w:val="bullet"/>
      <w:lvlText w:val=""/>
      <w:lvlJc w:val="left"/>
      <w:pPr>
        <w:tabs>
          <w:tab w:val="num" w:pos="6120"/>
        </w:tabs>
        <w:ind w:left="6120" w:hanging="360"/>
      </w:pPr>
      <w:rPr>
        <w:rFonts w:ascii="Symbol" w:hAnsi="Symbol" w:hint="default"/>
      </w:rPr>
    </w:lvl>
    <w:lvl w:ilvl="7" w:tplc="4F9C7730" w:tentative="1">
      <w:start w:val="1"/>
      <w:numFmt w:val="bullet"/>
      <w:lvlText w:val="o"/>
      <w:lvlJc w:val="left"/>
      <w:pPr>
        <w:tabs>
          <w:tab w:val="num" w:pos="6840"/>
        </w:tabs>
        <w:ind w:left="6840" w:hanging="360"/>
      </w:pPr>
      <w:rPr>
        <w:rFonts w:ascii="Courier New" w:hAnsi="Courier New" w:hint="default"/>
      </w:rPr>
    </w:lvl>
    <w:lvl w:ilvl="8" w:tplc="CEC4CDA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7365A2C">
      <w:start w:val="1"/>
      <w:numFmt w:val="lowerRoman"/>
      <w:lvlText w:val="(%1)"/>
      <w:lvlJc w:val="left"/>
      <w:pPr>
        <w:tabs>
          <w:tab w:val="num" w:pos="2448"/>
        </w:tabs>
        <w:ind w:left="2448" w:hanging="648"/>
      </w:pPr>
      <w:rPr>
        <w:rFonts w:cs="Times New Roman" w:hint="default"/>
        <w:b w:val="0"/>
        <w:i w:val="0"/>
        <w:u w:val="none"/>
      </w:rPr>
    </w:lvl>
    <w:lvl w:ilvl="1" w:tplc="D86E9EF6" w:tentative="1">
      <w:start w:val="1"/>
      <w:numFmt w:val="lowerLetter"/>
      <w:lvlText w:val="%2."/>
      <w:lvlJc w:val="left"/>
      <w:pPr>
        <w:tabs>
          <w:tab w:val="num" w:pos="1440"/>
        </w:tabs>
        <w:ind w:left="1440" w:hanging="360"/>
      </w:pPr>
      <w:rPr>
        <w:rFonts w:cs="Times New Roman"/>
      </w:rPr>
    </w:lvl>
    <w:lvl w:ilvl="2" w:tplc="E7043D72" w:tentative="1">
      <w:start w:val="1"/>
      <w:numFmt w:val="lowerRoman"/>
      <w:lvlText w:val="%3."/>
      <w:lvlJc w:val="right"/>
      <w:pPr>
        <w:tabs>
          <w:tab w:val="num" w:pos="2160"/>
        </w:tabs>
        <w:ind w:left="2160" w:hanging="180"/>
      </w:pPr>
      <w:rPr>
        <w:rFonts w:cs="Times New Roman"/>
      </w:rPr>
    </w:lvl>
    <w:lvl w:ilvl="3" w:tplc="889E9532" w:tentative="1">
      <w:start w:val="1"/>
      <w:numFmt w:val="decimal"/>
      <w:lvlText w:val="%4."/>
      <w:lvlJc w:val="left"/>
      <w:pPr>
        <w:tabs>
          <w:tab w:val="num" w:pos="2880"/>
        </w:tabs>
        <w:ind w:left="2880" w:hanging="360"/>
      </w:pPr>
      <w:rPr>
        <w:rFonts w:cs="Times New Roman"/>
      </w:rPr>
    </w:lvl>
    <w:lvl w:ilvl="4" w:tplc="1F9CED12" w:tentative="1">
      <w:start w:val="1"/>
      <w:numFmt w:val="lowerLetter"/>
      <w:lvlText w:val="%5."/>
      <w:lvlJc w:val="left"/>
      <w:pPr>
        <w:tabs>
          <w:tab w:val="num" w:pos="3600"/>
        </w:tabs>
        <w:ind w:left="3600" w:hanging="360"/>
      </w:pPr>
      <w:rPr>
        <w:rFonts w:cs="Times New Roman"/>
      </w:rPr>
    </w:lvl>
    <w:lvl w:ilvl="5" w:tplc="69C4DBD4" w:tentative="1">
      <w:start w:val="1"/>
      <w:numFmt w:val="lowerRoman"/>
      <w:lvlText w:val="%6."/>
      <w:lvlJc w:val="right"/>
      <w:pPr>
        <w:tabs>
          <w:tab w:val="num" w:pos="4320"/>
        </w:tabs>
        <w:ind w:left="4320" w:hanging="180"/>
      </w:pPr>
      <w:rPr>
        <w:rFonts w:cs="Times New Roman"/>
      </w:rPr>
    </w:lvl>
    <w:lvl w:ilvl="6" w:tplc="ED568968" w:tentative="1">
      <w:start w:val="1"/>
      <w:numFmt w:val="decimal"/>
      <w:lvlText w:val="%7."/>
      <w:lvlJc w:val="left"/>
      <w:pPr>
        <w:tabs>
          <w:tab w:val="num" w:pos="5040"/>
        </w:tabs>
        <w:ind w:left="5040" w:hanging="360"/>
      </w:pPr>
      <w:rPr>
        <w:rFonts w:cs="Times New Roman"/>
      </w:rPr>
    </w:lvl>
    <w:lvl w:ilvl="7" w:tplc="E848C73C" w:tentative="1">
      <w:start w:val="1"/>
      <w:numFmt w:val="lowerLetter"/>
      <w:lvlText w:val="%8."/>
      <w:lvlJc w:val="left"/>
      <w:pPr>
        <w:tabs>
          <w:tab w:val="num" w:pos="5760"/>
        </w:tabs>
        <w:ind w:left="5760" w:hanging="360"/>
      </w:pPr>
      <w:rPr>
        <w:rFonts w:cs="Times New Roman"/>
      </w:rPr>
    </w:lvl>
    <w:lvl w:ilvl="8" w:tplc="CF3473A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D148A00">
      <w:start w:val="1"/>
      <w:numFmt w:val="bullet"/>
      <w:lvlText w:val=""/>
      <w:lvlJc w:val="left"/>
      <w:pPr>
        <w:ind w:left="1440" w:hanging="720"/>
      </w:pPr>
      <w:rPr>
        <w:rFonts w:ascii="Symbol" w:hAnsi="Symbol" w:hint="default"/>
      </w:rPr>
    </w:lvl>
    <w:lvl w:ilvl="1" w:tplc="9240256A">
      <w:start w:val="1"/>
      <w:numFmt w:val="bullet"/>
      <w:lvlText w:val="o"/>
      <w:lvlJc w:val="left"/>
      <w:pPr>
        <w:ind w:left="1440" w:hanging="360"/>
      </w:pPr>
      <w:rPr>
        <w:rFonts w:ascii="Courier New" w:hAnsi="Courier New" w:hint="default"/>
      </w:rPr>
    </w:lvl>
    <w:lvl w:ilvl="2" w:tplc="B1C69D6E">
      <w:start w:val="1"/>
      <w:numFmt w:val="bullet"/>
      <w:lvlText w:val=""/>
      <w:lvlJc w:val="left"/>
      <w:pPr>
        <w:ind w:left="2160" w:hanging="360"/>
      </w:pPr>
      <w:rPr>
        <w:rFonts w:ascii="Wingdings" w:hAnsi="Wingdings" w:hint="default"/>
      </w:rPr>
    </w:lvl>
    <w:lvl w:ilvl="3" w:tplc="F7762D12" w:tentative="1">
      <w:start w:val="1"/>
      <w:numFmt w:val="bullet"/>
      <w:lvlText w:val=""/>
      <w:lvlJc w:val="left"/>
      <w:pPr>
        <w:ind w:left="2880" w:hanging="360"/>
      </w:pPr>
      <w:rPr>
        <w:rFonts w:ascii="Symbol" w:hAnsi="Symbol" w:hint="default"/>
      </w:rPr>
    </w:lvl>
    <w:lvl w:ilvl="4" w:tplc="6972B4DC" w:tentative="1">
      <w:start w:val="1"/>
      <w:numFmt w:val="bullet"/>
      <w:lvlText w:val="o"/>
      <w:lvlJc w:val="left"/>
      <w:pPr>
        <w:ind w:left="3600" w:hanging="360"/>
      </w:pPr>
      <w:rPr>
        <w:rFonts w:ascii="Courier New" w:hAnsi="Courier New" w:hint="default"/>
      </w:rPr>
    </w:lvl>
    <w:lvl w:ilvl="5" w:tplc="0F023C58" w:tentative="1">
      <w:start w:val="1"/>
      <w:numFmt w:val="bullet"/>
      <w:lvlText w:val=""/>
      <w:lvlJc w:val="left"/>
      <w:pPr>
        <w:ind w:left="4320" w:hanging="360"/>
      </w:pPr>
      <w:rPr>
        <w:rFonts w:ascii="Wingdings" w:hAnsi="Wingdings" w:hint="default"/>
      </w:rPr>
    </w:lvl>
    <w:lvl w:ilvl="6" w:tplc="6FB4E3BC" w:tentative="1">
      <w:start w:val="1"/>
      <w:numFmt w:val="bullet"/>
      <w:lvlText w:val=""/>
      <w:lvlJc w:val="left"/>
      <w:pPr>
        <w:ind w:left="5040" w:hanging="360"/>
      </w:pPr>
      <w:rPr>
        <w:rFonts w:ascii="Symbol" w:hAnsi="Symbol" w:hint="default"/>
      </w:rPr>
    </w:lvl>
    <w:lvl w:ilvl="7" w:tplc="29D090B4" w:tentative="1">
      <w:start w:val="1"/>
      <w:numFmt w:val="bullet"/>
      <w:lvlText w:val="o"/>
      <w:lvlJc w:val="left"/>
      <w:pPr>
        <w:ind w:left="5760" w:hanging="360"/>
      </w:pPr>
      <w:rPr>
        <w:rFonts w:ascii="Courier New" w:hAnsi="Courier New" w:hint="default"/>
      </w:rPr>
    </w:lvl>
    <w:lvl w:ilvl="8" w:tplc="CE562F2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0F28928">
      <w:start w:val="1"/>
      <w:numFmt w:val="bullet"/>
      <w:lvlText w:val=""/>
      <w:lvlJc w:val="left"/>
      <w:pPr>
        <w:tabs>
          <w:tab w:val="num" w:pos="5760"/>
        </w:tabs>
        <w:ind w:left="5760" w:hanging="360"/>
      </w:pPr>
      <w:rPr>
        <w:rFonts w:ascii="Symbol" w:hAnsi="Symbol" w:hint="default"/>
        <w:color w:val="auto"/>
        <w:u w:val="none"/>
      </w:rPr>
    </w:lvl>
    <w:lvl w:ilvl="1" w:tplc="36D4B814" w:tentative="1">
      <w:start w:val="1"/>
      <w:numFmt w:val="bullet"/>
      <w:lvlText w:val="o"/>
      <w:lvlJc w:val="left"/>
      <w:pPr>
        <w:tabs>
          <w:tab w:val="num" w:pos="3600"/>
        </w:tabs>
        <w:ind w:left="3600" w:hanging="360"/>
      </w:pPr>
      <w:rPr>
        <w:rFonts w:ascii="Courier New" w:hAnsi="Courier New" w:hint="default"/>
      </w:rPr>
    </w:lvl>
    <w:lvl w:ilvl="2" w:tplc="72A20AA8" w:tentative="1">
      <w:start w:val="1"/>
      <w:numFmt w:val="bullet"/>
      <w:lvlText w:val=""/>
      <w:lvlJc w:val="left"/>
      <w:pPr>
        <w:tabs>
          <w:tab w:val="num" w:pos="4320"/>
        </w:tabs>
        <w:ind w:left="4320" w:hanging="360"/>
      </w:pPr>
      <w:rPr>
        <w:rFonts w:ascii="Wingdings" w:hAnsi="Wingdings" w:hint="default"/>
      </w:rPr>
    </w:lvl>
    <w:lvl w:ilvl="3" w:tplc="1EB6748A">
      <w:start w:val="1"/>
      <w:numFmt w:val="bullet"/>
      <w:lvlText w:val=""/>
      <w:lvlJc w:val="left"/>
      <w:pPr>
        <w:tabs>
          <w:tab w:val="num" w:pos="5040"/>
        </w:tabs>
        <w:ind w:left="5040" w:hanging="360"/>
      </w:pPr>
      <w:rPr>
        <w:rFonts w:ascii="Symbol" w:hAnsi="Symbol" w:hint="default"/>
      </w:rPr>
    </w:lvl>
    <w:lvl w:ilvl="4" w:tplc="4E961F3C" w:tentative="1">
      <w:start w:val="1"/>
      <w:numFmt w:val="bullet"/>
      <w:lvlText w:val="o"/>
      <w:lvlJc w:val="left"/>
      <w:pPr>
        <w:tabs>
          <w:tab w:val="num" w:pos="5760"/>
        </w:tabs>
        <w:ind w:left="5760" w:hanging="360"/>
      </w:pPr>
      <w:rPr>
        <w:rFonts w:ascii="Courier New" w:hAnsi="Courier New" w:hint="default"/>
      </w:rPr>
    </w:lvl>
    <w:lvl w:ilvl="5" w:tplc="B7C69F52" w:tentative="1">
      <w:start w:val="1"/>
      <w:numFmt w:val="bullet"/>
      <w:lvlText w:val=""/>
      <w:lvlJc w:val="left"/>
      <w:pPr>
        <w:tabs>
          <w:tab w:val="num" w:pos="6480"/>
        </w:tabs>
        <w:ind w:left="6480" w:hanging="360"/>
      </w:pPr>
      <w:rPr>
        <w:rFonts w:ascii="Wingdings" w:hAnsi="Wingdings" w:hint="default"/>
      </w:rPr>
    </w:lvl>
    <w:lvl w:ilvl="6" w:tplc="BC36EB4A" w:tentative="1">
      <w:start w:val="1"/>
      <w:numFmt w:val="bullet"/>
      <w:lvlText w:val=""/>
      <w:lvlJc w:val="left"/>
      <w:pPr>
        <w:tabs>
          <w:tab w:val="num" w:pos="7200"/>
        </w:tabs>
        <w:ind w:left="7200" w:hanging="360"/>
      </w:pPr>
      <w:rPr>
        <w:rFonts w:ascii="Symbol" w:hAnsi="Symbol" w:hint="default"/>
      </w:rPr>
    </w:lvl>
    <w:lvl w:ilvl="7" w:tplc="2C38C550" w:tentative="1">
      <w:start w:val="1"/>
      <w:numFmt w:val="bullet"/>
      <w:lvlText w:val="o"/>
      <w:lvlJc w:val="left"/>
      <w:pPr>
        <w:tabs>
          <w:tab w:val="num" w:pos="7920"/>
        </w:tabs>
        <w:ind w:left="7920" w:hanging="360"/>
      </w:pPr>
      <w:rPr>
        <w:rFonts w:ascii="Courier New" w:hAnsi="Courier New" w:hint="default"/>
      </w:rPr>
    </w:lvl>
    <w:lvl w:ilvl="8" w:tplc="46581C1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013BE5"/>
    <w:rsid w:val="00013BE5"/>
    <w:rsid w:val="00D0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B0"/>
    <w:rPr>
      <w:sz w:val="24"/>
      <w:szCs w:val="24"/>
    </w:rPr>
  </w:style>
  <w:style w:type="paragraph" w:styleId="Heading1">
    <w:name w:val="heading 1"/>
    <w:basedOn w:val="Normal"/>
    <w:next w:val="Normal"/>
    <w:link w:val="Heading1Char"/>
    <w:qFormat/>
    <w:rsid w:val="00E76FB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76FB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76FB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76FB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76FB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76FB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76FB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76FB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76FB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76FB0"/>
    <w:rPr>
      <w:rFonts w:ascii="Cambria" w:hAnsi="Cambria" w:cs="Times New Roman"/>
      <w:b/>
      <w:bCs/>
      <w:kern w:val="32"/>
      <w:sz w:val="32"/>
      <w:szCs w:val="32"/>
    </w:rPr>
  </w:style>
  <w:style w:type="character" w:customStyle="1" w:styleId="Heading2Char">
    <w:name w:val="Heading 2 Char"/>
    <w:link w:val="Heading2"/>
    <w:locked/>
    <w:rsid w:val="00E76FB0"/>
    <w:rPr>
      <w:rFonts w:cs="Times New Roman"/>
      <w:b/>
      <w:sz w:val="24"/>
    </w:rPr>
  </w:style>
  <w:style w:type="character" w:customStyle="1" w:styleId="Heading3Char">
    <w:name w:val="Heading 3 Char"/>
    <w:link w:val="Heading3"/>
    <w:locked/>
    <w:rsid w:val="00E76FB0"/>
    <w:rPr>
      <w:rFonts w:cs="Times New Roman"/>
      <w:b/>
      <w:snapToGrid w:val="0"/>
      <w:sz w:val="24"/>
      <w:lang w:val="en-US" w:eastAsia="en-US"/>
    </w:rPr>
  </w:style>
  <w:style w:type="character" w:customStyle="1" w:styleId="Heading4Char">
    <w:name w:val="Heading 4 Char"/>
    <w:link w:val="Heading4"/>
    <w:locked/>
    <w:rsid w:val="00E76FB0"/>
    <w:rPr>
      <w:rFonts w:cs="Times New Roman"/>
      <w:b/>
      <w:sz w:val="24"/>
    </w:rPr>
  </w:style>
  <w:style w:type="character" w:customStyle="1" w:styleId="Heading5Char">
    <w:name w:val="Heading 5 Char"/>
    <w:link w:val="Heading5"/>
    <w:semiHidden/>
    <w:locked/>
    <w:rsid w:val="00E76FB0"/>
    <w:rPr>
      <w:rFonts w:ascii="Calibri" w:hAnsi="Calibri" w:cs="Times New Roman"/>
      <w:b/>
      <w:bCs/>
      <w:i/>
      <w:iCs/>
      <w:sz w:val="26"/>
      <w:szCs w:val="26"/>
    </w:rPr>
  </w:style>
  <w:style w:type="character" w:customStyle="1" w:styleId="Heading6Char">
    <w:name w:val="Heading 6 Char"/>
    <w:link w:val="Heading6"/>
    <w:semiHidden/>
    <w:locked/>
    <w:rsid w:val="00E76FB0"/>
    <w:rPr>
      <w:rFonts w:ascii="Calibri" w:hAnsi="Calibri" w:cs="Times New Roman"/>
      <w:b/>
      <w:bCs/>
    </w:rPr>
  </w:style>
  <w:style w:type="character" w:customStyle="1" w:styleId="Heading7Char">
    <w:name w:val="Heading 7 Char"/>
    <w:link w:val="Heading7"/>
    <w:semiHidden/>
    <w:locked/>
    <w:rsid w:val="00E76FB0"/>
    <w:rPr>
      <w:rFonts w:ascii="Calibri" w:hAnsi="Calibri" w:cs="Times New Roman"/>
      <w:sz w:val="24"/>
      <w:szCs w:val="24"/>
    </w:rPr>
  </w:style>
  <w:style w:type="character" w:customStyle="1" w:styleId="Heading8Char">
    <w:name w:val="Heading 8 Char"/>
    <w:link w:val="Heading8"/>
    <w:semiHidden/>
    <w:locked/>
    <w:rsid w:val="00E76FB0"/>
    <w:rPr>
      <w:rFonts w:ascii="Calibri" w:hAnsi="Calibri" w:cs="Times New Roman"/>
      <w:i/>
      <w:iCs/>
      <w:sz w:val="24"/>
      <w:szCs w:val="24"/>
    </w:rPr>
  </w:style>
  <w:style w:type="character" w:customStyle="1" w:styleId="Heading9Char">
    <w:name w:val="Heading 9 Char"/>
    <w:link w:val="Heading9"/>
    <w:semiHidden/>
    <w:locked/>
    <w:rsid w:val="00E76FB0"/>
    <w:rPr>
      <w:rFonts w:ascii="Cambria" w:hAnsi="Cambria" w:cs="Times New Roman"/>
    </w:rPr>
  </w:style>
  <w:style w:type="paragraph" w:customStyle="1" w:styleId="appendixhead">
    <w:name w:val="appendix head"/>
    <w:basedOn w:val="Normal"/>
    <w:rsid w:val="00E76FB0"/>
    <w:pPr>
      <w:keepNext/>
      <w:pageBreakBefore/>
      <w:spacing w:before="240" w:after="240"/>
    </w:pPr>
    <w:rPr>
      <w:b/>
    </w:rPr>
  </w:style>
  <w:style w:type="character" w:styleId="CommentReference">
    <w:name w:val="annotation reference"/>
    <w:uiPriority w:val="99"/>
    <w:rsid w:val="00E76FB0"/>
    <w:rPr>
      <w:rFonts w:cs="Times New Roman"/>
      <w:spacing w:val="0"/>
      <w:sz w:val="16"/>
    </w:rPr>
  </w:style>
  <w:style w:type="paragraph" w:customStyle="1" w:styleId="appendixsubhead">
    <w:name w:val="appendix subhead"/>
    <w:basedOn w:val="Heading4"/>
    <w:rsid w:val="00E76FB0"/>
    <w:pPr>
      <w:tabs>
        <w:tab w:val="clear" w:pos="1800"/>
      </w:tabs>
      <w:ind w:left="1080"/>
    </w:pPr>
  </w:style>
  <w:style w:type="paragraph" w:customStyle="1" w:styleId="italpara">
    <w:name w:val="ital para"/>
    <w:basedOn w:val="Normal"/>
    <w:rsid w:val="00E76FB0"/>
    <w:pPr>
      <w:spacing w:before="120" w:after="240"/>
      <w:ind w:left="720"/>
    </w:pPr>
    <w:rPr>
      <w:i/>
    </w:rPr>
  </w:style>
  <w:style w:type="paragraph" w:customStyle="1" w:styleId="alphaparasub">
    <w:name w:val="alpha para sub"/>
    <w:basedOn w:val="alphapara"/>
    <w:rsid w:val="00E76FB0"/>
    <w:pPr>
      <w:ind w:firstLine="0"/>
    </w:pPr>
  </w:style>
  <w:style w:type="paragraph" w:customStyle="1" w:styleId="alphapara">
    <w:name w:val="alpha para"/>
    <w:basedOn w:val="Bodypara"/>
    <w:rsid w:val="00E76FB0"/>
    <w:pPr>
      <w:ind w:left="1440" w:hanging="720"/>
    </w:pPr>
  </w:style>
  <w:style w:type="paragraph" w:customStyle="1" w:styleId="Bodypara">
    <w:name w:val="Body para"/>
    <w:basedOn w:val="Normal"/>
    <w:rsid w:val="00E76FB0"/>
    <w:pPr>
      <w:spacing w:line="480" w:lineRule="auto"/>
      <w:ind w:firstLine="720"/>
    </w:pPr>
  </w:style>
  <w:style w:type="character" w:styleId="EndnoteReference">
    <w:name w:val="endnote reference"/>
    <w:semiHidden/>
    <w:rsid w:val="00E76FB0"/>
    <w:rPr>
      <w:rFonts w:cs="Times New Roman"/>
      <w:spacing w:val="0"/>
      <w:vertAlign w:val="superscript"/>
    </w:rPr>
  </w:style>
  <w:style w:type="paragraph" w:styleId="Index1">
    <w:name w:val="index 1"/>
    <w:basedOn w:val="Normal"/>
    <w:next w:val="Normal"/>
    <w:semiHidden/>
    <w:rsid w:val="00E76FB0"/>
    <w:pPr>
      <w:ind w:left="240" w:hanging="240"/>
    </w:pPr>
  </w:style>
  <w:style w:type="character" w:styleId="FootnoteReference">
    <w:name w:val="footnote reference"/>
    <w:semiHidden/>
    <w:rsid w:val="00E76FB0"/>
    <w:rPr>
      <w:rFonts w:cs="Times New Roman"/>
    </w:rPr>
  </w:style>
  <w:style w:type="character" w:styleId="Hyperlink">
    <w:name w:val="Hyperlink"/>
    <w:rsid w:val="00E76FB0"/>
    <w:rPr>
      <w:rFonts w:cs="Times New Roman"/>
      <w:color w:val="0000FF"/>
      <w:u w:val="single"/>
    </w:rPr>
  </w:style>
  <w:style w:type="paragraph" w:styleId="TOC1">
    <w:name w:val="toc 1"/>
    <w:basedOn w:val="Normal"/>
    <w:next w:val="Normal"/>
    <w:semiHidden/>
    <w:rsid w:val="00E76FB0"/>
  </w:style>
  <w:style w:type="character" w:styleId="PageNumber">
    <w:name w:val="page number"/>
    <w:rsid w:val="00E76FB0"/>
    <w:rPr>
      <w:rFonts w:cs="Times New Roman"/>
    </w:rPr>
  </w:style>
  <w:style w:type="table" w:styleId="TableGrid">
    <w:name w:val="Table Grid"/>
    <w:basedOn w:val="TableNormal"/>
    <w:semiHidden/>
    <w:rsid w:val="00E7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E76FB0"/>
    <w:pPr>
      <w:spacing w:before="240" w:after="240"/>
    </w:pPr>
  </w:style>
  <w:style w:type="paragraph" w:customStyle="1" w:styleId="Definitionindent">
    <w:name w:val="Definition indent"/>
    <w:basedOn w:val="Definition"/>
    <w:rsid w:val="00E76FB0"/>
    <w:pPr>
      <w:spacing w:before="120" w:after="120"/>
      <w:ind w:left="720"/>
    </w:pPr>
  </w:style>
  <w:style w:type="paragraph" w:customStyle="1" w:styleId="TOCHeading1">
    <w:name w:val="TOC Heading1"/>
    <w:basedOn w:val="Normal"/>
    <w:rsid w:val="00E76FB0"/>
    <w:pPr>
      <w:spacing w:before="240" w:after="240"/>
    </w:pPr>
    <w:rPr>
      <w:b/>
    </w:rPr>
  </w:style>
  <w:style w:type="paragraph" w:styleId="DocumentMap">
    <w:name w:val="Document Map"/>
    <w:basedOn w:val="Normal"/>
    <w:link w:val="DocumentMapChar"/>
    <w:semiHidden/>
    <w:rsid w:val="00E76FB0"/>
    <w:pPr>
      <w:shd w:val="clear" w:color="auto" w:fill="000080"/>
    </w:pPr>
    <w:rPr>
      <w:sz w:val="2"/>
      <w:szCs w:val="20"/>
    </w:rPr>
  </w:style>
  <w:style w:type="character" w:customStyle="1" w:styleId="DocumentMapChar">
    <w:name w:val="Document Map Char"/>
    <w:link w:val="DocumentMap"/>
    <w:semiHidden/>
    <w:locked/>
    <w:rsid w:val="00E76FB0"/>
    <w:rPr>
      <w:rFonts w:cs="Times New Roman"/>
      <w:sz w:val="2"/>
    </w:rPr>
  </w:style>
  <w:style w:type="paragraph" w:styleId="BalloonText">
    <w:name w:val="Balloon Text"/>
    <w:basedOn w:val="Normal"/>
    <w:link w:val="BalloonTextChar"/>
    <w:semiHidden/>
    <w:rsid w:val="00E76FB0"/>
    <w:rPr>
      <w:sz w:val="2"/>
      <w:szCs w:val="20"/>
    </w:rPr>
  </w:style>
  <w:style w:type="character" w:customStyle="1" w:styleId="BalloonTextChar">
    <w:name w:val="Balloon Text Char"/>
    <w:link w:val="BalloonText"/>
    <w:semiHidden/>
    <w:locked/>
    <w:rsid w:val="00E76FB0"/>
    <w:rPr>
      <w:rFonts w:cs="Times New Roman"/>
      <w:sz w:val="2"/>
    </w:rPr>
  </w:style>
  <w:style w:type="paragraph" w:customStyle="1" w:styleId="subhead">
    <w:name w:val="subhead"/>
    <w:basedOn w:val="Heading4"/>
    <w:rsid w:val="00E76FB0"/>
    <w:pPr>
      <w:tabs>
        <w:tab w:val="clear" w:pos="1800"/>
      </w:tabs>
      <w:ind w:left="720" w:firstLine="0"/>
    </w:pPr>
  </w:style>
  <w:style w:type="paragraph" w:customStyle="1" w:styleId="alphaheading">
    <w:name w:val="alpha heading"/>
    <w:basedOn w:val="Normal"/>
    <w:rsid w:val="00E76FB0"/>
    <w:pPr>
      <w:keepNext/>
      <w:tabs>
        <w:tab w:val="left" w:pos="1440"/>
      </w:tabs>
      <w:spacing w:before="240" w:after="240"/>
      <w:ind w:left="1440" w:hanging="720"/>
    </w:pPr>
    <w:rPr>
      <w:b/>
    </w:rPr>
  </w:style>
  <w:style w:type="paragraph" w:customStyle="1" w:styleId="romannumeralpara">
    <w:name w:val="roman numeral para"/>
    <w:basedOn w:val="Normal"/>
    <w:rsid w:val="00E76FB0"/>
    <w:pPr>
      <w:spacing w:line="480" w:lineRule="auto"/>
      <w:ind w:left="1440" w:hanging="720"/>
    </w:pPr>
  </w:style>
  <w:style w:type="paragraph" w:customStyle="1" w:styleId="Bulletpara">
    <w:name w:val="Bullet para"/>
    <w:basedOn w:val="Normal"/>
    <w:rsid w:val="00E76FB0"/>
    <w:pPr>
      <w:numPr>
        <w:numId w:val="12"/>
      </w:numPr>
      <w:tabs>
        <w:tab w:val="left" w:pos="900"/>
      </w:tabs>
      <w:spacing w:before="120" w:after="120"/>
    </w:pPr>
  </w:style>
  <w:style w:type="paragraph" w:customStyle="1" w:styleId="Tarifftitle">
    <w:name w:val="Tariff title"/>
    <w:basedOn w:val="Normal"/>
    <w:rsid w:val="00E76FB0"/>
    <w:rPr>
      <w:b/>
      <w:sz w:val="28"/>
      <w:szCs w:val="28"/>
    </w:rPr>
  </w:style>
  <w:style w:type="paragraph" w:styleId="TOC2">
    <w:name w:val="toc 2"/>
    <w:basedOn w:val="Normal"/>
    <w:next w:val="Normal"/>
    <w:semiHidden/>
    <w:rsid w:val="00E76FB0"/>
    <w:pPr>
      <w:ind w:left="240"/>
    </w:pPr>
  </w:style>
  <w:style w:type="paragraph" w:styleId="TOC3">
    <w:name w:val="toc 3"/>
    <w:basedOn w:val="Normal"/>
    <w:next w:val="Normal"/>
    <w:semiHidden/>
    <w:rsid w:val="00E76FB0"/>
    <w:pPr>
      <w:ind w:left="480"/>
    </w:pPr>
  </w:style>
  <w:style w:type="paragraph" w:styleId="TOC4">
    <w:name w:val="toc 4"/>
    <w:basedOn w:val="Normal"/>
    <w:next w:val="Normal"/>
    <w:semiHidden/>
    <w:rsid w:val="00E76FB0"/>
    <w:pPr>
      <w:ind w:left="720"/>
    </w:pPr>
  </w:style>
  <w:style w:type="paragraph" w:customStyle="1" w:styleId="Level1">
    <w:name w:val="Level 1"/>
    <w:basedOn w:val="Normal"/>
    <w:rsid w:val="00E76FB0"/>
    <w:pPr>
      <w:ind w:left="1890" w:hanging="720"/>
    </w:pPr>
  </w:style>
  <w:style w:type="paragraph" w:styleId="Header">
    <w:name w:val="header"/>
    <w:basedOn w:val="Normal"/>
    <w:link w:val="HeaderChar"/>
    <w:uiPriority w:val="99"/>
    <w:rsid w:val="00E76FB0"/>
    <w:pPr>
      <w:tabs>
        <w:tab w:val="center" w:pos="4680"/>
        <w:tab w:val="right" w:pos="9360"/>
      </w:tabs>
    </w:pPr>
  </w:style>
  <w:style w:type="character" w:customStyle="1" w:styleId="HeaderChar">
    <w:name w:val="Header Char"/>
    <w:link w:val="Header"/>
    <w:uiPriority w:val="99"/>
    <w:locked/>
    <w:rsid w:val="00E76FB0"/>
    <w:rPr>
      <w:rFonts w:cs="Times New Roman"/>
      <w:sz w:val="24"/>
      <w:szCs w:val="24"/>
    </w:rPr>
  </w:style>
  <w:style w:type="paragraph" w:styleId="Date">
    <w:name w:val="Date"/>
    <w:basedOn w:val="Normal"/>
    <w:next w:val="Normal"/>
    <w:link w:val="DateChar"/>
    <w:rsid w:val="00E76FB0"/>
  </w:style>
  <w:style w:type="character" w:customStyle="1" w:styleId="DateChar">
    <w:name w:val="Date Char"/>
    <w:link w:val="Date"/>
    <w:semiHidden/>
    <w:locked/>
    <w:rsid w:val="00E76FB0"/>
    <w:rPr>
      <w:rFonts w:cs="Times New Roman"/>
      <w:sz w:val="24"/>
      <w:szCs w:val="24"/>
    </w:rPr>
  </w:style>
  <w:style w:type="paragraph" w:customStyle="1" w:styleId="Footers">
    <w:name w:val="Footers"/>
    <w:basedOn w:val="Heading1"/>
    <w:rsid w:val="00E76FB0"/>
    <w:pPr>
      <w:tabs>
        <w:tab w:val="left" w:pos="1440"/>
        <w:tab w:val="left" w:pos="7020"/>
        <w:tab w:val="right" w:pos="9360"/>
      </w:tabs>
    </w:pPr>
    <w:rPr>
      <w:b w:val="0"/>
      <w:sz w:val="20"/>
    </w:rPr>
  </w:style>
  <w:style w:type="paragraph" w:styleId="Footer">
    <w:name w:val="footer"/>
    <w:basedOn w:val="Normal"/>
    <w:link w:val="FooterChar"/>
    <w:rsid w:val="00E76FB0"/>
    <w:pPr>
      <w:tabs>
        <w:tab w:val="center" w:pos="4320"/>
        <w:tab w:val="right" w:pos="8640"/>
      </w:tabs>
    </w:pPr>
    <w:rPr>
      <w:szCs w:val="20"/>
    </w:rPr>
  </w:style>
  <w:style w:type="character" w:customStyle="1" w:styleId="FooterChar">
    <w:name w:val="Footer Char"/>
    <w:link w:val="Footer"/>
    <w:locked/>
    <w:rsid w:val="00E76FB0"/>
    <w:rPr>
      <w:rFonts w:cs="Times New Roman"/>
      <w:sz w:val="24"/>
    </w:rPr>
  </w:style>
  <w:style w:type="paragraph" w:styleId="CommentText">
    <w:name w:val="annotation text"/>
    <w:basedOn w:val="Normal"/>
    <w:link w:val="CommentTextChar"/>
    <w:rsid w:val="00E76FB0"/>
    <w:rPr>
      <w:sz w:val="20"/>
      <w:szCs w:val="20"/>
    </w:rPr>
  </w:style>
  <w:style w:type="character" w:customStyle="1" w:styleId="CommentTextChar">
    <w:name w:val="Comment Text Char"/>
    <w:link w:val="CommentText"/>
    <w:locked/>
    <w:rsid w:val="00E76FB0"/>
    <w:rPr>
      <w:rFonts w:cs="Times New Roman"/>
    </w:rPr>
  </w:style>
  <w:style w:type="paragraph" w:styleId="CommentSubject">
    <w:name w:val="annotation subject"/>
    <w:basedOn w:val="CommentText"/>
    <w:next w:val="CommentText"/>
    <w:link w:val="CommentSubjectChar"/>
    <w:rsid w:val="00E76FB0"/>
    <w:rPr>
      <w:b/>
    </w:rPr>
  </w:style>
  <w:style w:type="character" w:customStyle="1" w:styleId="CommentSubjectChar">
    <w:name w:val="Comment Subject Char"/>
    <w:link w:val="CommentSubject"/>
    <w:locked/>
    <w:rsid w:val="00E76FB0"/>
    <w:rPr>
      <w:rFonts w:cs="Times New Roman"/>
      <w:b/>
    </w:rPr>
  </w:style>
  <w:style w:type="paragraph" w:styleId="Revision">
    <w:name w:val="Revision"/>
    <w:hidden/>
    <w:semiHidden/>
    <w:rsid w:val="00E76FB0"/>
    <w:rPr>
      <w:sz w:val="24"/>
      <w:szCs w:val="24"/>
    </w:rPr>
  </w:style>
  <w:style w:type="paragraph" w:customStyle="1" w:styleId="TOCHeading2">
    <w:name w:val="TOC Heading2"/>
    <w:basedOn w:val="Normal"/>
    <w:rsid w:val="00E76FB0"/>
    <w:pPr>
      <w:spacing w:before="240" w:after="240"/>
    </w:pPr>
    <w:rPr>
      <w:b/>
    </w:rPr>
  </w:style>
  <w:style w:type="paragraph" w:styleId="EndnoteText">
    <w:name w:val="endnote text"/>
    <w:basedOn w:val="Normal"/>
    <w:link w:val="EndnoteTextChar"/>
    <w:rsid w:val="00E76FB0"/>
    <w:rPr>
      <w:sz w:val="20"/>
      <w:szCs w:val="20"/>
    </w:rPr>
  </w:style>
  <w:style w:type="character" w:customStyle="1" w:styleId="EndnoteTextChar">
    <w:name w:val="Endnote Text Char"/>
    <w:link w:val="EndnoteText"/>
    <w:locked/>
    <w:rsid w:val="00E76FB0"/>
    <w:rPr>
      <w:rFonts w:cs="Times New Roman"/>
    </w:rPr>
  </w:style>
  <w:style w:type="paragraph" w:styleId="BodyText">
    <w:name w:val="Body Text"/>
    <w:aliases w:val="b"/>
    <w:basedOn w:val="Normal"/>
    <w:link w:val="BodyTextChar"/>
    <w:rsid w:val="00E76FB0"/>
    <w:pPr>
      <w:spacing w:after="240"/>
    </w:pPr>
  </w:style>
  <w:style w:type="character" w:customStyle="1" w:styleId="BodyTextChar">
    <w:name w:val="Body Text Char"/>
    <w:aliases w:val="b Char"/>
    <w:link w:val="BodyText"/>
    <w:locked/>
    <w:rsid w:val="00E76FB0"/>
    <w:rPr>
      <w:rFonts w:cs="Times New Roman"/>
      <w:sz w:val="24"/>
      <w:szCs w:val="24"/>
    </w:rPr>
  </w:style>
  <w:style w:type="character" w:customStyle="1" w:styleId="apple-style-span">
    <w:name w:val="apple-style-span"/>
    <w:rsid w:val="00E76FB0"/>
    <w:rPr>
      <w:rFonts w:cs="Times New Roman"/>
    </w:rPr>
  </w:style>
  <w:style w:type="paragraph" w:customStyle="1" w:styleId="Heading22">
    <w:name w:val="Heading 2_2"/>
    <w:basedOn w:val="Normal"/>
    <w:next w:val="Normal"/>
    <w:rsid w:val="00E76FB0"/>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E76FB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76FB0"/>
    <w:rPr>
      <w:rFonts w:ascii="Calibri" w:hAnsi="Calibri"/>
      <w:b/>
      <w:sz w:val="24"/>
    </w:rPr>
  </w:style>
  <w:style w:type="paragraph" w:customStyle="1" w:styleId="Heading41">
    <w:name w:val="Heading 4_1"/>
    <w:basedOn w:val="Normal"/>
    <w:next w:val="Normal"/>
    <w:rsid w:val="00E76FB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76FB0"/>
    <w:pPr>
      <w:spacing w:line="480" w:lineRule="auto"/>
      <w:ind w:firstLine="720"/>
    </w:pPr>
    <w:rPr>
      <w:rFonts w:ascii="Calibri" w:hAnsi="Calibri"/>
    </w:rPr>
  </w:style>
  <w:style w:type="paragraph" w:customStyle="1" w:styleId="alphapara1">
    <w:name w:val="alpha para_1"/>
    <w:basedOn w:val="Bodypara1"/>
    <w:rsid w:val="00E76FB0"/>
    <w:pPr>
      <w:ind w:left="1440" w:hanging="720"/>
    </w:pPr>
  </w:style>
  <w:style w:type="paragraph" w:customStyle="1" w:styleId="romannumeralpara0">
    <w:name w:val="roman numeral para_0"/>
    <w:basedOn w:val="Normal"/>
    <w:rsid w:val="00E76FB0"/>
    <w:pPr>
      <w:spacing w:line="480" w:lineRule="auto"/>
      <w:ind w:left="1440" w:hanging="720"/>
    </w:pPr>
    <w:rPr>
      <w:rFonts w:ascii="Calibri" w:hAnsi="Calibri"/>
    </w:rPr>
  </w:style>
  <w:style w:type="paragraph" w:customStyle="1" w:styleId="00BulletList">
    <w:name w:val="00 Bullet List"/>
    <w:basedOn w:val="Normal"/>
    <w:rsid w:val="00E76FB0"/>
    <w:pPr>
      <w:numPr>
        <w:numId w:val="19"/>
      </w:numPr>
      <w:autoSpaceDE w:val="0"/>
      <w:autoSpaceDN w:val="0"/>
      <w:adjustRightInd w:val="0"/>
      <w:spacing w:after="120"/>
    </w:pPr>
    <w:rPr>
      <w:sz w:val="23"/>
    </w:rPr>
  </w:style>
  <w:style w:type="paragraph" w:customStyle="1" w:styleId="00Normal">
    <w:name w:val="00 Normal"/>
    <w:basedOn w:val="Normal"/>
    <w:rsid w:val="00E76FB0"/>
    <w:pPr>
      <w:autoSpaceDE w:val="0"/>
      <w:autoSpaceDN w:val="0"/>
      <w:adjustRightInd w:val="0"/>
      <w:spacing w:after="240"/>
      <w:jc w:val="both"/>
    </w:pPr>
    <w:rPr>
      <w:sz w:val="23"/>
      <w:szCs w:val="23"/>
    </w:rPr>
  </w:style>
  <w:style w:type="paragraph" w:styleId="FootnoteText">
    <w:name w:val="footnote text"/>
    <w:basedOn w:val="Normal"/>
    <w:link w:val="FootnoteTextChar"/>
    <w:locked/>
    <w:rsid w:val="00A60185"/>
    <w:rPr>
      <w:sz w:val="20"/>
      <w:szCs w:val="20"/>
    </w:rPr>
  </w:style>
  <w:style w:type="character" w:customStyle="1" w:styleId="FootnoteTextChar">
    <w:name w:val="Footnote Text Char"/>
    <w:basedOn w:val="DefaultParagraphFont"/>
    <w:link w:val="FootnoteText"/>
    <w:rsid w:val="00A60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FB0D-F8C1-44C9-B23F-6457B84D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5399</Words>
  <Characters>30780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