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33" w:rsidRPr="00440DC3" w:rsidRDefault="00EC714E" w:rsidP="00440DC3">
      <w:pPr>
        <w:pStyle w:val="Heading1"/>
      </w:pPr>
      <w:bookmarkStart w:id="0" w:name="_Toc262657346"/>
      <w:bookmarkStart w:id="1" w:name="_GoBack"/>
      <w:bookmarkEnd w:id="1"/>
      <w:r w:rsidRPr="00440DC3">
        <w:t>30</w:t>
      </w:r>
      <w:r w:rsidRPr="00440DC3">
        <w:tab/>
      </w:r>
      <w:r>
        <w:t xml:space="preserve">Attachment X – </w:t>
      </w:r>
      <w:r w:rsidRPr="00440DC3">
        <w:t xml:space="preserve">Standard Large Facility Interconnection Procedures (Applicable </w:t>
      </w:r>
      <w:r>
        <w:t>t</w:t>
      </w:r>
      <w:r w:rsidRPr="00440DC3">
        <w:t>o Generating Facilities that exceed 20 MWs and to Merchant Transmission Facilities)</w:t>
      </w:r>
      <w:bookmarkEnd w:id="0"/>
    </w:p>
    <w:sectPr w:rsidR="00581E33" w:rsidRPr="00440DC3" w:rsidSect="007D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714E">
      <w:r>
        <w:separator/>
      </w:r>
    </w:p>
  </w:endnote>
  <w:endnote w:type="continuationSeparator" w:id="0">
    <w:p w:rsidR="00000000" w:rsidRDefault="00EC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B" w:rsidRDefault="00EC714E">
    <w:pPr>
      <w:jc w:val="right"/>
    </w:pPr>
    <w:r>
      <w:rPr>
        <w:rFonts w:ascii="Arial" w:eastAsia="Arial" w:hAnsi="Arial" w:cs="Arial"/>
        <w:color w:val="000000"/>
        <w:sz w:val="16"/>
      </w:rPr>
      <w:t>Effective Date: 6/30/2010 -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B" w:rsidRDefault="00EC714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B" w:rsidRDefault="00EC714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714E">
      <w:r>
        <w:separator/>
      </w:r>
    </w:p>
  </w:footnote>
  <w:footnote w:type="continuationSeparator" w:id="0">
    <w:p w:rsidR="00000000" w:rsidRDefault="00EC7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B" w:rsidRDefault="00EC714E"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30 OATT Attachment X - Standard Large Facility Interconnecti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B" w:rsidRDefault="00EC714E"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B" w:rsidRDefault="00EC714E"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B7D039B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AD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8F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6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9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64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47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04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E84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 w:tplc="CF7A27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6C3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E6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C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F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FEC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82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C5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565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72A749B"/>
    <w:multiLevelType w:val="hybridMultilevel"/>
    <w:tmpl w:val="EBD879C0"/>
    <w:lvl w:ilvl="0" w:tplc="E53A953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0F09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0F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6E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4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45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CD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01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4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71739E9"/>
    <w:multiLevelType w:val="hybridMultilevel"/>
    <w:tmpl w:val="B29C98A0"/>
    <w:lvl w:ilvl="0" w:tplc="CBC603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3E27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0146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C9818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0A62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E628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326901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AA44DC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6AE5F6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17"/>
  </w:num>
  <w:num w:numId="6">
    <w:abstractNumId w:val="33"/>
  </w:num>
  <w:num w:numId="7">
    <w:abstractNumId w:val="31"/>
  </w:num>
  <w:num w:numId="8">
    <w:abstractNumId w:val="29"/>
  </w:num>
  <w:num w:numId="9">
    <w:abstractNumId w:val="1"/>
  </w:num>
  <w:num w:numId="10">
    <w:abstractNumId w:val="30"/>
  </w:num>
  <w:num w:numId="11">
    <w:abstractNumId w:val="15"/>
  </w:num>
  <w:num w:numId="12">
    <w:abstractNumId w:val="7"/>
  </w:num>
  <w:num w:numId="13">
    <w:abstractNumId w:val="4"/>
  </w:num>
  <w:num w:numId="14">
    <w:abstractNumId w:val="27"/>
  </w:num>
  <w:num w:numId="15">
    <w:abstractNumId w:val="20"/>
  </w:num>
  <w:num w:numId="16">
    <w:abstractNumId w:val="22"/>
  </w:num>
  <w:num w:numId="17">
    <w:abstractNumId w:val="32"/>
  </w:num>
  <w:num w:numId="18">
    <w:abstractNumId w:val="6"/>
  </w:num>
  <w:num w:numId="19">
    <w:abstractNumId w:val="5"/>
  </w:num>
  <w:num w:numId="20">
    <w:abstractNumId w:val="5"/>
  </w:num>
  <w:num w:numId="21">
    <w:abstractNumId w:val="23"/>
  </w:num>
  <w:num w:numId="22">
    <w:abstractNumId w:val="3"/>
  </w:num>
  <w:num w:numId="23">
    <w:abstractNumId w:val="5"/>
  </w:num>
  <w:num w:numId="24">
    <w:abstractNumId w:val="9"/>
  </w:num>
  <w:num w:numId="25">
    <w:abstractNumId w:val="28"/>
  </w:num>
  <w:num w:numId="26">
    <w:abstractNumId w:val="12"/>
  </w:num>
  <w:num w:numId="27">
    <w:abstractNumId w:val="13"/>
  </w:num>
  <w:num w:numId="28">
    <w:abstractNumId w:val="25"/>
  </w:num>
  <w:num w:numId="29">
    <w:abstractNumId w:val="11"/>
  </w:num>
  <w:num w:numId="30">
    <w:abstractNumId w:val="26"/>
  </w:num>
  <w:num w:numId="31">
    <w:abstractNumId w:val="21"/>
  </w:num>
  <w:num w:numId="32">
    <w:abstractNumId w:val="18"/>
  </w:num>
  <w:num w:numId="33">
    <w:abstractNumId w:val="14"/>
  </w:num>
  <w:num w:numId="34">
    <w:abstractNumId w:val="2"/>
  </w:num>
  <w:num w:numId="35">
    <w:abstractNumId w:val="10"/>
  </w:num>
  <w:num w:numId="36">
    <w:abstractNumId w:val="24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45548B"/>
    <w:rsid w:val="0045548B"/>
    <w:rsid w:val="00E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7F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317F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317F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317F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17F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317F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317F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317F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317F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317F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317FC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0317FC"/>
  </w:style>
  <w:style w:type="paragraph" w:styleId="TOC1">
    <w:name w:val="toc 1"/>
    <w:basedOn w:val="Normal"/>
    <w:next w:val="Normal"/>
    <w:semiHidden/>
    <w:rsid w:val="000317FC"/>
  </w:style>
  <w:style w:type="paragraph" w:styleId="TOC2">
    <w:name w:val="toc 2"/>
    <w:basedOn w:val="Normal"/>
    <w:next w:val="Normal"/>
    <w:semiHidden/>
    <w:rsid w:val="000317FC"/>
    <w:pPr>
      <w:ind w:left="240"/>
    </w:pPr>
  </w:style>
  <w:style w:type="paragraph" w:styleId="TOC3">
    <w:name w:val="toc 3"/>
    <w:basedOn w:val="Normal"/>
    <w:next w:val="Normal"/>
    <w:semiHidden/>
    <w:rsid w:val="000317FC"/>
    <w:pPr>
      <w:ind w:left="480"/>
    </w:pPr>
  </w:style>
  <w:style w:type="paragraph" w:styleId="TOC4">
    <w:name w:val="toc 4"/>
    <w:basedOn w:val="Normal"/>
    <w:next w:val="Normal"/>
    <w:semiHidden/>
    <w:rsid w:val="000317FC"/>
    <w:pPr>
      <w:ind w:left="720"/>
    </w:pPr>
  </w:style>
  <w:style w:type="paragraph" w:styleId="TOC5">
    <w:name w:val="toc 5"/>
    <w:basedOn w:val="Normal"/>
    <w:next w:val="Normal"/>
    <w:semiHidden/>
    <w:rsid w:val="000317F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317F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317F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317F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317FC"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  <w:rsid w:val="000317FC"/>
  </w:style>
  <w:style w:type="paragraph" w:styleId="DocumentMap">
    <w:name w:val="Document Map"/>
    <w:basedOn w:val="Normal"/>
    <w:semiHidden/>
    <w:rsid w:val="000317F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link w:val="CommentTextChar"/>
    <w:semiHidden/>
    <w:rsid w:val="000317FC"/>
    <w:rPr>
      <w:sz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0317F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317F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317F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317FC"/>
    <w:pPr>
      <w:ind w:left="1440" w:hanging="720"/>
    </w:pPr>
  </w:style>
  <w:style w:type="paragraph" w:customStyle="1" w:styleId="TOCHeading1">
    <w:name w:val="TOC Heading1"/>
    <w:basedOn w:val="Normal"/>
    <w:rsid w:val="000317F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0317F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0317F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317F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317F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317FC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0317FC"/>
    <w:rPr>
      <w:b/>
      <w:sz w:val="28"/>
      <w:szCs w:val="28"/>
    </w:rPr>
  </w:style>
  <w:style w:type="character" w:styleId="Hyperlink">
    <w:name w:val="Hyperlink"/>
    <w:basedOn w:val="DefaultParagraphFont"/>
    <w:rsid w:val="000317FC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0317FC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</w:rPr>
  </w:style>
  <w:style w:type="paragraph" w:styleId="Header">
    <w:name w:val="header"/>
    <w:basedOn w:val="Normal"/>
    <w:rsid w:val="000317F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317FC"/>
    <w:pPr>
      <w:widowControl/>
    </w:pPr>
  </w:style>
  <w:style w:type="paragraph" w:customStyle="1" w:styleId="Footers">
    <w:name w:val="Footers"/>
    <w:basedOn w:val="Heading1"/>
    <w:rsid w:val="000317F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317F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317F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317FC"/>
    <w:rPr>
      <w:b/>
      <w:snapToGrid w:val="0"/>
      <w:sz w:val="24"/>
    </w:rPr>
  </w:style>
  <w:style w:type="paragraph" w:customStyle="1" w:styleId="a">
    <w:name w:val="_"/>
    <w:basedOn w:val="Normal"/>
    <w:rsid w:val="000317FC"/>
    <w:pPr>
      <w:ind w:left="1800" w:hanging="630"/>
    </w:pPr>
  </w:style>
  <w:style w:type="character" w:styleId="CommentReference">
    <w:name w:val="annotation reference"/>
    <w:basedOn w:val="DefaultParagraphFont"/>
    <w:rsid w:val="000317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17F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17F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317FC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317F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0317FC"/>
    <w:rPr>
      <w:snapToGrid w:val="0"/>
      <w:sz w:val="24"/>
    </w:rPr>
  </w:style>
  <w:style w:type="table" w:styleId="TableGrid">
    <w:name w:val="Table Grid"/>
    <w:basedOn w:val="TableNormal"/>
    <w:rsid w:val="0003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2010-05-27T00:13:00Z</cp:lastPrinted>
  <dcterms:created xsi:type="dcterms:W3CDTF">2020-05-08T15:10:00Z</dcterms:created>
  <dcterms:modified xsi:type="dcterms:W3CDTF">2020-05-08T15:10:00Z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