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15" w:rsidRDefault="00EA3634" w:rsidP="00321F5F">
      <w:pPr>
        <w:pStyle w:val="Heading2"/>
      </w:pPr>
      <w:bookmarkStart w:id="0" w:name="_Toc261444492"/>
      <w:bookmarkStart w:id="1" w:name="_GoBack"/>
      <w:bookmarkEnd w:id="1"/>
      <w:r>
        <w:t>3</w:t>
      </w:r>
      <w:r>
        <w:t>.</w:t>
      </w:r>
      <w:r>
        <w:t>9</w:t>
      </w:r>
      <w:r>
        <w:tab/>
        <w:t xml:space="preserve">Study Procedures For New </w:t>
      </w:r>
      <w:r>
        <w:t xml:space="preserve">Load or Large Facility </w:t>
      </w:r>
      <w:r>
        <w:t>Interconnections To The NYS Power System</w:t>
      </w:r>
      <w:bookmarkEnd w:id="0"/>
    </w:p>
    <w:p w:rsidR="0036154C" w:rsidRDefault="00EA3634" w:rsidP="0036154C">
      <w:pPr>
        <w:pStyle w:val="Heading4"/>
      </w:pPr>
      <w:bookmarkStart w:id="2" w:name="_Toc261444493"/>
      <w:r>
        <w:t>3.9.</w:t>
      </w:r>
      <w:r w:rsidRPr="00996915">
        <w:t>1</w:t>
      </w:r>
      <w:r w:rsidRPr="00996915">
        <w:tab/>
        <w:t>Request for Interconnection Study:</w:t>
      </w:r>
      <w:bookmarkEnd w:id="2"/>
      <w:r w:rsidRPr="00996915">
        <w:t xml:space="preserve">  </w:t>
      </w:r>
    </w:p>
    <w:p w:rsidR="00996915" w:rsidRPr="00996915" w:rsidRDefault="00EA3634" w:rsidP="0036154C">
      <w:pPr>
        <w:pStyle w:val="Bodypara"/>
      </w:pPr>
      <w:r w:rsidRPr="00996915">
        <w:t xml:space="preserve">Any Eligible Customer proposing to interconnect its Load or </w:t>
      </w:r>
      <w:bookmarkStart w:id="3" w:name="_DV_C6"/>
      <w:r w:rsidRPr="00996915">
        <w:t>Large Facility</w:t>
      </w:r>
      <w:bookmarkEnd w:id="3"/>
      <w:r w:rsidRPr="00996915">
        <w:t xml:space="preserve"> with the NYS Power System shall submit its interconnection proposal to the ISO.  The ISO, in cooperation with the Transmission Owner with whose system the Eligible Customer proposes to interconnect, shall perform </w:t>
      </w:r>
      <w:bookmarkStart w:id="4" w:name="_DV_C10"/>
      <w:r w:rsidRPr="00996915">
        <w:t>technical studies</w:t>
      </w:r>
      <w:bookmarkEnd w:id="4"/>
      <w:r w:rsidRPr="00996915">
        <w:t xml:space="preserve"> to determine whether the</w:t>
      </w:r>
      <w:r w:rsidRPr="00996915">
        <w:t xml:space="preserve"> proposed </w:t>
      </w:r>
      <w:bookmarkStart w:id="5" w:name="_DV_C12"/>
      <w:r w:rsidRPr="00996915">
        <w:t>interconnection</w:t>
      </w:r>
      <w:bookmarkStart w:id="6" w:name="_DV_M10"/>
      <w:bookmarkEnd w:id="5"/>
      <w:bookmarkEnd w:id="6"/>
      <w:r w:rsidRPr="00996915">
        <w:t xml:space="preserve"> may degrade system reliability or adversely affect the operation of the NYS Power System.  The </w:t>
      </w:r>
      <w:bookmarkStart w:id="7" w:name="_DV_C14"/>
      <w:r w:rsidRPr="00996915">
        <w:t>technical studies</w:t>
      </w:r>
      <w:bookmarkEnd w:id="7"/>
      <w:r w:rsidRPr="00996915">
        <w:t xml:space="preserve"> shall be conducted in accordance with the procedures specified in </w:t>
      </w:r>
      <w:r w:rsidRPr="00424DFC">
        <w:t xml:space="preserve">Section </w:t>
      </w:r>
      <w:r w:rsidRPr="00424DFC">
        <w:t>3.9</w:t>
      </w:r>
      <w:r w:rsidRPr="00424DFC">
        <w:t>.2.</w:t>
      </w:r>
      <w:r>
        <w:t xml:space="preserve"> </w:t>
      </w:r>
      <w:r w:rsidRPr="00996915">
        <w:t xml:space="preserve">The </w:t>
      </w:r>
      <w:bookmarkStart w:id="8" w:name="_DV_C16"/>
      <w:r w:rsidRPr="00996915">
        <w:t>proposed</w:t>
      </w:r>
      <w:bookmarkEnd w:id="8"/>
      <w:r w:rsidRPr="00996915">
        <w:t xml:space="preserve"> </w:t>
      </w:r>
      <w:bookmarkStart w:id="9" w:name="_DV_C18"/>
      <w:r w:rsidRPr="00996915">
        <w:t>interconnection</w:t>
      </w:r>
      <w:bookmarkEnd w:id="9"/>
      <w:r>
        <w:t xml:space="preserve"> </w:t>
      </w:r>
      <w:r w:rsidRPr="00996915">
        <w:t>shall n</w:t>
      </w:r>
      <w:r w:rsidRPr="00996915">
        <w:t xml:space="preserve">ot proceed if the ISO concludes in the study that the proposed </w:t>
      </w:r>
      <w:bookmarkStart w:id="10" w:name="_DV_C20"/>
      <w:r w:rsidRPr="00996915">
        <w:t>interconnection</w:t>
      </w:r>
      <w:bookmarkEnd w:id="10"/>
      <w:r w:rsidRPr="00996915">
        <w:t xml:space="preserve"> may degrade system reliability or adversely affect the operation of the NYS Power System.  If the proposal is rejected, the ISO shall provide in writing the reasons why the prop</w:t>
      </w:r>
      <w:r w:rsidRPr="00996915">
        <w:t>osal was rejected.</w:t>
      </w:r>
    </w:p>
    <w:p w:rsidR="00424DFC" w:rsidRDefault="00EA3634" w:rsidP="00424DFC">
      <w:pPr>
        <w:pStyle w:val="Heading4"/>
      </w:pPr>
      <w:r>
        <w:t>3.9.2</w:t>
      </w:r>
      <w:r w:rsidRPr="00996915">
        <w:tab/>
      </w:r>
      <w:r>
        <w:t>Study Procedures</w:t>
      </w:r>
      <w:r w:rsidRPr="00996915">
        <w:t xml:space="preserve">:  </w:t>
      </w:r>
    </w:p>
    <w:p w:rsidR="00996915" w:rsidRDefault="00EA3634" w:rsidP="0036154C">
      <w:pPr>
        <w:pStyle w:val="Bodypara"/>
      </w:pPr>
      <w:r w:rsidRPr="00996915">
        <w:t xml:space="preserve">Upon receipt of the </w:t>
      </w:r>
      <w:bookmarkStart w:id="11" w:name="_DV_C22"/>
      <w:r w:rsidRPr="00996915">
        <w:t>interconnection</w:t>
      </w:r>
      <w:bookmarkEnd w:id="11"/>
      <w:r w:rsidRPr="00996915">
        <w:t xml:space="preserve"> proposal and a written guarantee by the Eligible Customer to pay all costs incurred by the ISO and Transmission Owner(s) conducting the technical studies, the ISO, in cooperat</w:t>
      </w:r>
      <w:r w:rsidRPr="00996915">
        <w: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in</w:t>
      </w:r>
      <w:r w:rsidRPr="00996915">
        <w:t xml:space="preserve"> the Large Facility Interconnection Procedures in Attachment X.  The technical studies shall address the following:</w:t>
      </w:r>
    </w:p>
    <w:p w:rsidR="00BD7C36" w:rsidRPr="00BD7C36" w:rsidRDefault="00EA3634" w:rsidP="0036154C">
      <w:pPr>
        <w:pStyle w:val="romannumeralpara"/>
      </w:pPr>
      <w:bookmarkStart w:id="12" w:name="_DV_M22"/>
      <w:bookmarkEnd w:id="12"/>
      <w:r>
        <w:t>3.9.2.1</w:t>
      </w:r>
      <w:r w:rsidRPr="00BD7C36">
        <w:tab/>
        <w:t>An evaluation of the potential significant impacts of the proposed interconnection on NYS Power System reliability, at a level of de</w:t>
      </w:r>
      <w:r w:rsidRPr="00BD7C36">
        <w:t xml:space="preserve">tail that reflects the magnitude </w:t>
      </w:r>
      <w:r w:rsidRPr="00BD7C36">
        <w:lastRenderedPageBreak/>
        <w:t>of the impacts and the reasonable likelihood of their occurrence;</w:t>
      </w:r>
    </w:p>
    <w:p w:rsidR="00BD7C36" w:rsidRDefault="00EA3634" w:rsidP="0036154C">
      <w:pPr>
        <w:pStyle w:val="romannumeralpara"/>
      </w:pPr>
      <w:r w:rsidRPr="00BD2D5B">
        <w:t xml:space="preserve"> </w:t>
      </w:r>
      <w:r>
        <w:t>3.9.2.2</w:t>
      </w:r>
      <w:r w:rsidRPr="00BD7C36">
        <w:tab/>
        <w:t>An evaluation of impacts of the proposed interconnection</w:t>
      </w:r>
      <w:bookmarkStart w:id="13" w:name="_DV_M32"/>
      <w:bookmarkEnd w:id="13"/>
      <w:r w:rsidRPr="00BD7C36">
        <w:t xml:space="preserve"> on system</w:t>
      </w:r>
      <w:r>
        <w:t xml:space="preserve"> voltage, stability and thermal limitations, as prescribed in the Reliability Rule</w:t>
      </w:r>
      <w:r>
        <w:t>s;</w:t>
      </w:r>
    </w:p>
    <w:p w:rsidR="00BD7C36" w:rsidRDefault="00EA3634" w:rsidP="0036154C">
      <w:pPr>
        <w:pStyle w:val="romannumeralpara"/>
      </w:pPr>
      <w:r w:rsidRPr="00BD2D5B">
        <w:t xml:space="preserve"> </w:t>
      </w:r>
      <w:r>
        <w:t>3.9.2.3</w:t>
      </w:r>
      <w:r>
        <w:tab/>
        <w:t>An evaluation as to whether modifications to the NYS Power System would be required to maintain Interface transfer capability or comply with the voltage, stability and thermal limitations, as prescribed in the Reliability Rules.  The ISO will a</w:t>
      </w:r>
      <w:r>
        <w:t>pply the criteria established by NERC, NPCC and the NYSRC;</w:t>
      </w:r>
    </w:p>
    <w:p w:rsidR="00BD7C36" w:rsidRPr="00BD7C36" w:rsidRDefault="00EA3634" w:rsidP="0036154C">
      <w:pPr>
        <w:pStyle w:val="romannumeralpara"/>
      </w:pPr>
      <w:r w:rsidRPr="00BD2D5B">
        <w:t xml:space="preserve"> </w:t>
      </w:r>
      <w:r>
        <w:t>3.9.2.4</w:t>
      </w:r>
      <w:r>
        <w:tab/>
        <w:t xml:space="preserve">An evaluation of alternatives that would eliminate adverse reliability </w:t>
      </w:r>
      <w:r w:rsidRPr="00BD7C36">
        <w:t>impacts, if any, resulting from the proposed interconnection; and</w:t>
      </w:r>
    </w:p>
    <w:p w:rsidR="00BD7C36" w:rsidRDefault="00EA3634" w:rsidP="0036154C">
      <w:pPr>
        <w:pStyle w:val="romannumeralpara"/>
      </w:pPr>
      <w:r w:rsidRPr="00BD2D5B">
        <w:t xml:space="preserve"> </w:t>
      </w:r>
      <w:r>
        <w:t>3.9.2.5</w:t>
      </w:r>
      <w:r w:rsidRPr="00BD7C36">
        <w:tab/>
        <w:t>An estimate of the increase or decrease in</w:t>
      </w:r>
      <w:r w:rsidRPr="00BD7C36">
        <w:t xml:space="preserve"> the Total Transfer Capability across each affected Interface.</w:t>
      </w:r>
    </w:p>
    <w:p w:rsidR="00BD2D5B" w:rsidRDefault="00EA3634" w:rsidP="00321F5F">
      <w:pPr>
        <w:pStyle w:val="Heading4"/>
      </w:pPr>
      <w:bookmarkStart w:id="14" w:name="_Toc261444494"/>
      <w:r>
        <w:t>3.</w:t>
      </w:r>
      <w:r>
        <w:t>9</w:t>
      </w:r>
      <w:r>
        <w:t>.</w:t>
      </w:r>
      <w:r>
        <w:t>3</w:t>
      </w:r>
      <w:r w:rsidRPr="00996915">
        <w:tab/>
      </w:r>
      <w:r>
        <w:t>Operating Committee Approval</w:t>
      </w:r>
    </w:p>
    <w:p w:rsidR="00BD2D5B" w:rsidRPr="00BD2D5B" w:rsidRDefault="00EA3634" w:rsidP="00BD2D5B">
      <w:pPr>
        <w:spacing w:line="480" w:lineRule="auto"/>
        <w:ind w:firstLine="720"/>
      </w:pPr>
      <w:r>
        <w:t>Upon the ISO’s issuance of a final draft study report, the Eligible Customer must proceed with its study report to the Transmission Planning Advisory Subcommi</w:t>
      </w:r>
      <w:r>
        <w:t>ttee (“TPAS”) of the ISO Operating Committee within three (3) months and to the next Operating Committee meeting following the TPAS review</w:t>
      </w:r>
      <w:r>
        <w:t>; provided, however, if the TPAS recommends revisions or supplements to the study report, the revised report must proc</w:t>
      </w:r>
      <w:r>
        <w:t>eed to the next TPAS meeting following completion of such revisions, and to the next Operating Committee following the TPAS review of the revised study report</w:t>
      </w:r>
      <w:r>
        <w:t xml:space="preserve">.  Failure to proceed with its study report to the TPAS and Operating Committee within these time </w:t>
      </w:r>
      <w:r>
        <w:t xml:space="preserve">frames will result in withdrawal of the Study Request.  </w:t>
      </w:r>
    </w:p>
    <w:p w:rsidR="0036154C" w:rsidRDefault="00EA3634" w:rsidP="00321F5F">
      <w:pPr>
        <w:pStyle w:val="Heading4"/>
      </w:pPr>
      <w:r>
        <w:t>3.9.4</w:t>
      </w:r>
      <w:r>
        <w:tab/>
      </w:r>
      <w:r w:rsidRPr="00BD7C36">
        <w:t>Interconnection Agreements:</w:t>
      </w:r>
      <w:bookmarkEnd w:id="14"/>
      <w:r w:rsidRPr="00BD7C36">
        <w:t xml:space="preserve">  </w:t>
      </w:r>
    </w:p>
    <w:p w:rsidR="00806D4D" w:rsidRDefault="00EA3634" w:rsidP="00321F5F">
      <w:pPr>
        <w:pStyle w:val="Bodypara"/>
      </w:pPr>
      <w:r w:rsidRPr="00BD7C36">
        <w:t xml:space="preserve">After receiving the approval of the proposed interconnection, and after the Eligible </w:t>
      </w:r>
      <w:r w:rsidRPr="00BD7C36">
        <w:lastRenderedPageBreak/>
        <w:t>Customer makes payment to the ISO and Transmission Owner for the cost of the t</w:t>
      </w:r>
      <w:r w:rsidRPr="00BD7C36">
        <w:t xml:space="preserve">echnical studies, the Eligible Customer may elect to continue with the proposed </w:t>
      </w:r>
      <w:bookmarkStart w:id="15" w:name="_DV_C52"/>
      <w:r w:rsidRPr="00BD7C36">
        <w:t>interconnection</w:t>
      </w:r>
      <w:bookmarkEnd w:id="15"/>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w:t>
      </w:r>
      <w:r w:rsidRPr="00C02A0B">
        <w:t xml:space="preserve"> the Interconnection Facilities Study and Attachment S cost allocation process, the Developer of a Large Generating Facility may elect, in accordance with the Large Facility Interconnection Procedures in Attachment X, to continue with its proposed intercon</w:t>
      </w:r>
      <w:r w:rsidRPr="00C02A0B">
        <w:t>nection by entering into a Standard Large Generator Interconnection Agreement with the ISO and the Transmission Owner with whose system the Developer proposes to</w:t>
      </w:r>
      <w:r>
        <w:t xml:space="preserve"> interconnect.</w:t>
      </w:r>
    </w:p>
    <w:p w:rsidR="00321F5F" w:rsidRDefault="00EA3634" w:rsidP="00321F5F">
      <w:pPr>
        <w:pStyle w:val="Heading4"/>
      </w:pPr>
      <w:bookmarkStart w:id="16" w:name="_Toc261444495"/>
      <w:r>
        <w:t>3.9.</w:t>
      </w:r>
      <w:r>
        <w:t>5</w:t>
      </w:r>
      <w:r w:rsidRPr="00996915">
        <w:tab/>
      </w:r>
      <w:r w:rsidRPr="00C02A0B">
        <w:t>Interconnection Facilities Cost:</w:t>
      </w:r>
      <w:bookmarkEnd w:id="16"/>
      <w:r w:rsidRPr="00C02A0B">
        <w:t xml:space="preserve">  </w:t>
      </w:r>
    </w:p>
    <w:p w:rsidR="009D1111" w:rsidRPr="009D1111" w:rsidRDefault="00EA3634" w:rsidP="00321F5F">
      <w:pPr>
        <w:pStyle w:val="Bodypara"/>
        <w:rPr>
          <w:sz w:val="52"/>
          <w:szCs w:val="52"/>
        </w:rPr>
      </w:pPr>
      <w:r w:rsidRPr="00C02A0B">
        <w:t xml:space="preserve">The Developer of the proposed Large </w:t>
      </w:r>
      <w:r w:rsidRPr="00C02A0B">
        <w:t>Facility shall be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EA3634" w:rsidP="003A3861">
      <w:pPr>
        <w:pStyle w:val="Bodypara"/>
      </w:pPr>
    </w:p>
    <w:sectPr w:rsidR="00421ECF" w:rsidSect="0092600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634">
      <w:r>
        <w:separator/>
      </w:r>
    </w:p>
  </w:endnote>
  <w:endnote w:type="continuationSeparator" w:id="0">
    <w:p w:rsidR="00000000" w:rsidRDefault="00EA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5" w:rsidRDefault="00EA3634">
    <w:pPr>
      <w:jc w:val="right"/>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5" w:rsidRDefault="00EA3634">
    <w:pPr>
      <w:jc w:val="right"/>
    </w:pPr>
    <w:r>
      <w:rPr>
        <w:rFonts w:ascii="Arial" w:eastAsia="Arial" w:hAnsi="Arial" w:cs="Arial"/>
        <w:color w:val="000000"/>
        <w:sz w:val="16"/>
      </w:rPr>
      <w:t>Effective Date: 12/16/2017 - Docket #: ER13-102-009</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5" w:rsidRDefault="00EA3634">
    <w:pPr>
      <w:jc w:val="right"/>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634">
      <w:r>
        <w:separator/>
      </w:r>
    </w:p>
  </w:footnote>
  <w:footnote w:type="continuationSeparator" w:id="0">
    <w:p w:rsidR="00000000" w:rsidRDefault="00EA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5" w:rsidRDefault="00EA3634">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5" w:rsidRDefault="00EA363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 OATT Point-To-Point Transmission Service --&gt; 3.9 OATT Study Procedures For New Interconnections To The 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5" w:rsidRDefault="00EA3634">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6EE261E">
      <w:start w:val="1"/>
      <w:numFmt w:val="bullet"/>
      <w:pStyle w:val="Bulletpara"/>
      <w:lvlText w:val=""/>
      <w:lvlJc w:val="left"/>
      <w:pPr>
        <w:tabs>
          <w:tab w:val="num" w:pos="720"/>
        </w:tabs>
        <w:ind w:left="720" w:hanging="360"/>
      </w:pPr>
      <w:rPr>
        <w:rFonts w:ascii="Symbol" w:hAnsi="Symbol" w:hint="default"/>
      </w:rPr>
    </w:lvl>
    <w:lvl w:ilvl="1" w:tplc="B92C4942" w:tentative="1">
      <w:start w:val="1"/>
      <w:numFmt w:val="bullet"/>
      <w:lvlText w:val="o"/>
      <w:lvlJc w:val="left"/>
      <w:pPr>
        <w:tabs>
          <w:tab w:val="num" w:pos="1440"/>
        </w:tabs>
        <w:ind w:left="1440" w:hanging="360"/>
      </w:pPr>
      <w:rPr>
        <w:rFonts w:ascii="Courier New" w:hAnsi="Courier New" w:cs="Courier New" w:hint="default"/>
      </w:rPr>
    </w:lvl>
    <w:lvl w:ilvl="2" w:tplc="BA840B3C" w:tentative="1">
      <w:start w:val="1"/>
      <w:numFmt w:val="bullet"/>
      <w:lvlText w:val=""/>
      <w:lvlJc w:val="left"/>
      <w:pPr>
        <w:tabs>
          <w:tab w:val="num" w:pos="2160"/>
        </w:tabs>
        <w:ind w:left="2160" w:hanging="360"/>
      </w:pPr>
      <w:rPr>
        <w:rFonts w:ascii="Wingdings" w:hAnsi="Wingdings" w:hint="default"/>
      </w:rPr>
    </w:lvl>
    <w:lvl w:ilvl="3" w:tplc="47B67746" w:tentative="1">
      <w:start w:val="1"/>
      <w:numFmt w:val="bullet"/>
      <w:lvlText w:val=""/>
      <w:lvlJc w:val="left"/>
      <w:pPr>
        <w:tabs>
          <w:tab w:val="num" w:pos="2880"/>
        </w:tabs>
        <w:ind w:left="2880" w:hanging="360"/>
      </w:pPr>
      <w:rPr>
        <w:rFonts w:ascii="Symbol" w:hAnsi="Symbol" w:hint="default"/>
      </w:rPr>
    </w:lvl>
    <w:lvl w:ilvl="4" w:tplc="5680D684" w:tentative="1">
      <w:start w:val="1"/>
      <w:numFmt w:val="bullet"/>
      <w:lvlText w:val="o"/>
      <w:lvlJc w:val="left"/>
      <w:pPr>
        <w:tabs>
          <w:tab w:val="num" w:pos="3600"/>
        </w:tabs>
        <w:ind w:left="3600" w:hanging="360"/>
      </w:pPr>
      <w:rPr>
        <w:rFonts w:ascii="Courier New" w:hAnsi="Courier New" w:cs="Courier New" w:hint="default"/>
      </w:rPr>
    </w:lvl>
    <w:lvl w:ilvl="5" w:tplc="30FEDC38" w:tentative="1">
      <w:start w:val="1"/>
      <w:numFmt w:val="bullet"/>
      <w:lvlText w:val=""/>
      <w:lvlJc w:val="left"/>
      <w:pPr>
        <w:tabs>
          <w:tab w:val="num" w:pos="4320"/>
        </w:tabs>
        <w:ind w:left="4320" w:hanging="360"/>
      </w:pPr>
      <w:rPr>
        <w:rFonts w:ascii="Wingdings" w:hAnsi="Wingdings" w:hint="default"/>
      </w:rPr>
    </w:lvl>
    <w:lvl w:ilvl="6" w:tplc="F4CCFEA8" w:tentative="1">
      <w:start w:val="1"/>
      <w:numFmt w:val="bullet"/>
      <w:lvlText w:val=""/>
      <w:lvlJc w:val="left"/>
      <w:pPr>
        <w:tabs>
          <w:tab w:val="num" w:pos="5040"/>
        </w:tabs>
        <w:ind w:left="5040" w:hanging="360"/>
      </w:pPr>
      <w:rPr>
        <w:rFonts w:ascii="Symbol" w:hAnsi="Symbol" w:hint="default"/>
      </w:rPr>
    </w:lvl>
    <w:lvl w:ilvl="7" w:tplc="302A2E38" w:tentative="1">
      <w:start w:val="1"/>
      <w:numFmt w:val="bullet"/>
      <w:lvlText w:val="o"/>
      <w:lvlJc w:val="left"/>
      <w:pPr>
        <w:tabs>
          <w:tab w:val="num" w:pos="5760"/>
        </w:tabs>
        <w:ind w:left="5760" w:hanging="360"/>
      </w:pPr>
      <w:rPr>
        <w:rFonts w:ascii="Courier New" w:hAnsi="Courier New" w:cs="Courier New" w:hint="default"/>
      </w:rPr>
    </w:lvl>
    <w:lvl w:ilvl="8" w:tplc="819E0D7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F964064">
      <w:start w:val="1"/>
      <w:numFmt w:val="bullet"/>
      <w:lvlText w:val="­"/>
      <w:lvlJc w:val="left"/>
      <w:pPr>
        <w:tabs>
          <w:tab w:val="num" w:pos="720"/>
        </w:tabs>
        <w:ind w:left="720" w:hanging="360"/>
      </w:pPr>
      <w:rPr>
        <w:rFonts w:ascii="Courier New" w:hAnsi="Courier New" w:hint="default"/>
      </w:rPr>
    </w:lvl>
    <w:lvl w:ilvl="1" w:tplc="B908EF9C" w:tentative="1">
      <w:start w:val="1"/>
      <w:numFmt w:val="bullet"/>
      <w:lvlText w:val="o"/>
      <w:lvlJc w:val="left"/>
      <w:pPr>
        <w:tabs>
          <w:tab w:val="num" w:pos="1440"/>
        </w:tabs>
        <w:ind w:left="1440" w:hanging="360"/>
      </w:pPr>
      <w:rPr>
        <w:rFonts w:ascii="Courier New" w:hAnsi="Courier New" w:cs="Courier New" w:hint="default"/>
      </w:rPr>
    </w:lvl>
    <w:lvl w:ilvl="2" w:tplc="F65831BC" w:tentative="1">
      <w:start w:val="1"/>
      <w:numFmt w:val="bullet"/>
      <w:lvlText w:val=""/>
      <w:lvlJc w:val="left"/>
      <w:pPr>
        <w:tabs>
          <w:tab w:val="num" w:pos="2160"/>
        </w:tabs>
        <w:ind w:left="2160" w:hanging="360"/>
      </w:pPr>
      <w:rPr>
        <w:rFonts w:ascii="Wingdings" w:hAnsi="Wingdings" w:hint="default"/>
      </w:rPr>
    </w:lvl>
    <w:lvl w:ilvl="3" w:tplc="775689EE" w:tentative="1">
      <w:start w:val="1"/>
      <w:numFmt w:val="bullet"/>
      <w:lvlText w:val=""/>
      <w:lvlJc w:val="left"/>
      <w:pPr>
        <w:tabs>
          <w:tab w:val="num" w:pos="2880"/>
        </w:tabs>
        <w:ind w:left="2880" w:hanging="360"/>
      </w:pPr>
      <w:rPr>
        <w:rFonts w:ascii="Symbol" w:hAnsi="Symbol" w:hint="default"/>
      </w:rPr>
    </w:lvl>
    <w:lvl w:ilvl="4" w:tplc="143A366A" w:tentative="1">
      <w:start w:val="1"/>
      <w:numFmt w:val="bullet"/>
      <w:lvlText w:val="o"/>
      <w:lvlJc w:val="left"/>
      <w:pPr>
        <w:tabs>
          <w:tab w:val="num" w:pos="3600"/>
        </w:tabs>
        <w:ind w:left="3600" w:hanging="360"/>
      </w:pPr>
      <w:rPr>
        <w:rFonts w:ascii="Courier New" w:hAnsi="Courier New" w:cs="Courier New" w:hint="default"/>
      </w:rPr>
    </w:lvl>
    <w:lvl w:ilvl="5" w:tplc="D43CB3B8" w:tentative="1">
      <w:start w:val="1"/>
      <w:numFmt w:val="bullet"/>
      <w:lvlText w:val=""/>
      <w:lvlJc w:val="left"/>
      <w:pPr>
        <w:tabs>
          <w:tab w:val="num" w:pos="4320"/>
        </w:tabs>
        <w:ind w:left="4320" w:hanging="360"/>
      </w:pPr>
      <w:rPr>
        <w:rFonts w:ascii="Wingdings" w:hAnsi="Wingdings" w:hint="default"/>
      </w:rPr>
    </w:lvl>
    <w:lvl w:ilvl="6" w:tplc="37C04B76" w:tentative="1">
      <w:start w:val="1"/>
      <w:numFmt w:val="bullet"/>
      <w:lvlText w:val=""/>
      <w:lvlJc w:val="left"/>
      <w:pPr>
        <w:tabs>
          <w:tab w:val="num" w:pos="5040"/>
        </w:tabs>
        <w:ind w:left="5040" w:hanging="360"/>
      </w:pPr>
      <w:rPr>
        <w:rFonts w:ascii="Symbol" w:hAnsi="Symbol" w:hint="default"/>
      </w:rPr>
    </w:lvl>
    <w:lvl w:ilvl="7" w:tplc="5694E0C6" w:tentative="1">
      <w:start w:val="1"/>
      <w:numFmt w:val="bullet"/>
      <w:lvlText w:val="o"/>
      <w:lvlJc w:val="left"/>
      <w:pPr>
        <w:tabs>
          <w:tab w:val="num" w:pos="5760"/>
        </w:tabs>
        <w:ind w:left="5760" w:hanging="360"/>
      </w:pPr>
      <w:rPr>
        <w:rFonts w:ascii="Courier New" w:hAnsi="Courier New" w:cs="Courier New" w:hint="default"/>
      </w:rPr>
    </w:lvl>
    <w:lvl w:ilvl="8" w:tplc="9E16578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A10DE3E">
      <w:start w:val="1"/>
      <w:numFmt w:val="lowerRoman"/>
      <w:lvlText w:val="(%1)"/>
      <w:lvlJc w:val="left"/>
      <w:pPr>
        <w:tabs>
          <w:tab w:val="num" w:pos="2448"/>
        </w:tabs>
        <w:ind w:left="2448" w:hanging="648"/>
      </w:pPr>
      <w:rPr>
        <w:rFonts w:hint="default"/>
        <w:b w:val="0"/>
        <w:i w:val="0"/>
        <w:u w:val="none"/>
      </w:rPr>
    </w:lvl>
    <w:lvl w:ilvl="1" w:tplc="868C53A8" w:tentative="1">
      <w:start w:val="1"/>
      <w:numFmt w:val="lowerLetter"/>
      <w:lvlText w:val="%2."/>
      <w:lvlJc w:val="left"/>
      <w:pPr>
        <w:tabs>
          <w:tab w:val="num" w:pos="1440"/>
        </w:tabs>
        <w:ind w:left="1440" w:hanging="360"/>
      </w:pPr>
    </w:lvl>
    <w:lvl w:ilvl="2" w:tplc="B7908A5C" w:tentative="1">
      <w:start w:val="1"/>
      <w:numFmt w:val="lowerRoman"/>
      <w:lvlText w:val="%3."/>
      <w:lvlJc w:val="right"/>
      <w:pPr>
        <w:tabs>
          <w:tab w:val="num" w:pos="2160"/>
        </w:tabs>
        <w:ind w:left="2160" w:hanging="180"/>
      </w:pPr>
    </w:lvl>
    <w:lvl w:ilvl="3" w:tplc="9670E25C" w:tentative="1">
      <w:start w:val="1"/>
      <w:numFmt w:val="decimal"/>
      <w:lvlText w:val="%4."/>
      <w:lvlJc w:val="left"/>
      <w:pPr>
        <w:tabs>
          <w:tab w:val="num" w:pos="2880"/>
        </w:tabs>
        <w:ind w:left="2880" w:hanging="360"/>
      </w:pPr>
    </w:lvl>
    <w:lvl w:ilvl="4" w:tplc="9AA2BEFC" w:tentative="1">
      <w:start w:val="1"/>
      <w:numFmt w:val="lowerLetter"/>
      <w:lvlText w:val="%5."/>
      <w:lvlJc w:val="left"/>
      <w:pPr>
        <w:tabs>
          <w:tab w:val="num" w:pos="3600"/>
        </w:tabs>
        <w:ind w:left="3600" w:hanging="360"/>
      </w:pPr>
    </w:lvl>
    <w:lvl w:ilvl="5" w:tplc="7D6ADCB6" w:tentative="1">
      <w:start w:val="1"/>
      <w:numFmt w:val="lowerRoman"/>
      <w:lvlText w:val="%6."/>
      <w:lvlJc w:val="right"/>
      <w:pPr>
        <w:tabs>
          <w:tab w:val="num" w:pos="4320"/>
        </w:tabs>
        <w:ind w:left="4320" w:hanging="180"/>
      </w:pPr>
    </w:lvl>
    <w:lvl w:ilvl="6" w:tplc="E42C0172" w:tentative="1">
      <w:start w:val="1"/>
      <w:numFmt w:val="decimal"/>
      <w:lvlText w:val="%7."/>
      <w:lvlJc w:val="left"/>
      <w:pPr>
        <w:tabs>
          <w:tab w:val="num" w:pos="5040"/>
        </w:tabs>
        <w:ind w:left="5040" w:hanging="360"/>
      </w:pPr>
    </w:lvl>
    <w:lvl w:ilvl="7" w:tplc="DE4A3862" w:tentative="1">
      <w:start w:val="1"/>
      <w:numFmt w:val="lowerLetter"/>
      <w:lvlText w:val="%8."/>
      <w:lvlJc w:val="left"/>
      <w:pPr>
        <w:tabs>
          <w:tab w:val="num" w:pos="5760"/>
        </w:tabs>
        <w:ind w:left="5760" w:hanging="360"/>
      </w:pPr>
    </w:lvl>
    <w:lvl w:ilvl="8" w:tplc="660C525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852FB3A">
      <w:start w:val="1"/>
      <w:numFmt w:val="bullet"/>
      <w:lvlText w:val=""/>
      <w:lvlJc w:val="left"/>
      <w:pPr>
        <w:tabs>
          <w:tab w:val="num" w:pos="5760"/>
        </w:tabs>
        <w:ind w:left="5760" w:hanging="360"/>
      </w:pPr>
      <w:rPr>
        <w:rFonts w:ascii="Symbol" w:hAnsi="Symbol" w:hint="default"/>
        <w:color w:val="auto"/>
        <w:u w:val="none"/>
      </w:rPr>
    </w:lvl>
    <w:lvl w:ilvl="1" w:tplc="6DAA858A" w:tentative="1">
      <w:start w:val="1"/>
      <w:numFmt w:val="bullet"/>
      <w:lvlText w:val="o"/>
      <w:lvlJc w:val="left"/>
      <w:pPr>
        <w:tabs>
          <w:tab w:val="num" w:pos="3600"/>
        </w:tabs>
        <w:ind w:left="3600" w:hanging="360"/>
      </w:pPr>
      <w:rPr>
        <w:rFonts w:ascii="Courier New" w:hAnsi="Courier New" w:hint="default"/>
      </w:rPr>
    </w:lvl>
    <w:lvl w:ilvl="2" w:tplc="7E40ECB2" w:tentative="1">
      <w:start w:val="1"/>
      <w:numFmt w:val="bullet"/>
      <w:lvlText w:val=""/>
      <w:lvlJc w:val="left"/>
      <w:pPr>
        <w:tabs>
          <w:tab w:val="num" w:pos="4320"/>
        </w:tabs>
        <w:ind w:left="4320" w:hanging="360"/>
      </w:pPr>
      <w:rPr>
        <w:rFonts w:ascii="Wingdings" w:hAnsi="Wingdings" w:hint="default"/>
      </w:rPr>
    </w:lvl>
    <w:lvl w:ilvl="3" w:tplc="F14A288A">
      <w:start w:val="1"/>
      <w:numFmt w:val="bullet"/>
      <w:lvlText w:val=""/>
      <w:lvlJc w:val="left"/>
      <w:pPr>
        <w:tabs>
          <w:tab w:val="num" w:pos="5040"/>
        </w:tabs>
        <w:ind w:left="5040" w:hanging="360"/>
      </w:pPr>
      <w:rPr>
        <w:rFonts w:ascii="Symbol" w:hAnsi="Symbol" w:hint="default"/>
      </w:rPr>
    </w:lvl>
    <w:lvl w:ilvl="4" w:tplc="950ED4D4" w:tentative="1">
      <w:start w:val="1"/>
      <w:numFmt w:val="bullet"/>
      <w:lvlText w:val="o"/>
      <w:lvlJc w:val="left"/>
      <w:pPr>
        <w:tabs>
          <w:tab w:val="num" w:pos="5760"/>
        </w:tabs>
        <w:ind w:left="5760" w:hanging="360"/>
      </w:pPr>
      <w:rPr>
        <w:rFonts w:ascii="Courier New" w:hAnsi="Courier New" w:hint="default"/>
      </w:rPr>
    </w:lvl>
    <w:lvl w:ilvl="5" w:tplc="4D9E3894" w:tentative="1">
      <w:start w:val="1"/>
      <w:numFmt w:val="bullet"/>
      <w:lvlText w:val=""/>
      <w:lvlJc w:val="left"/>
      <w:pPr>
        <w:tabs>
          <w:tab w:val="num" w:pos="6480"/>
        </w:tabs>
        <w:ind w:left="6480" w:hanging="360"/>
      </w:pPr>
      <w:rPr>
        <w:rFonts w:ascii="Wingdings" w:hAnsi="Wingdings" w:hint="default"/>
      </w:rPr>
    </w:lvl>
    <w:lvl w:ilvl="6" w:tplc="E17E4C98" w:tentative="1">
      <w:start w:val="1"/>
      <w:numFmt w:val="bullet"/>
      <w:lvlText w:val=""/>
      <w:lvlJc w:val="left"/>
      <w:pPr>
        <w:tabs>
          <w:tab w:val="num" w:pos="7200"/>
        </w:tabs>
        <w:ind w:left="7200" w:hanging="360"/>
      </w:pPr>
      <w:rPr>
        <w:rFonts w:ascii="Symbol" w:hAnsi="Symbol" w:hint="default"/>
      </w:rPr>
    </w:lvl>
    <w:lvl w:ilvl="7" w:tplc="E80A88FE" w:tentative="1">
      <w:start w:val="1"/>
      <w:numFmt w:val="bullet"/>
      <w:lvlText w:val="o"/>
      <w:lvlJc w:val="left"/>
      <w:pPr>
        <w:tabs>
          <w:tab w:val="num" w:pos="7920"/>
        </w:tabs>
        <w:ind w:left="7920" w:hanging="360"/>
      </w:pPr>
      <w:rPr>
        <w:rFonts w:ascii="Courier New" w:hAnsi="Courier New" w:hint="default"/>
      </w:rPr>
    </w:lvl>
    <w:lvl w:ilvl="8" w:tplc="160A038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25"/>
    <w:rsid w:val="009C3925"/>
    <w:rsid w:val="00EA36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 w:type="character" w:customStyle="1" w:styleId="FooterChar">
    <w:name w:val="Footer Char"/>
    <w:basedOn w:val="DefaultParagraphFont"/>
    <w:link w:val="Footer"/>
    <w:uiPriority w:val="99"/>
    <w:rsid w:val="00D9308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 w:type="character" w:customStyle="1" w:styleId="FooterChar">
    <w:name w:val="Footer Char"/>
    <w:basedOn w:val="DefaultParagraphFont"/>
    <w:link w:val="Footer"/>
    <w:uiPriority w:val="99"/>
    <w:rsid w:val="00D930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E408E-6577-40B5-950B-05B98F1AF87C}">
  <ds:schemaRefs>
    <ds:schemaRef ds:uri="http://www.w3.org/XML/1998/namespace"/>
    <ds:schemaRef ds:uri="http://purl.org/dc/terms/"/>
    <ds:schemaRef ds:uri="http://schemas.microsoft.com/office/infopath/2007/PartnerControls"/>
    <ds:schemaRef ds:uri="d2a2a88e-ed6e-437f-8263-76e618aa10b0"/>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02446CF-D21C-4376-8E11-7AC882665E5B}">
  <ds:schemaRefs>
    <ds:schemaRef ds:uri="http://schemas.microsoft.com/sharepoint/events"/>
  </ds:schemaRefs>
</ds:datastoreItem>
</file>

<file path=customXml/itemProps3.xml><?xml version="1.0" encoding="utf-8"?>
<ds:datastoreItem xmlns:ds="http://schemas.openxmlformats.org/officeDocument/2006/customXml" ds:itemID="{6B19E237-96CC-4134-A818-EDA3C470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85F7D-472A-4DF5-A49B-4BB071E178DC}">
  <ds:schemaRefs>
    <ds:schemaRef ds:uri="http://schemas.microsoft.com/office/2006/metadata/longProperties"/>
  </ds:schemaRefs>
</ds:datastoreItem>
</file>

<file path=customXml/itemProps5.xml><?xml version="1.0" encoding="utf-8"?>
<ds:datastoreItem xmlns:ds="http://schemas.openxmlformats.org/officeDocument/2006/customXml" ds:itemID="{C735F16D-2667-4E80-B5FA-97AB25204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2010-06-10T16:05:00Z</cp:lastPrinted>
  <dcterms:created xsi:type="dcterms:W3CDTF">2024-04-29T20:05:00Z</dcterms:created>
  <dcterms:modified xsi:type="dcterms:W3CDTF">2024-04-29T20:05:00Z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-1267486836</vt:i4>
  </property>
  <property fmtid="{D5CDD505-2E9C-101B-9397-08002B2CF9AE}" pid="3" name="_dlc_DocId">
    <vt:lpwstr>PORTALLGL-623779571-507</vt:lpwstr>
  </property>
  <property fmtid="{D5CDD505-2E9C-101B-9397-08002B2CF9AE}" pid="4" name="_dlc_DocIdItemGuid">
    <vt:lpwstr>44d77feb-bb5f-4108-9ca5-ac630eacf588</vt:lpwstr>
  </property>
  <property fmtid="{D5CDD505-2E9C-101B-9397-08002B2CF9AE}" pid="5" name="_dlc_DocIdUrl">
    <vt:lpwstr>https://portal.nyiso.com/sites/legal/_layouts/DocIdRedir.aspx?ID=PORTALLGL-623779571-507, PORTALLGL-623779571-507</vt:lpwstr>
  </property>
  <property fmtid="{D5CDD505-2E9C-101B-9397-08002B2CF9AE}" pid="6" name="_NewReviewCycle">
    <vt:lpwstr/>
  </property>
  <property fmtid="{D5CDD505-2E9C-101B-9397-08002B2CF9AE}" pid="7" name="_PreviousAdHocReviewCycleID">
    <vt:i4>1185725952</vt:i4>
  </property>
  <property fmtid="{D5CDD505-2E9C-101B-9397-08002B2CF9AE}" pid="8" name="_ReviewingToolsShownOnce">
    <vt:lpwstr/>
  </property>
</Properties>
</file>