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945F23"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945F23"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945F23"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w:t>
      </w:r>
      <w:r>
        <w:t>-</w:t>
      </w:r>
      <w:r w:rsidRPr="00460904">
        <w:t>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w:t>
      </w:r>
      <w:r>
        <w:t>-</w:t>
      </w:r>
      <w:r w:rsidRPr="00460904">
        <w:t>ICAP</w:t>
      </w:r>
      <w:r w:rsidRPr="009E1881">
        <w:t>.</w:t>
      </w:r>
    </w:p>
    <w:p w:rsidR="00303F75" w:rsidRPr="009E1881" w:rsidRDefault="00945F23"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megawatt le</w:t>
      </w:r>
      <w:r w:rsidRPr="009E1881">
        <w:t xml:space="preserve">vel of CRIS requested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roject with no new System Deliverability Upgrades (“Deliverable MWs”</w:t>
      </w:r>
      <w:r w:rsidRPr="009E1881">
        <w:t xml:space="preserve">).  The NYISO shall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w:t>
      </w:r>
      <w:r w:rsidRPr="009E1881">
        <w:t>es and System Deliverability Upgrades, their expected in-service date, and a plan for their installation that is sufficient to verify these dollar figures.  The NYISO shall also provide a dollar figure for the total cost of all System Upgrade Facilities re</w:t>
      </w:r>
      <w:r w:rsidRPr="009E1881">
        <w:t>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w:t>
      </w:r>
      <w:r w:rsidRPr="009E1881">
        <w:t xml:space="preserve"> the Operating Committee.</w:t>
      </w:r>
    </w:p>
    <w:p w:rsidR="00303F75" w:rsidRPr="009E1881" w:rsidRDefault="00945F23" w:rsidP="008827E5">
      <w:pPr>
        <w:pStyle w:val="Heading3"/>
      </w:pPr>
      <w:bookmarkStart w:id="3" w:name="_Toc260339084"/>
      <w:bookmarkStart w:id="4" w:name="_Toc262653041"/>
      <w:r w:rsidRPr="009E1881">
        <w:t>25.</w:t>
      </w:r>
      <w:r w:rsidRPr="009E1881">
        <w:t>8.2</w:t>
      </w:r>
      <w:r w:rsidRPr="009E1881">
        <w:tab/>
        <w:t>Decision Periods</w:t>
      </w:r>
      <w:bookmarkEnd w:id="3"/>
      <w:bookmarkEnd w:id="4"/>
    </w:p>
    <w:p w:rsidR="008C205C" w:rsidRPr="009E1881" w:rsidRDefault="00945F23" w:rsidP="0089050C">
      <w:pPr>
        <w:pStyle w:val="Bodypara"/>
      </w:pPr>
      <w:r w:rsidRPr="009E1881">
        <w:t>Within 30 calendar days following approval of the Annual Transmission Reliability Assessment and Class Year Deliverability Study by the Operating Committee (the “Initial Decision Period”), or within 7 calen</w:t>
      </w:r>
      <w:r w:rsidRPr="009E1881">
        <w:t>dar days following the NYISO’s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w:t>
      </w:r>
      <w:r w:rsidRPr="009E1881">
        <w:t>.3</w:t>
      </w:r>
      <w:r w:rsidRPr="009E1881">
        <w:t xml:space="preserve"> (a “Subsequent Decision 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Cost A</w:t>
      </w:r>
      <w:r w:rsidRPr="009E1881">
        <w:rPr>
          <w:color w:val="000000"/>
        </w:rPr>
        <w:t xml:space="preserve">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accepts or rejects its Project Cost Allocation and Deliverable MWs, if any, will be deemed a Non-Accept</w:t>
      </w:r>
      <w:r w:rsidRPr="009E1881">
        <w:rPr>
          <w:color w:val="000000"/>
        </w:rPr>
        <w:t xml:space="preserve">ance Notice.  </w:t>
      </w:r>
      <w:r w:rsidRPr="009E1881">
        <w:rPr>
          <w:color w:val="000000"/>
        </w:rPr>
        <w:t xml:space="preserve">Each Developer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r>
        <w:rPr>
          <w:color w:val="000000"/>
        </w:rPr>
        <w:t xml:space="preserve">for projects not yet </w:t>
      </w:r>
      <w:r>
        <w:rPr>
          <w:color w:val="000000"/>
        </w:rPr>
        <w:t xml:space="preserve">In-Service </w:t>
      </w:r>
      <w:r w:rsidRPr="009E1881">
        <w:rPr>
          <w:color w:val="000000"/>
        </w:rPr>
        <w:t xml:space="preserve">must also include a confirmed In-Service Date and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eliverable MWs</w:t>
      </w:r>
      <w:r w:rsidRPr="009E1881">
        <w:rPr>
          <w:color w:val="000000"/>
        </w:rPr>
        <w:t>.</w:t>
      </w:r>
    </w:p>
    <w:p w:rsidR="00303F75" w:rsidRPr="009E1881" w:rsidRDefault="00945F23" w:rsidP="0089050C">
      <w:pPr>
        <w:pStyle w:val="Bodypara"/>
      </w:pPr>
      <w:r w:rsidRPr="009E1881">
        <w:t xml:space="preserve">As soon as practicable following receipt of either an Acceptance Notice or Non-Acceptance Notice from each Class Year Developer, but not later than </w:t>
      </w:r>
      <w:r>
        <w:t>two (</w:t>
      </w:r>
      <w:r w:rsidRPr="009E1881">
        <w:t>2</w:t>
      </w:r>
      <w:r>
        <w:t xml:space="preserve">) </w:t>
      </w:r>
      <w:r w:rsidRPr="009E1881">
        <w:t xml:space="preserve">business days following receipt, </w:t>
      </w:r>
      <w:r w:rsidRPr="009E1881">
        <w:t xml:space="preserve">the NYISO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xml:space="preserve">, </w:t>
      </w:r>
      <w:r w:rsidRPr="009E1881">
        <w:t>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Acc</w:t>
      </w:r>
      <w:r w:rsidRPr="009E1881">
        <w:t xml:space="preserve">eptance Notice that is beyond the time period permissible by Section 30.4.4.5 of Attachment X, the NYISO’s </w:t>
      </w:r>
      <w:r w:rsidRPr="009E1881">
        <w:t xml:space="preserve">Interconnection </w:t>
      </w:r>
      <w:r w:rsidRPr="009E1881">
        <w:t>queue will reflect the latest possible permissible date, even if that requires the NYISO to reject and modify the proposed In-Service</w:t>
      </w:r>
      <w:r w:rsidRPr="009E1881">
        <w:t xml:space="preserve"> Date 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945F23" w:rsidP="0015099D">
      <w:pPr>
        <w:pStyle w:val="Bodypara"/>
      </w:pPr>
      <w:r w:rsidRPr="009E1881">
        <w:t>25.8.2.1</w:t>
      </w:r>
      <w:r w:rsidRPr="009E1881">
        <w:tab/>
        <w:t>If, following the Initi</w:t>
      </w:r>
      <w:r w:rsidRPr="009E1881">
        <w:t>al Decision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Transmission</w:t>
      </w:r>
      <w:r w:rsidRPr="009E1881">
        <w:t xml:space="preserve">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w:t>
      </w:r>
      <w:r w:rsidRPr="009E1881">
        <w:t>einafter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irre</w:t>
      </w:r>
      <w:r w:rsidRPr="009E1881">
        <w:t>vocable letter of credit, parent company guarantee or other form of security from an entity with an investment grade rating, executed for the benefit of the Connecting Transmission Owner and Affected Transmission Owner(s), meeting the requirements of these</w:t>
      </w:r>
      <w:r w:rsidRPr="009E1881">
        <w:t xml:space="preserve"> cost allocation rules, and meeting the respective commercially reasonable requirements of the Connecting Transmission Owner and Affected Transmission Owner(s).  Security shall be posted to cover the period ending on the date on which full payment is made </w:t>
      </w:r>
      <w:r w:rsidRPr="009E1881">
        <w:t>to the Connecting Transmission Owner for the System Upgrade Facilities, and the date(s) on which full payment is made to the Connecting Transmission Owner or Affected Transmission Owner(s) for the System Deliverability Upgrades; provided, however, that Sec</w:t>
      </w:r>
      <w:r w:rsidRPr="009E1881">
        <w:t>urity may be posted with a term as short as one year, so long as such Security is replaced no later than 15 business days before its stated expiration.  In the event Security is not replaced as required in the preceding sentence, the Connecting Transmissio</w:t>
      </w:r>
      <w:r w:rsidRPr="009E1881">
        <w:t>n Owner, or an Affected Transmission Owner in the case of Security for System Deliverability Upgrades, shall be entitled to draw upon the Security and convert it to cash, which cash shall be held by the Connecting Transmission Owner or Affected Transmissio</w:t>
      </w:r>
      <w:r w:rsidRPr="009E1881">
        <w:t>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945F23" w:rsidP="005C19DA">
      <w:pPr>
        <w:pStyle w:val="Numberpara"/>
      </w:pPr>
      <w:r w:rsidRPr="009E1881">
        <w:t>25.8.2.2</w:t>
      </w:r>
      <w:r w:rsidRPr="009E1881">
        <w:tab/>
      </w:r>
      <w:r w:rsidRPr="009E1881">
        <w:rPr>
          <w:w w:val="0"/>
        </w:rPr>
        <w:t xml:space="preserve">At the </w:t>
      </w:r>
      <w:r w:rsidRPr="009E1881">
        <w:rPr>
          <w:w w:val="0"/>
        </w:rPr>
        <w:t>end of the Initial Decision Period or any Subsequent Decision Period, if one or more of the Developers in the Class Year provides Non-Acceptance Notice (such event a “Non-Acceptance Event”), then every Developer in the Class Year shall be relieved of its o</w:t>
      </w:r>
      <w:r w:rsidRPr="009E1881">
        <w:rPr>
          <w:w w:val="0"/>
        </w:rPr>
        <w:t xml:space="preserve">bligation to pay cash or post Security in connection with that version of its Project Cost Allocation for both System Upgrade Facilities and System Deliverability Upgrades.  In addition, following the </w:t>
      </w:r>
      <w:r w:rsidRPr="009E1881">
        <w:t>Initial Decision Period or any Subsequent Decision Peri</w:t>
      </w:r>
      <w:r w:rsidRPr="009E1881">
        <w:t>od, if all Developers in the Class Year provide Acceptance Notice under the Class Year Deliverability Study, the ATRA or both, but one or more of the Developers fails to pay cash or post the Security required hereunder (such event a “Security Posting Defau</w:t>
      </w:r>
      <w:r w:rsidRPr="009E1881">
        <w:t>lt”), 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Deve</w:t>
      </w:r>
      <w:r w:rsidRPr="009E1881">
        <w:t>lopers immediately.  The Connecting Transmission Owners or Affected Transmission Owner(s) shall not make any draws or encumbrances on any cash or posted Security unless and until cash has been paid and Security has been posted by all Developers that issued</w:t>
      </w:r>
      <w:r w:rsidRPr="009E1881">
        <w:t xml:space="preserve"> Acceptance Notices in the Final Decision Round.</w:t>
      </w:r>
    </w:p>
    <w:p w:rsidR="00F4437D" w:rsidRPr="009E1881" w:rsidRDefault="00945F23" w:rsidP="005C19DA">
      <w:pPr>
        <w:pStyle w:val="Numberpara"/>
      </w:pPr>
      <w:r w:rsidRPr="009E1881">
        <w:t>25.8.2.3</w:t>
      </w:r>
      <w:r w:rsidRPr="009E1881">
        <w:tab/>
      </w:r>
      <w:r w:rsidRPr="009E1881">
        <w:t xml:space="preserve">Following the Initial Decision Period, or any Subsequent Decision Period, if a Non-Acceptance Event or a Security Posting Default shall have occurred with respect to the ATRA, the Developer that provided the Non-Acceptance Notice or committed the Security </w:t>
      </w:r>
      <w:r w:rsidRPr="009E1881">
        <w:t xml:space="preserve">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w:t>
      </w:r>
      <w:r w:rsidRPr="009E1881">
        <w:rPr>
          <w:color w:val="000000"/>
        </w:rPr>
        <w:t>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the Devel</w:t>
      </w:r>
      <w:r w:rsidRPr="009E1881">
        <w:rPr>
          <w:color w:val="000000"/>
        </w:rPr>
        <w:t xml:space="preserve">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 xml:space="preserve">SDU Project Cost Allocation and its Deliverable MWs, or (ii) commits a Security Posting Default with respect to its SDU Project Cost Allocation, then that Developer shall be removed </w:t>
      </w:r>
      <w:r w:rsidRPr="009E1881">
        <w:rPr>
          <w:color w:val="000000"/>
        </w:rPr>
        <w:t>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w:t>
      </w:r>
      <w:r w:rsidRPr="009E1881">
        <w:rPr>
          <w:color w:val="000000"/>
        </w:rPr>
        <w:t xml:space="preserve">onnect taking ERIS may later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w:t>
      </w:r>
      <w:r w:rsidRPr="009E1881">
        <w:rPr>
          <w:color w:val="000000"/>
        </w:rPr>
        <w:t>cept either its SDU Project Cost Allocation or its Deliverable MWs, or the Developer may provide a Non-Acceptance Notice for both its SDU Project Cost Allocation and its Deliverable MWs and continue its interconnection taking ERIS.  If the Developer does p</w:t>
      </w:r>
      <w:r w:rsidRPr="009E1881">
        <w:rPr>
          <w:color w:val="000000"/>
        </w:rPr>
        <w:t xml:space="preserve">rovide a Non-Acceptance 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w:t>
      </w:r>
      <w:r w:rsidRPr="009E1881">
        <w:rPr>
          <w:color w:val="000000"/>
        </w:rPr>
        <w:t xml:space="preserve">des a Non-Acceptance Notice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w:t>
      </w:r>
      <w:r w:rsidRPr="009E1881">
        <w:t xml:space="preserve"> Request will be processed further in accordance with Section </w:t>
      </w:r>
      <w:r w:rsidRPr="009E1881">
        <w:t>25.6.2.3</w:t>
      </w:r>
      <w:r w:rsidRPr="009E1881">
        <w:t xml:space="preserve"> above.</w:t>
      </w:r>
    </w:p>
    <w:p w:rsidR="00303F75" w:rsidRPr="009E1881" w:rsidRDefault="00945F23" w:rsidP="005C19DA">
      <w:pPr>
        <w:pStyle w:val="Numberpara"/>
      </w:pPr>
      <w:r w:rsidRPr="009E1881">
        <w:t>25.8.2.4</w:t>
      </w:r>
      <w:r w:rsidRPr="009E1881">
        <w:tab/>
        <w:t>Whenever projects are removed from an Annual Transmission Reliability Assessment and/or Class Year Deliverability Study, NYISO staff will notify the Developers of the re</w:t>
      </w:r>
      <w:r w:rsidRPr="009E1881">
        <w:t xml:space="preserve">maining </w:t>
      </w:r>
      <w:r w:rsidRPr="009E1881">
        <w:t>Class Year P</w:t>
      </w:r>
      <w:r w:rsidRPr="009E1881">
        <w:t>rojects still included in the Annual Transmission Reliability Assessment and/or Class Year Deliverability Study.</w:t>
      </w:r>
    </w:p>
    <w:p w:rsidR="00303F75" w:rsidRPr="009E1881" w:rsidRDefault="00945F23" w:rsidP="005C19DA">
      <w:pPr>
        <w:pStyle w:val="Heading3"/>
      </w:pPr>
      <w:bookmarkStart w:id="5" w:name="_Toc260339085"/>
      <w:bookmarkStart w:id="6" w:name="_Toc262653042"/>
      <w:r w:rsidRPr="009E1881">
        <w:t>25.</w:t>
      </w:r>
      <w:r w:rsidRPr="009E1881">
        <w:t>8.3</w:t>
      </w:r>
      <w:r w:rsidRPr="009E1881">
        <w:tab/>
        <w:t>Revised Study Results and Project Cost Allocations</w:t>
      </w:r>
      <w:bookmarkEnd w:id="5"/>
      <w:bookmarkEnd w:id="6"/>
    </w:p>
    <w:p w:rsidR="00303F75" w:rsidRPr="009E1881" w:rsidRDefault="00945F23" w:rsidP="0089050C">
      <w:pPr>
        <w:pStyle w:val="Bodypara"/>
      </w:pPr>
      <w:r w:rsidRPr="009E1881">
        <w:t>Immediately following receipt of Non-Acceptance Notice</w:t>
      </w:r>
      <w:r w:rsidRPr="009E1881">
        <w:t>s for any S</w:t>
      </w:r>
      <w:r w:rsidRPr="009E1881">
        <w:t>DU Project Cost Allocations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acceptance Notices and any Security posting Default. The updated Class Year Interconnectio</w:t>
      </w:r>
      <w:r w:rsidRPr="009E1881">
        <w:t>n Facilities Study shall include updated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w:t>
      </w:r>
      <w:r w:rsidRPr="009E1881">
        <w:t>y shall be issued</w:t>
      </w:r>
      <w:r w:rsidRPr="009E1881">
        <w:t xml:space="preserve"> as soon as practicable,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w:t>
      </w:r>
      <w:r w:rsidRPr="009E1881">
        <w:t>iverable MWs report.  The NYISO shall also provide the additional dollar figures relating to total cost and Class Year projects, and the related information, described in Section </w:t>
      </w:r>
      <w:r w:rsidRPr="009E1881">
        <w:t>25.</w:t>
      </w:r>
      <w:r w:rsidRPr="009E1881">
        <w:t>8</w:t>
      </w:r>
      <w:r w:rsidRPr="009E1881">
        <w:t>.1</w:t>
      </w:r>
      <w:r w:rsidRPr="009E1881">
        <w:t>, above.  Following the issuance of the revised Annual Transmission Rel</w:t>
      </w:r>
      <w:r w:rsidRPr="009E1881">
        <w:t>iability Assessment and Class Year Deliverability Study, and the issuance of Revised Project Cost Allocations and the revised Deliverable MWs report, each remaining Developer shall provide notice to the NYISO within 7 calendar days whether it will accept i</w:t>
      </w:r>
      <w:r w:rsidRPr="009E1881">
        <w:t>ts respective Revised Project Cost Allocation and revised Deliverable MWs.</w:t>
      </w:r>
    </w:p>
    <w:p w:rsidR="00303F75" w:rsidRPr="009E1881" w:rsidRDefault="00945F23" w:rsidP="005C19DA">
      <w:pPr>
        <w:pStyle w:val="Heading3"/>
      </w:pPr>
      <w:bookmarkStart w:id="7" w:name="_Toc260339086"/>
      <w:bookmarkStart w:id="8" w:name="_Toc262653043"/>
      <w:r w:rsidRPr="009E1881">
        <w:t>25.</w:t>
      </w:r>
      <w:r w:rsidRPr="009E1881">
        <w:t>8.4</w:t>
      </w:r>
      <w:r w:rsidRPr="009E1881">
        <w:tab/>
        <w:t>Completion of Decision Process</w:t>
      </w:r>
      <w:bookmarkEnd w:id="7"/>
      <w:bookmarkEnd w:id="8"/>
    </w:p>
    <w:p w:rsidR="00303F75" w:rsidRPr="009E1881" w:rsidRDefault="00945F23"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w:t>
      </w:r>
      <w:r w:rsidRPr="009E1881">
        <w:t>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945F23" w:rsidP="005C19DA">
      <w:pPr>
        <w:pStyle w:val="Heading3"/>
      </w:pPr>
      <w:bookmarkStart w:id="9" w:name="_Toc260339087"/>
      <w:bookmarkStart w:id="10" w:name="_Toc262653044"/>
      <w:r w:rsidRPr="009E1881">
        <w:t>25.</w:t>
      </w:r>
      <w:r w:rsidRPr="009E1881">
        <w:t>8.5</w:t>
      </w:r>
      <w:r w:rsidRPr="009E1881">
        <w:tab/>
        <w:t>Forfeiture of Security</w:t>
      </w:r>
      <w:bookmarkEnd w:id="9"/>
      <w:bookmarkEnd w:id="10"/>
    </w:p>
    <w:p w:rsidR="00B051CE" w:rsidRPr="009E1881" w:rsidRDefault="00945F23" w:rsidP="00546C6D">
      <w:pPr>
        <w:pStyle w:val="Bodypara"/>
        <w:rPr>
          <w:color w:val="000000"/>
        </w:rPr>
      </w:pPr>
      <w:r w:rsidRPr="009E1881">
        <w:t>With the exception of the requirement that cash and Security shall be surrendered back</w:t>
      </w:r>
      <w:r w:rsidRPr="009E1881">
        <w:t xml:space="preserve">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xml:space="preserve">, as the case </w:t>
      </w:r>
      <w:r w:rsidRPr="009E1881">
        <w:t>may be, and paid cash and posted Security or posted Security for that amount, such cash payment and Security shall be irrevocable and shall be subject to forfeiture as provided herein in the event that the Developer that paid cash and posted Security or po</w:t>
      </w:r>
      <w:r w:rsidRPr="009E1881">
        <w:t xml:space="preserve">sted the Security subsequently terminates or abandons development of its project. Any cash and Security previously posted on a terminated interconnection project will be </w:t>
      </w:r>
      <w:r w:rsidRPr="009E1881">
        <w:rPr>
          <w:color w:val="000000"/>
        </w:rPr>
        <w:t>subject to forfeiture to the extent necessary to defray the cost of the System Upgrade</w:t>
      </w:r>
      <w:r w:rsidRPr="009E1881">
        <w:rPr>
          <w:color w:val="000000"/>
        </w:rPr>
        <w:t xml:space="preserv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w:t>
      </w:r>
      <w:r w:rsidRPr="009E1881">
        <w:rPr>
          <w:color w:val="000000"/>
        </w:rPr>
        <w:t xml:space="preserve">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w:t>
      </w:r>
      <w:r w:rsidRPr="009E1881">
        <w:rPr>
          <w:color w:val="000000"/>
        </w:rPr>
        <w:t>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w:t>
      </w:r>
      <w:r w:rsidRPr="009E1881">
        <w:rPr>
          <w:color w:val="000000"/>
        </w:rPr>
        <w:t>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w:t>
      </w:r>
      <w:r w:rsidRPr="009E1881">
        <w:rPr>
          <w:color w:val="000000"/>
        </w:rPr>
        <w:t>t</w:t>
      </w:r>
      <w:r w:rsidRPr="009E1881">
        <w:rPr>
          <w:color w:val="000000"/>
        </w:rPr>
        <w:t>,</w:t>
      </w:r>
      <w:r w:rsidRPr="009E1881">
        <w:rPr>
          <w:color w:val="000000"/>
        </w:rPr>
        <w:t xml:space="preserve"> subject to the Connecting Transmission Owner’s review and approval.</w:t>
      </w:r>
    </w:p>
    <w:p w:rsidR="00B051CE" w:rsidRPr="009E1881" w:rsidRDefault="00945F23" w:rsidP="005C19DA">
      <w:pPr>
        <w:pStyle w:val="Heading3"/>
      </w:pPr>
      <w:bookmarkStart w:id="11" w:name="_Toc260339088"/>
      <w:bookmarkStart w:id="12" w:name="_Toc262653045"/>
      <w:r w:rsidRPr="009E1881">
        <w:t>25.</w:t>
      </w:r>
      <w:r w:rsidRPr="009E1881">
        <w:t>8.6</w:t>
      </w:r>
      <w:r w:rsidRPr="009E1881">
        <w:tab/>
        <w:t>Developer’s Future Cost Responsibility</w:t>
      </w:r>
      <w:bookmarkEnd w:id="11"/>
      <w:bookmarkEnd w:id="12"/>
    </w:p>
    <w:p w:rsidR="00B051CE" w:rsidRPr="009E1881" w:rsidRDefault="00945F23"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System Deliverability Upgrades required for its project, exc</w:t>
      </w:r>
      <w:r w:rsidRPr="009E1881">
        <w:rPr>
          <w:color w:val="000000"/>
        </w:rPr>
        <w:t>ept as discussed below.</w:t>
      </w:r>
    </w:p>
    <w:p w:rsidR="00B051CE" w:rsidRPr="009E1881" w:rsidRDefault="00945F23"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of the total size of the Highway System Deliverability U</w:t>
      </w:r>
      <w:r w:rsidRPr="009E1881">
        <w:rPr>
          <w:color w:val="000000"/>
        </w:rPr>
        <w:t>pgrade identified for the Developer’s project, and the Developer elects to commit to pay for its proportionate share of the Highway System Deliverability Upgrade by posting Security instead of paying cash, then the Developer’s allocated cost of the Highway</w:t>
      </w:r>
      <w:r w:rsidRPr="009E1881">
        <w:rPr>
          <w:color w:val="000000"/>
        </w:rPr>
        <w:t xml:space="preserve">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When deferred construction of the Highway System Deliverab</w:t>
      </w:r>
      <w:r w:rsidRPr="009E1881">
        <w:rPr>
          <w:color w:val="000000"/>
        </w:rPr>
        <w:t xml:space="preserve">ility Upgrade commences, the Developer will be responsible for actual costs in excess of the secured amount only when the excess results from changes to the operating characteristics of the Developer’s project.  If the portion of the System Deliverability </w:t>
      </w:r>
      <w:r w:rsidRPr="009E1881">
        <w:rPr>
          <w:color w:val="000000"/>
        </w:rPr>
        <w:t>Upgrades for a Highway System Deliverability Upgrade required to make one or more generators or merchant transmission facilities in a Class Year deliverable is ninety percent (90%) or more of the total size (measured in MW) of the System Deliverability Upg</w:t>
      </w:r>
      <w:r w:rsidRPr="009E1881">
        <w:rPr>
          <w:color w:val="000000"/>
        </w:rPr>
        <w:t xml:space="preserve">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945F23" w:rsidP="005C19DA">
      <w:pPr>
        <w:pStyle w:val="Numberpara"/>
      </w:pPr>
      <w:r w:rsidRPr="009E1881">
        <w:t>25.8.6.2</w:t>
      </w:r>
      <w:r w:rsidRPr="009E1881">
        <w:tab/>
        <w:t>If the actual cost of the Developer’s s</w:t>
      </w:r>
      <w:r w:rsidRPr="009E1881">
        <w:t>hare of required System Upgrade Facilities or System Deliverability Upgrades is less than the agreed-to and secured amount, the Developer is responsible only for the actual cost figure.</w:t>
      </w:r>
    </w:p>
    <w:p w:rsidR="004D6EE1" w:rsidRPr="009E1881" w:rsidRDefault="00945F23" w:rsidP="005C19DA">
      <w:pPr>
        <w:pStyle w:val="Numberpara"/>
        <w:rPr>
          <w:color w:val="000000"/>
        </w:rPr>
      </w:pPr>
      <w:r w:rsidRPr="009E1881">
        <w:t>25.8.6.3</w:t>
      </w:r>
      <w:r w:rsidRPr="009E1881">
        <w:tab/>
      </w:r>
      <w:r w:rsidRPr="009E1881">
        <w:t>If the actual cost of the Developer’s share of required System Upgrade Facilities or System Deliverability Upgrades would be greater than the agreed-to and secured amount because other projects have been expanded, accelerated, otherwise modified or termina</w:t>
      </w:r>
      <w:r w:rsidRPr="009E1881">
        <w:t xml:space="preserve">ted, then the Developer is responsible only for the agreed-to and secured amount for its </w:t>
      </w:r>
      <w:r w:rsidRPr="009E1881">
        <w:rPr>
          <w:color w:val="000000"/>
        </w:rPr>
        <w:t xml:space="preserve">project.  The additional cost is covered by the Developers of the modified projects, in accordance with </w:t>
      </w:r>
      <w:r w:rsidRPr="009E1881">
        <w:t>these</w:t>
      </w:r>
      <w:r w:rsidRPr="009E1881">
        <w:rPr>
          <w:color w:val="000000"/>
        </w:rPr>
        <w:t xml:space="preserve"> cost allocation rules, or by the drawing on the cash that</w:t>
      </w:r>
      <w:r w:rsidRPr="009E1881">
        <w:rPr>
          <w:color w:val="000000"/>
        </w:rPr>
        <w:t xml:space="preserve"> has been paid and the Security that has been posted for terminated projects, depending on the factors that caused the additional cost.  Forfeitable </w:t>
      </w:r>
      <w:r w:rsidRPr="009E1881">
        <w:t>cash</w:t>
      </w:r>
      <w:r w:rsidRPr="009E1881">
        <w:rPr>
          <w:color w:val="000000"/>
        </w:rPr>
        <w:t xml:space="preserve"> and Security will be drawn on only as needed for this purpose, and only to the extent that the termina</w:t>
      </w:r>
      <w:r w:rsidRPr="009E1881">
        <w:rPr>
          <w:color w:val="000000"/>
        </w:rPr>
        <w:t>ted project associated with that Security has caused additional cost.</w:t>
      </w:r>
    </w:p>
    <w:p w:rsidR="004D6EE1" w:rsidRPr="009E1881" w:rsidRDefault="00945F23" w:rsidP="005C19DA">
      <w:pPr>
        <w:pStyle w:val="Numberpara"/>
        <w:rPr>
          <w:color w:val="000000"/>
        </w:rPr>
      </w:pPr>
      <w:r w:rsidRPr="009E1881">
        <w:t>25.8.6.4</w:t>
      </w:r>
      <w:r w:rsidRPr="009E1881">
        <w:tab/>
        <w:t>If the actual cost of the Developer’s share of required System Upgrade Facilities or System Deliverability Upgrades is greater than the agreed-to and secured amount because of c</w:t>
      </w:r>
      <w:r w:rsidRPr="009E1881">
        <w:t xml:space="preserve">ircumstances that are not within the control of the Connecting Transmission Owner or Affected Transmission Owner(s) (such as, for example:  (i) changes to the design or operating characteristics of the </w:t>
      </w:r>
      <w:r w:rsidRPr="009E1881">
        <w:t>Class Year P</w:t>
      </w:r>
      <w:r w:rsidRPr="009E1881">
        <w:t>roject that impact the scope or cost of re</w:t>
      </w:r>
      <w:r w:rsidRPr="009E1881">
        <w:t>lated System Upgrade Facilities or System Deliverability Upgrades; (ii) any costs that were not within the scope of the Class Year Interconnection Facilities Study that subsequently become known as part of the final construction design; or (iii) cost escal</w:t>
      </w:r>
      <w:r w:rsidRPr="009E1881">
        <w:t>ation of materials or labor, or changes in the commercial availability of physical components required for construction), the cost cap shall be adjusted by any such amount and the Developer or the Load Serving Entity will pay the additional costs to the Co</w:t>
      </w:r>
      <w:r w:rsidRPr="009E1881">
        <w:t xml:space="preserve">nnecting Transmission Owner or Affected Transmission Owner(s) as such costs are incurred by each of them.  However, to the extent that some or all of the excess cost is due to factors within the control of the Connecting Transmission Owner or the Affected </w:t>
      </w:r>
      <w:r w:rsidRPr="009E1881">
        <w:t>Transmission Owner(s) (such as, for example, additional construction man-hours due to Connecting Transmission Owner or the Affected Transmission Owner(s) management, or correcting equipment scope deficiencies due to Connecting Transmission Owner or the Aff</w:t>
      </w:r>
      <w:r w:rsidRPr="009E1881">
        <w:t xml:space="preserve">ected Transmission Owner(s) oversights), </w:t>
      </w:r>
      <w:r w:rsidRPr="009E1881">
        <w:rPr>
          <w:color w:val="000000"/>
        </w:rPr>
        <w:t xml:space="preserve">then that portion of the excess cost will be borne by the Connecting Transmission Owner or the Affected Transmission Owner(s).  </w:t>
      </w:r>
      <w:r w:rsidRPr="009E1881">
        <w:t>Disputes</w:t>
      </w:r>
      <w:r w:rsidRPr="009E1881">
        <w:rPr>
          <w:color w:val="000000"/>
        </w:rPr>
        <w:t xml:space="preserve"> between the Developer and the Connecting Transmission Owner concerning costs i</w:t>
      </w:r>
      <w:r w:rsidRPr="009E1881">
        <w:rPr>
          <w:color w:val="000000"/>
        </w:rPr>
        <w:t>n excess of the agreed-to and secured amount will be resolved by the parties in accordance with the terms and conditions of their interconnection agreement.  Disputes between the Developer and an Affected Transmission Owner will be resolved in accordance w</w:t>
      </w:r>
      <w:r w:rsidRPr="009E1881">
        <w:rPr>
          <w:color w:val="000000"/>
        </w:rPr>
        <w:t xml:space="preserve">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945F23" w:rsidP="005C19DA">
      <w:pPr>
        <w:pStyle w:val="Heading3"/>
      </w:pPr>
      <w:bookmarkStart w:id="13" w:name="_Toc260339089"/>
      <w:bookmarkStart w:id="14" w:name="_Toc262653046"/>
      <w:r w:rsidRPr="009E1881">
        <w:t>25.</w:t>
      </w:r>
      <w:r w:rsidRPr="009E1881">
        <w:t>8.7</w:t>
      </w:r>
      <w:r w:rsidRPr="009E1881">
        <w:tab/>
        <w:t>Headroom Accounting</w:t>
      </w:r>
      <w:bookmarkEnd w:id="13"/>
      <w:bookmarkEnd w:id="14"/>
    </w:p>
    <w:p w:rsidR="004D6EE1" w:rsidRPr="009E1881" w:rsidRDefault="00945F23" w:rsidP="005C19DA">
      <w:pPr>
        <w:pStyle w:val="Bodypara"/>
      </w:pPr>
      <w:r w:rsidRPr="009E1881">
        <w:t>If, pursuant to these rules, a Developer, Connecting Transmission Owner, Affected Transmission Owner or Load Serving Entity (each an “Entity”) pay</w:t>
      </w:r>
      <w:r w:rsidRPr="009E1881">
        <w:t xml:space="preserve">s for any System Upgrade Facilities or System Deliverability Upgrades, or for any Attachment Facilities </w:t>
      </w:r>
      <w:r w:rsidRPr="009E1881">
        <w:t xml:space="preserve">or Distribution Upgrades </w:t>
      </w:r>
      <w:r w:rsidRPr="009E1881">
        <w:t>that are later determined to be System Upgrade Facilities or System Deliverability Upgrades, that create “Headroom”, and pays f</w:t>
      </w:r>
      <w:r w:rsidRPr="009E1881">
        <w:t>or the Headroom that is created,  then that Entity will be paid the depreciated cost of that Headroom by the Developer of any subsequent project that interconnects and uses the Headroom within the applicable period of time following the creation of the Hea</w:t>
      </w:r>
      <w:r w:rsidRPr="009E1881">
        <w:t xml:space="preserve">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945F23" w:rsidP="005C19DA">
      <w:pPr>
        <w:pStyle w:val="Numberpara"/>
      </w:pPr>
      <w:r w:rsidRPr="009E1881">
        <w:t>25.8.7.1</w:t>
      </w:r>
      <w:r w:rsidRPr="009E1881">
        <w:tab/>
        <w:t xml:space="preserve">Developers of terminated projects who have paid for Headroom with forfeited cash or Security instruments, as </w:t>
      </w:r>
      <w:r w:rsidRPr="009E1881">
        <w:t>well as Developers of completed projects who have paid for Headroom, will be repaid in accordance with these rules.</w:t>
      </w:r>
    </w:p>
    <w:p w:rsidR="004D6EE1" w:rsidRPr="009E1881" w:rsidRDefault="00945F23" w:rsidP="00CF14BD">
      <w:pPr>
        <w:pStyle w:val="Numberpara"/>
      </w:pPr>
      <w:r w:rsidRPr="009E1881">
        <w:t>25.8.7.2</w:t>
      </w:r>
      <w:r w:rsidRPr="009E1881">
        <w:tab/>
        <w:t>The Developer of the subsequent project shall pay the prior Entity as soon as the cost responsibilities of the subsequent Developer</w:t>
      </w:r>
      <w:r w:rsidRPr="009E1881">
        <w:t xml:space="preserve"> are determined in accordance with these rules.  In the case of Headroom created by Load Serving Entity funding Highway System Deliverability Upgrades pursuant to Schedule 12 of the NYISO OATT, the Developer of the subsequent project shall pay the Connecti</w:t>
      </w:r>
      <w:r w:rsidRPr="009E1881">
        <w:t xml:space="preserve">ng Transmission Owner, and any Affected Transmission Owner(s), that are receiving or will receive Load Serving Entity funding for the Highway System Deliverability Upgrades pursuant to Schedule 12 of the NYISO OATT.  Upon receipt of the Developer Headroom </w:t>
      </w:r>
      <w:r w:rsidRPr="009E1881">
        <w:t xml:space="preserve">payment, the Connecting Transmission Owner and any Affected Transmission Owner(s), will make the rate adjustment(s) called for by Section </w:t>
      </w:r>
      <w:r w:rsidRPr="009E1881">
        <w:t>6.12.</w:t>
      </w:r>
      <w:r w:rsidRPr="009E1881">
        <w:t xml:space="preserve">4.1.3 of Schedule 12 of the NYISO OATT. </w:t>
      </w:r>
    </w:p>
    <w:p w:rsidR="004D6EE1" w:rsidRPr="009E1881" w:rsidRDefault="00945F23"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w:t>
      </w:r>
      <w:r w:rsidRPr="009E1881">
        <w:t>rade</w:t>
      </w:r>
      <w:r w:rsidRPr="009E1881">
        <w:rPr>
          <w:color w:val="000000"/>
        </w:rPr>
        <w:t xml:space="preserve"> Facilities and/or System Deliverability Upgrades associated with the Entity -created Headroom using one of the following two methods:</w:t>
      </w:r>
    </w:p>
    <w:p w:rsidR="004D6EE1" w:rsidRPr="009E1881" w:rsidRDefault="00945F23" w:rsidP="005A0E08">
      <w:pPr>
        <w:pStyle w:val="alphapara"/>
      </w:pPr>
      <w:bookmarkStart w:id="15" w:name="_Toc260339090"/>
      <w:r w:rsidRPr="009E1881">
        <w:t>25.8.7.3.1</w:t>
      </w:r>
      <w:r w:rsidRPr="009E1881">
        <w:tab/>
        <w:t>In all cases except the case of Highway System Deliverability Upgrades funded by Load Serving Entities pur</w:t>
      </w:r>
      <w:r w:rsidRPr="009E1881">
        <w:t xml:space="preserve">suant to Schedule 12 of the NYISO OATT, the NYISO will use the FERC-approved depreciation schedule applied to comparable facilities by the Connecting Transmission Owner or the applicable Affected Transmission Owner.  The NYISO will depreciate the Headroom </w:t>
      </w:r>
      <w:r w:rsidRPr="009E1881">
        <w:t>cost annually, starting with the year when the Headroom account is first established.</w:t>
      </w:r>
      <w:bookmarkEnd w:id="15"/>
    </w:p>
    <w:p w:rsidR="004D6EE1" w:rsidRPr="009E1881" w:rsidRDefault="00945F23" w:rsidP="005A0E08">
      <w:pPr>
        <w:pStyle w:val="alphapara"/>
      </w:pPr>
      <w:bookmarkStart w:id="16" w:name="_Toc260339091"/>
      <w:r w:rsidRPr="009E1881">
        <w:t>25.8.7.3.2</w:t>
      </w:r>
      <w:r w:rsidRPr="009E1881">
        <w:tab/>
        <w:t>In the case of Highway System Deliverability Upgrades funded by Load Serving Entities pursuant to Schedule 12 of the NYISO OATT, the NYISO will use the FERC-ap</w:t>
      </w:r>
      <w:r w:rsidRPr="009E1881">
        <w:t>proved depreciation schedule applied to the particular Highway System Deliverability Upgrades by the Connecting Transmission Owner or the applicable Affected Transmission Owner pursuant to Schedule 12 of the NYISO OATT.  The NYISO will depreciate the Headr</w:t>
      </w:r>
      <w:r w:rsidRPr="009E1881">
        <w:t>oom cost annually, starting with the year the Highway System Deliverability Upgrade is placed in service.  If a Class Year</w:t>
      </w:r>
      <w:bookmarkEnd w:id="16"/>
      <w:r w:rsidRPr="009E1881">
        <w:t xml:space="preserve"> </w:t>
      </w:r>
      <w:bookmarkStart w:id="17" w:name="_Toc260339092"/>
      <w:r w:rsidRPr="009E1881">
        <w:t>Deliverability Study determines that a Class Year project uses Headroom on such a Highway System Deliverability Upgrade before the Hi</w:t>
      </w:r>
      <w:r w:rsidRPr="009E1881">
        <w:t>ghway System Deliverability Upgrade has been placed in service, the NYISO will calculate the Headroom use payment obligation of the Class Year project using the undepreciated cost of the Headroom.</w:t>
      </w:r>
      <w:bookmarkEnd w:id="17"/>
    </w:p>
    <w:p w:rsidR="004D6EE1" w:rsidRPr="009E1881" w:rsidRDefault="00945F23"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w:t>
      </w:r>
      <w:r w:rsidRPr="009E1881">
        <w:rPr>
          <w:color w:val="000000"/>
        </w:rPr>
        <w:t xml:space="preserve">ISO in accordance with these rules.  The use that a subsequent project makes of Entity -created Headroom will also be measured by the NYISO in accordance with these rules.  </w:t>
      </w:r>
    </w:p>
    <w:p w:rsidR="004D6EE1" w:rsidRPr="009E1881" w:rsidRDefault="00945F23" w:rsidP="00A01BB2">
      <w:pPr>
        <w:pStyle w:val="alphapara"/>
        <w:rPr>
          <w:u w:val="double"/>
        </w:rPr>
      </w:pPr>
      <w:r w:rsidRPr="009E1881">
        <w:t>25.8.7.4.1</w:t>
      </w:r>
      <w:r w:rsidRPr="009E1881">
        <w:tab/>
      </w:r>
      <w:r w:rsidRPr="009E1881">
        <w:t>In the case of Headroom on System Upgrade Facilities that have an excess functional capacity not readily measured in amperes or other discrete electrical units, the use that each subsequent project makes of the Entity-created Headroom will be measured sole</w:t>
      </w:r>
      <w:r w:rsidRPr="009E1881">
        <w:t xml:space="preserve">ly by using the total number of projects in the current and prior Class Years needing or using the System Upgrade Facility.  </w:t>
      </w:r>
    </w:p>
    <w:p w:rsidR="00F9521E" w:rsidRPr="009E1881" w:rsidRDefault="00945F23" w:rsidP="0036553B">
      <w:pPr>
        <w:pStyle w:val="Numberpara"/>
      </w:pPr>
      <w:bookmarkStart w:id="18" w:name="_Toc260339093"/>
      <w:r w:rsidRPr="009E1881">
        <w:t>25.8.7.4.1.1</w:t>
      </w:r>
      <w:r w:rsidRPr="009E1881">
        <w:tab/>
        <w:t>The use that each project in a subsequent Class Year makes of Headroom on such a System Upgrade Facility will be meas</w:t>
      </w:r>
      <w:r w:rsidRPr="009E1881">
        <w:t>ured as an amount equal to (1/b), where “b” is the total number of</w:t>
      </w:r>
      <w:bookmarkEnd w:id="18"/>
      <w:r w:rsidRPr="009E1881">
        <w:t xml:space="preserve"> </w:t>
      </w:r>
      <w:bookmarkStart w:id="19" w:name="_Toc260339094"/>
      <w:r w:rsidRPr="009E1881">
        <w:t>projects in all prior and current Class Years using the System Upgrade Facility.</w:t>
      </w:r>
      <w:bookmarkEnd w:id="19"/>
    </w:p>
    <w:p w:rsidR="004D6EE1" w:rsidRPr="009E1881" w:rsidRDefault="00945F23" w:rsidP="005A0E08">
      <w:pPr>
        <w:pStyle w:val="Numberpara"/>
        <w:rPr>
          <w:color w:val="000000"/>
        </w:rPr>
      </w:pPr>
      <w:bookmarkStart w:id="20" w:name="_Toc260339095"/>
      <w:r w:rsidRPr="009E1881">
        <w:t>25.8.7.4.1.2</w:t>
      </w:r>
      <w:r w:rsidRPr="009E1881">
        <w:tab/>
        <w:t xml:space="preserve">Each Developer in a subsequent Class Year that uses Headroom on such a System Upgrade Facility </w:t>
      </w:r>
      <w:r w:rsidRPr="009E1881">
        <w:t>will make a Headroom payment to all prior Developers that have previously made payments for that System Upgrade Facility, both the prior Developers that have previously made Headroom payments and the Developers in the first Class Year that paid for the ori</w:t>
      </w:r>
      <w:r w:rsidRPr="009E1881">
        <w:t>ginal installation of the System Upgrade Facility.  The amount of the Headroom payment to each prior Developer that each Developer in a subsequent Class Year must make for its use of Headroom on such a System Upgrade Facility will be an amount equal to c/(</w:t>
      </w:r>
      <w:r w:rsidRPr="009E1881">
        <w:t xml:space="preserve">b)x(d), where “c” is the depreciated cost of the System Upgrade Facility at the time of the subsequent Class Year </w:t>
      </w:r>
      <w:r w:rsidRPr="009E1881">
        <w:t xml:space="preserve">Interconnection </w:t>
      </w:r>
      <w:r w:rsidRPr="009E1881">
        <w:t xml:space="preserve">Facilities Study, “b” is the total number of projects in all prior and current Class Years using the System Upgrade Facility, </w:t>
      </w:r>
      <w:r w:rsidRPr="009E1881">
        <w:t xml:space="preserve">and “d” is the total </w:t>
      </w:r>
      <w:r w:rsidRPr="009E1881">
        <w:rPr>
          <w:color w:val="000000"/>
        </w:rPr>
        <w:t>number of projects in all the prior Class Years that have previously made payments for the System Upgrade Facility, both Headroom payments and payments for original installation.</w:t>
      </w:r>
      <w:bookmarkEnd w:id="20"/>
    </w:p>
    <w:p w:rsidR="004D6EE1" w:rsidRPr="009E1881" w:rsidRDefault="00945F23" w:rsidP="00A01BB2">
      <w:pPr>
        <w:pStyle w:val="alphapara"/>
      </w:pPr>
      <w:r w:rsidRPr="009E1881">
        <w:t>25.8.7.4.2</w:t>
      </w:r>
      <w:r w:rsidRPr="009E1881">
        <w:tab/>
        <w:t>In the case of System Upgrade Facilities or S</w:t>
      </w:r>
      <w:r w:rsidRPr="009E1881">
        <w:t>ystem Deliverability Upgrades that have an excess capacity readily measured in amperes or other discrete electrical units, the use the subsequent project makes of the Entity-created Headroom will be measured in terms of the electrical impact of the subsequ</w:t>
      </w:r>
      <w:r w:rsidRPr="009E1881">
        <w:t xml:space="preserve">ent project, as that electrical impact is determined by the NYISO in accordance with these rules.  </w:t>
      </w:r>
    </w:p>
    <w:p w:rsidR="004D6EE1" w:rsidRPr="009E1881" w:rsidRDefault="00945F23"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Entities, and will update those accounts to refl</w:t>
      </w:r>
      <w:r w:rsidRPr="009E1881">
        <w:rPr>
          <w:color w:val="000000"/>
        </w:rPr>
        <w:t>ect the impact of subsequent projects.  With the exception of Headroom on Highway System Deliverability Upgrades funded by Load Serving Entities pursuant to Schedule 12 of the NYISO OATT, the NYISO will close the Headroom account of an Entity when the elec</w:t>
      </w:r>
      <w:r w:rsidRPr="009E1881">
        <w:rPr>
          <w:color w:val="000000"/>
        </w:rPr>
        <w:t>trical values in the account are reduced to zero or when ten years have passed since the establishment of the account, whichever occurs first.</w:t>
      </w:r>
    </w:p>
    <w:p w:rsidR="004D6EE1" w:rsidRPr="009E1881" w:rsidRDefault="00945F23"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w:t>
      </w:r>
      <w:r w:rsidRPr="009E1881">
        <w:rPr>
          <w:color w:val="000000"/>
        </w:rPr>
        <w:t>rsuant to Schedule 12 of the NYISO OATT, the NYISO will close the Headroom account of the Load Serving Entity when the MW value in the account is reduced to zero, or at the end of the useful financial life of the Highway System Deliverability Upgrades, whi</w:t>
      </w:r>
      <w:r w:rsidRPr="009E1881">
        <w:rPr>
          <w:color w:val="000000"/>
        </w:rPr>
        <w:t>chever occurs first.</w:t>
      </w:r>
    </w:p>
    <w:p w:rsidR="00303F75" w:rsidRPr="009E1881" w:rsidRDefault="00945F23"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need for a new </w:t>
      </w:r>
      <w:r w:rsidRPr="009E1881">
        <w:rPr>
          <w:bCs/>
        </w:rPr>
        <w:t>System Upgrade Facility or System Deliverability Upgrade, then the subsequent Developer will pay the Connecting Tr</w:t>
      </w:r>
      <w:r w:rsidRPr="009E1881">
        <w:rPr>
          <w:bCs/>
        </w:rPr>
        <w:t>ansmission Owner or Affected Transmission Owner for the new System Upgrade Facility or System Deliverability Upgrade, but will not pay the earlier Entity for the Headroom used up or the account extinguished.  However, the earlier Entity will get a new Head</w:t>
      </w:r>
      <w:r w:rsidRPr="009E1881">
        <w:rPr>
          <w:bCs/>
        </w:rPr>
        <w:t xml:space="preserve">room account and a </w:t>
      </w:r>
      <w:r w:rsidRPr="009E1881">
        <w:rPr>
          <w:bCs/>
          <w:i/>
          <w:iCs/>
        </w:rPr>
        <w:t>pro rata</w:t>
      </w:r>
      <w:r w:rsidRPr="009E1881">
        <w:rPr>
          <w:bCs/>
        </w:rPr>
        <w:t xml:space="preserve"> share of the Headroom in the new System Upgrade Facility or System Deliverability Upgrade purchased by the subsequent Developer.  The economic value of this </w:t>
      </w:r>
      <w:r w:rsidRPr="009E1881">
        <w:rPr>
          <w:bCs/>
          <w:i/>
          <w:iCs/>
        </w:rPr>
        <w:t>pro rata</w:t>
      </w:r>
      <w:r w:rsidRPr="009E1881">
        <w:rPr>
          <w:bCs/>
        </w:rPr>
        <w:t xml:space="preserve"> share will be equal to the economic value of the earlier Entit</w:t>
      </w:r>
      <w:r w:rsidRPr="009E1881">
        <w:rPr>
          <w:bCs/>
        </w:rPr>
        <w:t>y’s Headroom account that was extinguished by the subsequent Developer.</w:t>
      </w:r>
    </w:p>
    <w:p w:rsidR="00303F75" w:rsidRPr="009E1881" w:rsidRDefault="00945F23" w:rsidP="005C19DA">
      <w:pPr>
        <w:pStyle w:val="Numberpara"/>
      </w:pPr>
      <w:r w:rsidRPr="009E1881">
        <w:t>25.8.7.5</w:t>
      </w:r>
      <w:r w:rsidRPr="009E1881">
        <w:tab/>
        <w:t>For Class Years 2001 and 2002, the NYISO shall account for Headroom as provided by the Non-Financial Settlement.  Developers in Class Year 2002 shall reimburse Class Year 2001</w:t>
      </w:r>
      <w:r w:rsidRPr="009E1881">
        <w:t xml:space="preserve"> Developers in accordance with the terms of the Non-Financial Settlement.</w:t>
      </w:r>
    </w:p>
    <w:p w:rsidR="00C3433D" w:rsidRPr="009E1881" w:rsidRDefault="00945F23" w:rsidP="005C19DA">
      <w:pPr>
        <w:pStyle w:val="Numberpara"/>
      </w:pPr>
      <w:r w:rsidRPr="009E1881">
        <w:t>25.8.7.6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Headroom obl</w:t>
      </w:r>
      <w:r w:rsidRPr="009E1881">
        <w:t xml:space="preserve">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 benefit of the prior Entity, meeting the requirements of these cost allocation rules, and meeting the</w:t>
      </w:r>
      <w:r w:rsidRPr="009E1881">
        <w:t xml:space="preserve"> respective commercially reasonable requirements of the prior Entity.  Headroom Security shall be posted to cover the period ending on the date on which full payment is made to the prior Entity for the Headroom obligation; provided, however, that Headroom </w:t>
      </w:r>
      <w:r w:rsidRPr="009E1881">
        <w:t xml:space="preserve">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 stated expiration.  In the event Headroom Security is not replaced as required in the preceding sente</w:t>
      </w:r>
      <w:r w:rsidRPr="009E1881">
        <w:t>nce, the prior Entity shall be entitled to draw upon the Headroom Security and convert it to cash, which cash shall be held by the prior Entity for the account of the Developer.</w:t>
      </w:r>
    </w:p>
    <w:p w:rsidR="00303F75" w:rsidRPr="009E1881" w:rsidRDefault="00945F23" w:rsidP="005C19DA">
      <w:pPr>
        <w:pStyle w:val="Heading3"/>
      </w:pPr>
      <w:bookmarkStart w:id="21" w:name="_Toc260339096"/>
      <w:bookmarkStart w:id="22" w:name="_Toc262653047"/>
      <w:r w:rsidRPr="009E1881">
        <w:t>25.</w:t>
      </w:r>
      <w:r w:rsidRPr="009E1881">
        <w:t>8.8</w:t>
      </w:r>
      <w:r w:rsidRPr="009E1881">
        <w:tab/>
        <w:t>Headroom Account Adjustments in the ATBA</w:t>
      </w:r>
      <w:bookmarkEnd w:id="21"/>
      <w:bookmarkEnd w:id="22"/>
    </w:p>
    <w:p w:rsidR="00303F75" w:rsidRPr="009E1881" w:rsidRDefault="00945F23" w:rsidP="005C19DA">
      <w:pPr>
        <w:pStyle w:val="Bodypara"/>
      </w:pPr>
      <w:r w:rsidRPr="009E1881">
        <w:t>In addition to the adjustments</w:t>
      </w:r>
      <w:r w:rsidRPr="009E1881">
        <w:t xml:space="preserve"> made by the NYISO in Headroom accounts to reflect the impact of subsequent projects, the NYISO will make other adjustments to Headroom accounts when preparing for each Annual Transmission Baseline Assessment.  The NYISO will make these adjustments to refl</w:t>
      </w:r>
      <w:r w:rsidRPr="009E1881">
        <w:t>ect the impact of changes in the Existing System Representation modeled for the Annual Transmission Baseline Assessment that result from the installation, expansion or retirement of generation and transmission facilities for load growth and changes in load</w:t>
      </w:r>
      <w:r w:rsidRPr="009E1881">
        <w:t xml:space="preserve"> patterns.  Such changes in the Existing System Representation can also result from changes in these rules or the criteria, methods or, software used to apply these rules.</w:t>
      </w:r>
    </w:p>
    <w:p w:rsidR="00303F75" w:rsidRPr="009E1881" w:rsidRDefault="00945F23" w:rsidP="005C19DA">
      <w:pPr>
        <w:pStyle w:val="Numberpara"/>
      </w:pPr>
      <w:r w:rsidRPr="009E1881">
        <w:t>25.8.8.1</w:t>
      </w:r>
      <w:r w:rsidRPr="009E1881">
        <w:tab/>
        <w:t>No compensation will be paid as a result of these changes to the Existing S</w:t>
      </w:r>
      <w:r w:rsidRPr="009E1881">
        <w:t>ystem Representation.  However, the NYISO will adjust the ratios of dollars to electrical values in each Entity’s account to maintain the economic value of the Entity’s account that existed before the changes were made in the Existing System Representation</w:t>
      </w:r>
      <w:r w:rsidRPr="009E1881">
        <w:t>.</w:t>
      </w:r>
    </w:p>
    <w:p w:rsidR="00E4563B" w:rsidRPr="009E1881" w:rsidRDefault="00945F23" w:rsidP="00A01BB2">
      <w:pPr>
        <w:pStyle w:val="Numberpara"/>
      </w:pPr>
      <w:r w:rsidRPr="009E1881">
        <w:t>25.8.8.2</w:t>
      </w:r>
      <w:r w:rsidRPr="009E1881">
        <w:tab/>
        <w:t>The NYISO will make no adjustments to Headroom accounts for the impact of subsequent generic solutions, except in those cases where the generic solution is a Class Year project and the adjustment is made to reflect the impact of the Class Year p</w:t>
      </w:r>
      <w:r w:rsidRPr="009E1881">
        <w:t>roject.</w:t>
      </w:r>
    </w:p>
    <w:p w:rsidR="004D6EE1" w:rsidRPr="009E1881" w:rsidRDefault="00945F23" w:rsidP="00A01BB2">
      <w:pPr>
        <w:pStyle w:val="Heading3"/>
      </w:pPr>
      <w:bookmarkStart w:id="23" w:name="_Toc260339097"/>
      <w:bookmarkStart w:id="24" w:name="_Toc262653048"/>
      <w:r w:rsidRPr="009E1881">
        <w:t>25.</w:t>
      </w:r>
      <w:r w:rsidRPr="009E1881">
        <w:t>8.9</w:t>
      </w:r>
      <w:r w:rsidRPr="009E1881">
        <w:tab/>
        <w:t>Rate Base Facilities</w:t>
      </w:r>
      <w:bookmarkEnd w:id="23"/>
      <w:bookmarkEnd w:id="24"/>
    </w:p>
    <w:p w:rsidR="004D6EE1" w:rsidRPr="00560206" w:rsidRDefault="00945F23"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w:t>
      </w:r>
      <w:r w:rsidRPr="009E1881">
        <w:rPr>
          <w:color w:val="000000"/>
        </w:rPr>
        <w:t xml:space="preserve">rate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945F23">
      <w:pPr>
        <w:tabs>
          <w:tab w:val="left" w:pos="0"/>
          <w:tab w:val="left" w:pos="720"/>
          <w:tab w:val="center" w:pos="4680"/>
          <w:tab w:val="left" w:pos="6480"/>
          <w:tab w:val="left" w:pos="7200"/>
          <w:tab w:val="left" w:pos="7920"/>
          <w:tab w:val="left" w:pos="8640"/>
        </w:tabs>
      </w:pPr>
    </w:p>
    <w:sectPr w:rsidR="00042F46" w:rsidSect="003553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C30" w:rsidRDefault="00494C30" w:rsidP="00494C30">
      <w:r>
        <w:separator/>
      </w:r>
    </w:p>
  </w:endnote>
  <w:endnote w:type="continuationSeparator" w:id="0">
    <w:p w:rsidR="00494C30" w:rsidRDefault="00494C30" w:rsidP="00494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94C30">
      <w:rPr>
        <w:rFonts w:ascii="Arial" w:eastAsia="Arial" w:hAnsi="Arial" w:cs="Arial"/>
        <w:color w:val="000000"/>
        <w:sz w:val="16"/>
      </w:rPr>
      <w:fldChar w:fldCharType="begin"/>
    </w:r>
    <w:r>
      <w:rPr>
        <w:rFonts w:ascii="Arial" w:eastAsia="Arial" w:hAnsi="Arial" w:cs="Arial"/>
        <w:color w:val="000000"/>
        <w:sz w:val="16"/>
      </w:rPr>
      <w:instrText>PAGE</w:instrText>
    </w:r>
    <w:r w:rsidR="00494C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94C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4C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94C30">
      <w:rPr>
        <w:rFonts w:ascii="Arial" w:eastAsia="Arial" w:hAnsi="Arial" w:cs="Arial"/>
        <w:color w:val="000000"/>
        <w:sz w:val="16"/>
      </w:rPr>
      <w:fldChar w:fldCharType="begin"/>
    </w:r>
    <w:r>
      <w:rPr>
        <w:rFonts w:ascii="Arial" w:eastAsia="Arial" w:hAnsi="Arial" w:cs="Arial"/>
        <w:color w:val="000000"/>
        <w:sz w:val="16"/>
      </w:rPr>
      <w:instrText>PAGE</w:instrText>
    </w:r>
    <w:r w:rsidR="00494C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C30" w:rsidRDefault="00494C30" w:rsidP="00494C30">
      <w:r>
        <w:separator/>
      </w:r>
    </w:p>
  </w:footnote>
  <w:footnote w:type="continuationSeparator" w:id="0">
    <w:p w:rsidR="00494C30" w:rsidRDefault="00494C30" w:rsidP="00494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w:t>
    </w:r>
    <w:r>
      <w:rPr>
        <w:rFonts w:ascii="Arial" w:eastAsia="Arial" w:hAnsi="Arial" w:cs="Arial"/>
        <w:color w:val="000000"/>
        <w:sz w:val="16"/>
      </w:rPr>
      <w:t>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30" w:rsidRDefault="00945F23">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DEA4496">
      <w:start w:val="1"/>
      <w:numFmt w:val="bullet"/>
      <w:pStyle w:val="Bulletpara"/>
      <w:lvlText w:val=""/>
      <w:lvlJc w:val="left"/>
      <w:pPr>
        <w:tabs>
          <w:tab w:val="num" w:pos="720"/>
        </w:tabs>
        <w:ind w:left="720" w:hanging="360"/>
      </w:pPr>
      <w:rPr>
        <w:rFonts w:ascii="Symbol" w:hAnsi="Symbol" w:hint="default"/>
      </w:rPr>
    </w:lvl>
    <w:lvl w:ilvl="1" w:tplc="A9C456F6" w:tentative="1">
      <w:start w:val="1"/>
      <w:numFmt w:val="bullet"/>
      <w:lvlText w:val="o"/>
      <w:lvlJc w:val="left"/>
      <w:pPr>
        <w:tabs>
          <w:tab w:val="num" w:pos="1440"/>
        </w:tabs>
        <w:ind w:left="1440" w:hanging="360"/>
      </w:pPr>
      <w:rPr>
        <w:rFonts w:ascii="Courier New" w:hAnsi="Courier New" w:hint="default"/>
      </w:rPr>
    </w:lvl>
    <w:lvl w:ilvl="2" w:tplc="8678487E" w:tentative="1">
      <w:start w:val="1"/>
      <w:numFmt w:val="bullet"/>
      <w:lvlText w:val=""/>
      <w:lvlJc w:val="left"/>
      <w:pPr>
        <w:tabs>
          <w:tab w:val="num" w:pos="2160"/>
        </w:tabs>
        <w:ind w:left="2160" w:hanging="360"/>
      </w:pPr>
      <w:rPr>
        <w:rFonts w:ascii="Wingdings" w:hAnsi="Wingdings" w:hint="default"/>
      </w:rPr>
    </w:lvl>
    <w:lvl w:ilvl="3" w:tplc="8AE8899A" w:tentative="1">
      <w:start w:val="1"/>
      <w:numFmt w:val="bullet"/>
      <w:lvlText w:val=""/>
      <w:lvlJc w:val="left"/>
      <w:pPr>
        <w:tabs>
          <w:tab w:val="num" w:pos="2880"/>
        </w:tabs>
        <w:ind w:left="2880" w:hanging="360"/>
      </w:pPr>
      <w:rPr>
        <w:rFonts w:ascii="Symbol" w:hAnsi="Symbol" w:hint="default"/>
      </w:rPr>
    </w:lvl>
    <w:lvl w:ilvl="4" w:tplc="7474EF6A" w:tentative="1">
      <w:start w:val="1"/>
      <w:numFmt w:val="bullet"/>
      <w:lvlText w:val="o"/>
      <w:lvlJc w:val="left"/>
      <w:pPr>
        <w:tabs>
          <w:tab w:val="num" w:pos="3600"/>
        </w:tabs>
        <w:ind w:left="3600" w:hanging="360"/>
      </w:pPr>
      <w:rPr>
        <w:rFonts w:ascii="Courier New" w:hAnsi="Courier New" w:hint="default"/>
      </w:rPr>
    </w:lvl>
    <w:lvl w:ilvl="5" w:tplc="585AC946" w:tentative="1">
      <w:start w:val="1"/>
      <w:numFmt w:val="bullet"/>
      <w:lvlText w:val=""/>
      <w:lvlJc w:val="left"/>
      <w:pPr>
        <w:tabs>
          <w:tab w:val="num" w:pos="4320"/>
        </w:tabs>
        <w:ind w:left="4320" w:hanging="360"/>
      </w:pPr>
      <w:rPr>
        <w:rFonts w:ascii="Wingdings" w:hAnsi="Wingdings" w:hint="default"/>
      </w:rPr>
    </w:lvl>
    <w:lvl w:ilvl="6" w:tplc="FF680176" w:tentative="1">
      <w:start w:val="1"/>
      <w:numFmt w:val="bullet"/>
      <w:lvlText w:val=""/>
      <w:lvlJc w:val="left"/>
      <w:pPr>
        <w:tabs>
          <w:tab w:val="num" w:pos="5040"/>
        </w:tabs>
        <w:ind w:left="5040" w:hanging="360"/>
      </w:pPr>
      <w:rPr>
        <w:rFonts w:ascii="Symbol" w:hAnsi="Symbol" w:hint="default"/>
      </w:rPr>
    </w:lvl>
    <w:lvl w:ilvl="7" w:tplc="788296F8" w:tentative="1">
      <w:start w:val="1"/>
      <w:numFmt w:val="bullet"/>
      <w:lvlText w:val="o"/>
      <w:lvlJc w:val="left"/>
      <w:pPr>
        <w:tabs>
          <w:tab w:val="num" w:pos="5760"/>
        </w:tabs>
        <w:ind w:left="5760" w:hanging="360"/>
      </w:pPr>
      <w:rPr>
        <w:rFonts w:ascii="Courier New" w:hAnsi="Courier New" w:hint="default"/>
      </w:rPr>
    </w:lvl>
    <w:lvl w:ilvl="8" w:tplc="2688AF7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9F2FE06">
      <w:start w:val="1"/>
      <w:numFmt w:val="lowerRoman"/>
      <w:lvlText w:val="(%1)"/>
      <w:lvlJc w:val="left"/>
      <w:pPr>
        <w:tabs>
          <w:tab w:val="num" w:pos="2448"/>
        </w:tabs>
        <w:ind w:left="2448" w:hanging="648"/>
      </w:pPr>
      <w:rPr>
        <w:rFonts w:cs="Times New Roman" w:hint="default"/>
        <w:b w:val="0"/>
        <w:i w:val="0"/>
        <w:u w:val="none"/>
      </w:rPr>
    </w:lvl>
    <w:lvl w:ilvl="1" w:tplc="DD86F1BC" w:tentative="1">
      <w:start w:val="1"/>
      <w:numFmt w:val="lowerLetter"/>
      <w:lvlText w:val="%2."/>
      <w:lvlJc w:val="left"/>
      <w:pPr>
        <w:tabs>
          <w:tab w:val="num" w:pos="1440"/>
        </w:tabs>
        <w:ind w:left="1440" w:hanging="360"/>
      </w:pPr>
      <w:rPr>
        <w:rFonts w:cs="Times New Roman"/>
      </w:rPr>
    </w:lvl>
    <w:lvl w:ilvl="2" w:tplc="5C98CFE2" w:tentative="1">
      <w:start w:val="1"/>
      <w:numFmt w:val="lowerRoman"/>
      <w:lvlText w:val="%3."/>
      <w:lvlJc w:val="right"/>
      <w:pPr>
        <w:tabs>
          <w:tab w:val="num" w:pos="2160"/>
        </w:tabs>
        <w:ind w:left="2160" w:hanging="180"/>
      </w:pPr>
      <w:rPr>
        <w:rFonts w:cs="Times New Roman"/>
      </w:rPr>
    </w:lvl>
    <w:lvl w:ilvl="3" w:tplc="BF98AFF4" w:tentative="1">
      <w:start w:val="1"/>
      <w:numFmt w:val="decimal"/>
      <w:lvlText w:val="%4."/>
      <w:lvlJc w:val="left"/>
      <w:pPr>
        <w:tabs>
          <w:tab w:val="num" w:pos="2880"/>
        </w:tabs>
        <w:ind w:left="2880" w:hanging="360"/>
      </w:pPr>
      <w:rPr>
        <w:rFonts w:cs="Times New Roman"/>
      </w:rPr>
    </w:lvl>
    <w:lvl w:ilvl="4" w:tplc="9B9C23FA" w:tentative="1">
      <w:start w:val="1"/>
      <w:numFmt w:val="lowerLetter"/>
      <w:lvlText w:val="%5."/>
      <w:lvlJc w:val="left"/>
      <w:pPr>
        <w:tabs>
          <w:tab w:val="num" w:pos="3600"/>
        </w:tabs>
        <w:ind w:left="3600" w:hanging="360"/>
      </w:pPr>
      <w:rPr>
        <w:rFonts w:cs="Times New Roman"/>
      </w:rPr>
    </w:lvl>
    <w:lvl w:ilvl="5" w:tplc="9B4EA7E8" w:tentative="1">
      <w:start w:val="1"/>
      <w:numFmt w:val="lowerRoman"/>
      <w:lvlText w:val="%6."/>
      <w:lvlJc w:val="right"/>
      <w:pPr>
        <w:tabs>
          <w:tab w:val="num" w:pos="4320"/>
        </w:tabs>
        <w:ind w:left="4320" w:hanging="180"/>
      </w:pPr>
      <w:rPr>
        <w:rFonts w:cs="Times New Roman"/>
      </w:rPr>
    </w:lvl>
    <w:lvl w:ilvl="6" w:tplc="1EBED648" w:tentative="1">
      <w:start w:val="1"/>
      <w:numFmt w:val="decimal"/>
      <w:lvlText w:val="%7."/>
      <w:lvlJc w:val="left"/>
      <w:pPr>
        <w:tabs>
          <w:tab w:val="num" w:pos="5040"/>
        </w:tabs>
        <w:ind w:left="5040" w:hanging="360"/>
      </w:pPr>
      <w:rPr>
        <w:rFonts w:cs="Times New Roman"/>
      </w:rPr>
    </w:lvl>
    <w:lvl w:ilvl="7" w:tplc="2A7E76CE" w:tentative="1">
      <w:start w:val="1"/>
      <w:numFmt w:val="lowerLetter"/>
      <w:lvlText w:val="%8."/>
      <w:lvlJc w:val="left"/>
      <w:pPr>
        <w:tabs>
          <w:tab w:val="num" w:pos="5760"/>
        </w:tabs>
        <w:ind w:left="5760" w:hanging="360"/>
      </w:pPr>
      <w:rPr>
        <w:rFonts w:cs="Times New Roman"/>
      </w:rPr>
    </w:lvl>
    <w:lvl w:ilvl="8" w:tplc="24B0DA9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4D498A4">
      <w:start w:val="1"/>
      <w:numFmt w:val="decimal"/>
      <w:lvlText w:val="%1."/>
      <w:lvlJc w:val="left"/>
      <w:pPr>
        <w:tabs>
          <w:tab w:val="num" w:pos="720"/>
        </w:tabs>
        <w:ind w:left="720" w:hanging="360"/>
      </w:pPr>
      <w:rPr>
        <w:rFonts w:cs="Times New Roman"/>
      </w:rPr>
    </w:lvl>
    <w:lvl w:ilvl="1" w:tplc="3E268D68" w:tentative="1">
      <w:start w:val="1"/>
      <w:numFmt w:val="lowerLetter"/>
      <w:lvlText w:val="%2."/>
      <w:lvlJc w:val="left"/>
      <w:pPr>
        <w:tabs>
          <w:tab w:val="num" w:pos="1440"/>
        </w:tabs>
        <w:ind w:left="1440" w:hanging="360"/>
      </w:pPr>
      <w:rPr>
        <w:rFonts w:cs="Times New Roman"/>
      </w:rPr>
    </w:lvl>
    <w:lvl w:ilvl="2" w:tplc="443412FE" w:tentative="1">
      <w:start w:val="1"/>
      <w:numFmt w:val="lowerRoman"/>
      <w:lvlText w:val="%3."/>
      <w:lvlJc w:val="right"/>
      <w:pPr>
        <w:tabs>
          <w:tab w:val="num" w:pos="2160"/>
        </w:tabs>
        <w:ind w:left="2160" w:hanging="180"/>
      </w:pPr>
      <w:rPr>
        <w:rFonts w:cs="Times New Roman"/>
      </w:rPr>
    </w:lvl>
    <w:lvl w:ilvl="3" w:tplc="DE46AFCC" w:tentative="1">
      <w:start w:val="1"/>
      <w:numFmt w:val="decimal"/>
      <w:lvlText w:val="%4."/>
      <w:lvlJc w:val="left"/>
      <w:pPr>
        <w:tabs>
          <w:tab w:val="num" w:pos="2880"/>
        </w:tabs>
        <w:ind w:left="2880" w:hanging="360"/>
      </w:pPr>
      <w:rPr>
        <w:rFonts w:cs="Times New Roman"/>
      </w:rPr>
    </w:lvl>
    <w:lvl w:ilvl="4" w:tplc="94DE6EC2" w:tentative="1">
      <w:start w:val="1"/>
      <w:numFmt w:val="lowerLetter"/>
      <w:lvlText w:val="%5."/>
      <w:lvlJc w:val="left"/>
      <w:pPr>
        <w:tabs>
          <w:tab w:val="num" w:pos="3600"/>
        </w:tabs>
        <w:ind w:left="3600" w:hanging="360"/>
      </w:pPr>
      <w:rPr>
        <w:rFonts w:cs="Times New Roman"/>
      </w:rPr>
    </w:lvl>
    <w:lvl w:ilvl="5" w:tplc="867EF61C" w:tentative="1">
      <w:start w:val="1"/>
      <w:numFmt w:val="lowerRoman"/>
      <w:lvlText w:val="%6."/>
      <w:lvlJc w:val="right"/>
      <w:pPr>
        <w:tabs>
          <w:tab w:val="num" w:pos="4320"/>
        </w:tabs>
        <w:ind w:left="4320" w:hanging="180"/>
      </w:pPr>
      <w:rPr>
        <w:rFonts w:cs="Times New Roman"/>
      </w:rPr>
    </w:lvl>
    <w:lvl w:ilvl="6" w:tplc="4BD23564" w:tentative="1">
      <w:start w:val="1"/>
      <w:numFmt w:val="decimal"/>
      <w:lvlText w:val="%7."/>
      <w:lvlJc w:val="left"/>
      <w:pPr>
        <w:tabs>
          <w:tab w:val="num" w:pos="5040"/>
        </w:tabs>
        <w:ind w:left="5040" w:hanging="360"/>
      </w:pPr>
      <w:rPr>
        <w:rFonts w:cs="Times New Roman"/>
      </w:rPr>
    </w:lvl>
    <w:lvl w:ilvl="7" w:tplc="9FE22AD2" w:tentative="1">
      <w:start w:val="1"/>
      <w:numFmt w:val="lowerLetter"/>
      <w:lvlText w:val="%8."/>
      <w:lvlJc w:val="left"/>
      <w:pPr>
        <w:tabs>
          <w:tab w:val="num" w:pos="5760"/>
        </w:tabs>
        <w:ind w:left="5760" w:hanging="360"/>
      </w:pPr>
      <w:rPr>
        <w:rFonts w:cs="Times New Roman"/>
      </w:rPr>
    </w:lvl>
    <w:lvl w:ilvl="8" w:tplc="2596751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9BC8D4A">
      <w:start w:val="6"/>
      <w:numFmt w:val="lowerLetter"/>
      <w:lvlText w:val="%1."/>
      <w:lvlJc w:val="left"/>
      <w:pPr>
        <w:tabs>
          <w:tab w:val="num" w:pos="2520"/>
        </w:tabs>
        <w:ind w:left="2520" w:hanging="360"/>
      </w:pPr>
      <w:rPr>
        <w:rFonts w:hint="default"/>
      </w:rPr>
    </w:lvl>
    <w:lvl w:ilvl="1" w:tplc="C9241026" w:tentative="1">
      <w:start w:val="1"/>
      <w:numFmt w:val="lowerLetter"/>
      <w:lvlText w:val="%2."/>
      <w:lvlJc w:val="left"/>
      <w:pPr>
        <w:tabs>
          <w:tab w:val="num" w:pos="3240"/>
        </w:tabs>
        <w:ind w:left="3240" w:hanging="360"/>
      </w:pPr>
    </w:lvl>
    <w:lvl w:ilvl="2" w:tplc="D9869422" w:tentative="1">
      <w:start w:val="1"/>
      <w:numFmt w:val="lowerRoman"/>
      <w:lvlText w:val="%3."/>
      <w:lvlJc w:val="right"/>
      <w:pPr>
        <w:tabs>
          <w:tab w:val="num" w:pos="3960"/>
        </w:tabs>
        <w:ind w:left="3960" w:hanging="180"/>
      </w:pPr>
    </w:lvl>
    <w:lvl w:ilvl="3" w:tplc="4EE03AA8" w:tentative="1">
      <w:start w:val="1"/>
      <w:numFmt w:val="decimal"/>
      <w:lvlText w:val="%4."/>
      <w:lvlJc w:val="left"/>
      <w:pPr>
        <w:tabs>
          <w:tab w:val="num" w:pos="4680"/>
        </w:tabs>
        <w:ind w:left="4680" w:hanging="360"/>
      </w:pPr>
    </w:lvl>
    <w:lvl w:ilvl="4" w:tplc="A3D23966" w:tentative="1">
      <w:start w:val="1"/>
      <w:numFmt w:val="lowerLetter"/>
      <w:lvlText w:val="%5."/>
      <w:lvlJc w:val="left"/>
      <w:pPr>
        <w:tabs>
          <w:tab w:val="num" w:pos="5400"/>
        </w:tabs>
        <w:ind w:left="5400" w:hanging="360"/>
      </w:pPr>
    </w:lvl>
    <w:lvl w:ilvl="5" w:tplc="54C22304" w:tentative="1">
      <w:start w:val="1"/>
      <w:numFmt w:val="lowerRoman"/>
      <w:lvlText w:val="%6."/>
      <w:lvlJc w:val="right"/>
      <w:pPr>
        <w:tabs>
          <w:tab w:val="num" w:pos="6120"/>
        </w:tabs>
        <w:ind w:left="6120" w:hanging="180"/>
      </w:pPr>
    </w:lvl>
    <w:lvl w:ilvl="6" w:tplc="DA2AFBD6" w:tentative="1">
      <w:start w:val="1"/>
      <w:numFmt w:val="decimal"/>
      <w:lvlText w:val="%7."/>
      <w:lvlJc w:val="left"/>
      <w:pPr>
        <w:tabs>
          <w:tab w:val="num" w:pos="6840"/>
        </w:tabs>
        <w:ind w:left="6840" w:hanging="360"/>
      </w:pPr>
    </w:lvl>
    <w:lvl w:ilvl="7" w:tplc="CD92DB30" w:tentative="1">
      <w:start w:val="1"/>
      <w:numFmt w:val="lowerLetter"/>
      <w:lvlText w:val="%8."/>
      <w:lvlJc w:val="left"/>
      <w:pPr>
        <w:tabs>
          <w:tab w:val="num" w:pos="7560"/>
        </w:tabs>
        <w:ind w:left="7560" w:hanging="360"/>
      </w:pPr>
    </w:lvl>
    <w:lvl w:ilvl="8" w:tplc="4ED4880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C325D22">
      <w:start w:val="1"/>
      <w:numFmt w:val="bullet"/>
      <w:lvlText w:val=""/>
      <w:lvlJc w:val="left"/>
      <w:pPr>
        <w:tabs>
          <w:tab w:val="num" w:pos="5760"/>
        </w:tabs>
        <w:ind w:left="5760" w:hanging="360"/>
      </w:pPr>
      <w:rPr>
        <w:rFonts w:ascii="Symbol" w:hAnsi="Symbol" w:hint="default"/>
        <w:color w:val="auto"/>
        <w:u w:val="none"/>
      </w:rPr>
    </w:lvl>
    <w:lvl w:ilvl="1" w:tplc="5CF236F0" w:tentative="1">
      <w:start w:val="1"/>
      <w:numFmt w:val="bullet"/>
      <w:lvlText w:val="o"/>
      <w:lvlJc w:val="left"/>
      <w:pPr>
        <w:tabs>
          <w:tab w:val="num" w:pos="3600"/>
        </w:tabs>
        <w:ind w:left="3600" w:hanging="360"/>
      </w:pPr>
      <w:rPr>
        <w:rFonts w:ascii="Courier New" w:hAnsi="Courier New" w:hint="default"/>
      </w:rPr>
    </w:lvl>
    <w:lvl w:ilvl="2" w:tplc="ECF88EEE" w:tentative="1">
      <w:start w:val="1"/>
      <w:numFmt w:val="bullet"/>
      <w:lvlText w:val=""/>
      <w:lvlJc w:val="left"/>
      <w:pPr>
        <w:tabs>
          <w:tab w:val="num" w:pos="4320"/>
        </w:tabs>
        <w:ind w:left="4320" w:hanging="360"/>
      </w:pPr>
      <w:rPr>
        <w:rFonts w:ascii="Wingdings" w:hAnsi="Wingdings" w:hint="default"/>
      </w:rPr>
    </w:lvl>
    <w:lvl w:ilvl="3" w:tplc="E1449688">
      <w:start w:val="1"/>
      <w:numFmt w:val="bullet"/>
      <w:lvlText w:val=""/>
      <w:lvlJc w:val="left"/>
      <w:pPr>
        <w:tabs>
          <w:tab w:val="num" w:pos="5040"/>
        </w:tabs>
        <w:ind w:left="5040" w:hanging="360"/>
      </w:pPr>
      <w:rPr>
        <w:rFonts w:ascii="Symbol" w:hAnsi="Symbol" w:hint="default"/>
      </w:rPr>
    </w:lvl>
    <w:lvl w:ilvl="4" w:tplc="6CCE8CFC" w:tentative="1">
      <w:start w:val="1"/>
      <w:numFmt w:val="bullet"/>
      <w:lvlText w:val="o"/>
      <w:lvlJc w:val="left"/>
      <w:pPr>
        <w:tabs>
          <w:tab w:val="num" w:pos="5760"/>
        </w:tabs>
        <w:ind w:left="5760" w:hanging="360"/>
      </w:pPr>
      <w:rPr>
        <w:rFonts w:ascii="Courier New" w:hAnsi="Courier New" w:hint="default"/>
      </w:rPr>
    </w:lvl>
    <w:lvl w:ilvl="5" w:tplc="47FAD15C" w:tentative="1">
      <w:start w:val="1"/>
      <w:numFmt w:val="bullet"/>
      <w:lvlText w:val=""/>
      <w:lvlJc w:val="left"/>
      <w:pPr>
        <w:tabs>
          <w:tab w:val="num" w:pos="6480"/>
        </w:tabs>
        <w:ind w:left="6480" w:hanging="360"/>
      </w:pPr>
      <w:rPr>
        <w:rFonts w:ascii="Wingdings" w:hAnsi="Wingdings" w:hint="default"/>
      </w:rPr>
    </w:lvl>
    <w:lvl w:ilvl="6" w:tplc="69FC42CA" w:tentative="1">
      <w:start w:val="1"/>
      <w:numFmt w:val="bullet"/>
      <w:lvlText w:val=""/>
      <w:lvlJc w:val="left"/>
      <w:pPr>
        <w:tabs>
          <w:tab w:val="num" w:pos="7200"/>
        </w:tabs>
        <w:ind w:left="7200" w:hanging="360"/>
      </w:pPr>
      <w:rPr>
        <w:rFonts w:ascii="Symbol" w:hAnsi="Symbol" w:hint="default"/>
      </w:rPr>
    </w:lvl>
    <w:lvl w:ilvl="7" w:tplc="C55842CA" w:tentative="1">
      <w:start w:val="1"/>
      <w:numFmt w:val="bullet"/>
      <w:lvlText w:val="o"/>
      <w:lvlJc w:val="left"/>
      <w:pPr>
        <w:tabs>
          <w:tab w:val="num" w:pos="7920"/>
        </w:tabs>
        <w:ind w:left="7920" w:hanging="360"/>
      </w:pPr>
      <w:rPr>
        <w:rFonts w:ascii="Courier New" w:hAnsi="Courier New" w:hint="default"/>
      </w:rPr>
    </w:lvl>
    <w:lvl w:ilvl="8" w:tplc="9E8E1AB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092EC3A">
      <w:start w:val="1"/>
      <w:numFmt w:val="decimal"/>
      <w:lvlText w:val="(%1)"/>
      <w:lvlJc w:val="left"/>
      <w:pPr>
        <w:tabs>
          <w:tab w:val="num" w:pos="2520"/>
        </w:tabs>
        <w:ind w:left="2520" w:hanging="720"/>
      </w:pPr>
      <w:rPr>
        <w:rFonts w:cs="Times New Roman" w:hint="default"/>
      </w:rPr>
    </w:lvl>
    <w:lvl w:ilvl="1" w:tplc="F5B25FE8">
      <w:start w:val="1"/>
      <w:numFmt w:val="lowerRoman"/>
      <w:lvlText w:val="(%2)"/>
      <w:lvlJc w:val="left"/>
      <w:pPr>
        <w:tabs>
          <w:tab w:val="num" w:pos="1800"/>
        </w:tabs>
        <w:ind w:left="1800" w:hanging="720"/>
      </w:pPr>
      <w:rPr>
        <w:rFonts w:cs="Times New Roman" w:hint="default"/>
        <w:b w:val="0"/>
      </w:rPr>
    </w:lvl>
    <w:lvl w:ilvl="2" w:tplc="B77A323E">
      <w:start w:val="1"/>
      <w:numFmt w:val="decimal"/>
      <w:lvlText w:val="(%3)"/>
      <w:lvlJc w:val="right"/>
      <w:pPr>
        <w:tabs>
          <w:tab w:val="num" w:pos="2160"/>
        </w:tabs>
        <w:ind w:left="2160" w:hanging="180"/>
      </w:pPr>
      <w:rPr>
        <w:rFonts w:ascii="Times New Roman" w:eastAsia="Times New Roman" w:hAnsi="Times New Roman" w:cs="Times New Roman"/>
        <w:b w:val="0"/>
      </w:rPr>
    </w:lvl>
    <w:lvl w:ilvl="3" w:tplc="EA8EFD2A">
      <w:start w:val="1"/>
      <w:numFmt w:val="lowerRoman"/>
      <w:lvlText w:val="(%4)"/>
      <w:lvlJc w:val="left"/>
      <w:pPr>
        <w:tabs>
          <w:tab w:val="num" w:pos="2520"/>
        </w:tabs>
        <w:ind w:left="2880" w:hanging="360"/>
      </w:pPr>
      <w:rPr>
        <w:rFonts w:cs="Times New Roman" w:hint="default"/>
        <w:b w:val="0"/>
      </w:rPr>
    </w:lvl>
    <w:lvl w:ilvl="4" w:tplc="EE561A0E" w:tentative="1">
      <w:start w:val="1"/>
      <w:numFmt w:val="lowerLetter"/>
      <w:lvlText w:val="%5."/>
      <w:lvlJc w:val="left"/>
      <w:pPr>
        <w:tabs>
          <w:tab w:val="num" w:pos="3600"/>
        </w:tabs>
        <w:ind w:left="3600" w:hanging="360"/>
      </w:pPr>
      <w:rPr>
        <w:rFonts w:cs="Times New Roman"/>
      </w:rPr>
    </w:lvl>
    <w:lvl w:ilvl="5" w:tplc="FB045FA0" w:tentative="1">
      <w:start w:val="1"/>
      <w:numFmt w:val="lowerRoman"/>
      <w:lvlText w:val="%6."/>
      <w:lvlJc w:val="right"/>
      <w:pPr>
        <w:tabs>
          <w:tab w:val="num" w:pos="4320"/>
        </w:tabs>
        <w:ind w:left="4320" w:hanging="180"/>
      </w:pPr>
      <w:rPr>
        <w:rFonts w:cs="Times New Roman"/>
      </w:rPr>
    </w:lvl>
    <w:lvl w:ilvl="6" w:tplc="08864BEE" w:tentative="1">
      <w:start w:val="1"/>
      <w:numFmt w:val="decimal"/>
      <w:lvlText w:val="%7."/>
      <w:lvlJc w:val="left"/>
      <w:pPr>
        <w:tabs>
          <w:tab w:val="num" w:pos="5040"/>
        </w:tabs>
        <w:ind w:left="5040" w:hanging="360"/>
      </w:pPr>
      <w:rPr>
        <w:rFonts w:cs="Times New Roman"/>
      </w:rPr>
    </w:lvl>
    <w:lvl w:ilvl="7" w:tplc="4FE8073E" w:tentative="1">
      <w:start w:val="1"/>
      <w:numFmt w:val="lowerLetter"/>
      <w:lvlText w:val="%8."/>
      <w:lvlJc w:val="left"/>
      <w:pPr>
        <w:tabs>
          <w:tab w:val="num" w:pos="5760"/>
        </w:tabs>
        <w:ind w:left="5760" w:hanging="360"/>
      </w:pPr>
      <w:rPr>
        <w:rFonts w:cs="Times New Roman"/>
      </w:rPr>
    </w:lvl>
    <w:lvl w:ilvl="8" w:tplc="4F50380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ABAC568">
      <w:start w:val="1"/>
      <w:numFmt w:val="bullet"/>
      <w:lvlText w:val=""/>
      <w:lvlJc w:val="left"/>
      <w:pPr>
        <w:tabs>
          <w:tab w:val="num" w:pos="775"/>
        </w:tabs>
        <w:ind w:left="775" w:hanging="360"/>
      </w:pPr>
      <w:rPr>
        <w:rFonts w:ascii="Symbol" w:hAnsi="Symbol" w:hint="default"/>
      </w:rPr>
    </w:lvl>
    <w:lvl w:ilvl="1" w:tplc="B622CB72" w:tentative="1">
      <w:start w:val="1"/>
      <w:numFmt w:val="bullet"/>
      <w:lvlText w:val="o"/>
      <w:lvlJc w:val="left"/>
      <w:pPr>
        <w:tabs>
          <w:tab w:val="num" w:pos="1495"/>
        </w:tabs>
        <w:ind w:left="1495" w:hanging="360"/>
      </w:pPr>
      <w:rPr>
        <w:rFonts w:ascii="Courier New" w:hAnsi="Courier New" w:hint="default"/>
      </w:rPr>
    </w:lvl>
    <w:lvl w:ilvl="2" w:tplc="53D0AC18" w:tentative="1">
      <w:start w:val="1"/>
      <w:numFmt w:val="bullet"/>
      <w:lvlText w:val=""/>
      <w:lvlJc w:val="left"/>
      <w:pPr>
        <w:tabs>
          <w:tab w:val="num" w:pos="2215"/>
        </w:tabs>
        <w:ind w:left="2215" w:hanging="360"/>
      </w:pPr>
      <w:rPr>
        <w:rFonts w:ascii="Wingdings" w:hAnsi="Wingdings" w:hint="default"/>
      </w:rPr>
    </w:lvl>
    <w:lvl w:ilvl="3" w:tplc="C004EC94" w:tentative="1">
      <w:start w:val="1"/>
      <w:numFmt w:val="bullet"/>
      <w:lvlText w:val=""/>
      <w:lvlJc w:val="left"/>
      <w:pPr>
        <w:tabs>
          <w:tab w:val="num" w:pos="2935"/>
        </w:tabs>
        <w:ind w:left="2935" w:hanging="360"/>
      </w:pPr>
      <w:rPr>
        <w:rFonts w:ascii="Symbol" w:hAnsi="Symbol" w:hint="default"/>
      </w:rPr>
    </w:lvl>
    <w:lvl w:ilvl="4" w:tplc="9BB85370" w:tentative="1">
      <w:start w:val="1"/>
      <w:numFmt w:val="bullet"/>
      <w:lvlText w:val="o"/>
      <w:lvlJc w:val="left"/>
      <w:pPr>
        <w:tabs>
          <w:tab w:val="num" w:pos="3655"/>
        </w:tabs>
        <w:ind w:left="3655" w:hanging="360"/>
      </w:pPr>
      <w:rPr>
        <w:rFonts w:ascii="Courier New" w:hAnsi="Courier New" w:hint="default"/>
      </w:rPr>
    </w:lvl>
    <w:lvl w:ilvl="5" w:tplc="5198C44E" w:tentative="1">
      <w:start w:val="1"/>
      <w:numFmt w:val="bullet"/>
      <w:lvlText w:val=""/>
      <w:lvlJc w:val="left"/>
      <w:pPr>
        <w:tabs>
          <w:tab w:val="num" w:pos="4375"/>
        </w:tabs>
        <w:ind w:left="4375" w:hanging="360"/>
      </w:pPr>
      <w:rPr>
        <w:rFonts w:ascii="Wingdings" w:hAnsi="Wingdings" w:hint="default"/>
      </w:rPr>
    </w:lvl>
    <w:lvl w:ilvl="6" w:tplc="91F259AC" w:tentative="1">
      <w:start w:val="1"/>
      <w:numFmt w:val="bullet"/>
      <w:lvlText w:val=""/>
      <w:lvlJc w:val="left"/>
      <w:pPr>
        <w:tabs>
          <w:tab w:val="num" w:pos="5095"/>
        </w:tabs>
        <w:ind w:left="5095" w:hanging="360"/>
      </w:pPr>
      <w:rPr>
        <w:rFonts w:ascii="Symbol" w:hAnsi="Symbol" w:hint="default"/>
      </w:rPr>
    </w:lvl>
    <w:lvl w:ilvl="7" w:tplc="B5261D78" w:tentative="1">
      <w:start w:val="1"/>
      <w:numFmt w:val="bullet"/>
      <w:lvlText w:val="o"/>
      <w:lvlJc w:val="left"/>
      <w:pPr>
        <w:tabs>
          <w:tab w:val="num" w:pos="5815"/>
        </w:tabs>
        <w:ind w:left="5815" w:hanging="360"/>
      </w:pPr>
      <w:rPr>
        <w:rFonts w:ascii="Courier New" w:hAnsi="Courier New" w:hint="default"/>
      </w:rPr>
    </w:lvl>
    <w:lvl w:ilvl="8" w:tplc="09D2054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94C30"/>
    <w:rsid w:val="00494C30"/>
    <w:rsid w:val="00945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355317"/>
    <w:rPr>
      <w:sz w:val="20"/>
    </w:rPr>
  </w:style>
  <w:style w:type="character" w:styleId="EndnoteReference">
    <w:name w:val="endnote reference"/>
    <w:basedOn w:val="DefaultParagraphFont"/>
    <w:semiHidden/>
    <w:rsid w:val="00355317"/>
    <w:rPr>
      <w:vertAlign w:val="superscript"/>
    </w:rPr>
  </w:style>
  <w:style w:type="character" w:styleId="CommentReference">
    <w:name w:val="annotation reference"/>
    <w:basedOn w:val="DefaultParagraphFont"/>
    <w:semiHidden/>
    <w:rsid w:val="00355317"/>
    <w:rPr>
      <w:sz w:val="16"/>
      <w:szCs w:val="16"/>
    </w:rPr>
  </w:style>
  <w:style w:type="paragraph" w:styleId="CommentText">
    <w:name w:val="annotation text"/>
    <w:basedOn w:val="Normal"/>
    <w:link w:val="CommentTextChar"/>
    <w:semiHidden/>
    <w:rsid w:val="00355317"/>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355317"/>
    <w:pPr>
      <w:ind w:left="960"/>
    </w:pPr>
  </w:style>
  <w:style w:type="paragraph" w:styleId="TOC6">
    <w:name w:val="toc 6"/>
    <w:basedOn w:val="Normal"/>
    <w:next w:val="Normal"/>
    <w:semiHidden/>
    <w:rsid w:val="00355317"/>
    <w:pPr>
      <w:ind w:left="1200"/>
    </w:pPr>
  </w:style>
  <w:style w:type="paragraph" w:styleId="TOC7">
    <w:name w:val="toc 7"/>
    <w:basedOn w:val="Normal"/>
    <w:next w:val="Normal"/>
    <w:semiHidden/>
    <w:rsid w:val="00355317"/>
    <w:pPr>
      <w:ind w:left="1440"/>
    </w:pPr>
  </w:style>
  <w:style w:type="paragraph" w:styleId="TOC8">
    <w:name w:val="toc 8"/>
    <w:basedOn w:val="Normal"/>
    <w:next w:val="Normal"/>
    <w:semiHidden/>
    <w:rsid w:val="00355317"/>
    <w:pPr>
      <w:ind w:left="1680"/>
    </w:pPr>
  </w:style>
  <w:style w:type="paragraph" w:styleId="TOC9">
    <w:name w:val="toc 9"/>
    <w:basedOn w:val="Normal"/>
    <w:next w:val="Normal"/>
    <w:semiHidden/>
    <w:rsid w:val="00355317"/>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4994</Words>
  <Characters>28466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2017-12-15T23:27:00Z</dcterms:created>
  <dcterms:modified xsi:type="dcterms:W3CDTF">2017-12-15T23:27:00Z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