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FA" w:rsidRDefault="00BA70F1">
      <w:pPr>
        <w:pStyle w:val="Heading2"/>
      </w:pPr>
      <w:bookmarkStart w:id="0" w:name="_Toc261444373"/>
      <w:bookmarkStart w:id="1" w:name="_GoBack"/>
      <w:bookmarkEnd w:id="1"/>
      <w:r>
        <w:t>2.7</w:t>
      </w:r>
      <w:r>
        <w:tab/>
        <w:t>Billing and Payment</w:t>
      </w:r>
      <w:bookmarkEnd w:id="0"/>
    </w:p>
    <w:p w:rsidR="009475FA" w:rsidRDefault="00BA70F1" w:rsidP="0097544C">
      <w:pPr>
        <w:pStyle w:val="Heading3"/>
        <w:ind w:right="0"/>
      </w:pPr>
      <w:bookmarkStart w:id="2" w:name="_Toc261444374"/>
      <w:r>
        <w:t>2.7.1</w:t>
      </w:r>
      <w:r>
        <w:tab/>
        <w:t>ISO as Counterparty; Right to Net or Set Off; ISO Clearing Account</w:t>
      </w:r>
      <w:bookmarkEnd w:id="2"/>
      <w:r>
        <w:t xml:space="preserve"> </w:t>
      </w:r>
    </w:p>
    <w:p w:rsidR="0097544C" w:rsidRDefault="00BA70F1" w:rsidP="0097544C">
      <w:pPr>
        <w:pStyle w:val="Heading4"/>
      </w:pPr>
      <w:r>
        <w:t>2.7.1.1</w:t>
      </w:r>
      <w:r>
        <w:tab/>
        <w:t>ISO as Counterparty</w:t>
      </w:r>
    </w:p>
    <w:p w:rsidR="0097544C" w:rsidRDefault="00BA70F1">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7544C" w:rsidRDefault="00BA70F1" w:rsidP="0097544C">
      <w:pPr>
        <w:pStyle w:val="Heading4"/>
      </w:pPr>
      <w:r>
        <w:t>2.7.1.2</w:t>
      </w:r>
      <w:r>
        <w:tab/>
        <w:t xml:space="preserve">Right to Net or Set Off Obligations Owed </w:t>
      </w:r>
    </w:p>
    <w:p w:rsidR="000502ED" w:rsidRPr="009E556F" w:rsidRDefault="00BA70F1">
      <w:pPr>
        <w:pStyle w:val="Bodypara"/>
      </w:pPr>
      <w:r>
        <w:t xml:space="preserve">Unless otherwise specifically set forth in this ISO OATT, if for any settlement period </w:t>
      </w:r>
      <w:r w:rsidRPr="009E556F">
        <w:t xml:space="preserve">the </w:t>
      </w:r>
      <w:r>
        <w:t>ISO is</w:t>
      </w:r>
      <w:r w:rsidRPr="009E556F">
        <w:t xml:space="preserve"> required to pay an</w:t>
      </w:r>
      <w:r>
        <w:t>y</w:t>
      </w:r>
      <w:r w:rsidRPr="009E556F">
        <w:t xml:space="preserve"> amount to the </w:t>
      </w:r>
      <w:r>
        <w:t xml:space="preserve">Transmission Customer and the Transmission Customer is required </w:t>
      </w:r>
      <w:r>
        <w:t>to pay any amount to the ISO</w:t>
      </w:r>
      <w:r w:rsidRPr="009E556F">
        <w:t xml:space="preserve"> under </w:t>
      </w:r>
      <w:r>
        <w:t>this ISO OATT or the ISO Services Tariff</w:t>
      </w:r>
      <w:r w:rsidRPr="009E556F">
        <w:t xml:space="preserve">, such amounts shall be netted, and the </w:t>
      </w:r>
      <w:r>
        <w:t>p</w:t>
      </w:r>
      <w:r w:rsidRPr="009E556F">
        <w:t xml:space="preserve">arty owing the greater aggregate amount shall pay to the other </w:t>
      </w:r>
      <w:r>
        <w:t>p</w:t>
      </w:r>
      <w:r w:rsidRPr="009E556F">
        <w:t xml:space="preserve">arty </w:t>
      </w:r>
      <w:r>
        <w:t>the</w:t>
      </w:r>
      <w:r w:rsidRPr="009E556F">
        <w:t xml:space="preserve"> difference between the amounts owed.  Additionally, all outstanding</w:t>
      </w:r>
      <w:r w:rsidRPr="009E556F">
        <w:t xml:space="preserve"> </w:t>
      </w:r>
      <w:r>
        <w:t xml:space="preserve">payment </w:t>
      </w:r>
      <w:r w:rsidRPr="009E556F">
        <w:t xml:space="preserve">obligations under this </w:t>
      </w:r>
      <w:r>
        <w:t>ISO OATT</w:t>
      </w:r>
      <w:r w:rsidRPr="009E556F">
        <w:t xml:space="preserve"> </w:t>
      </w:r>
      <w:r>
        <w:t xml:space="preserve">and the ISO Services Tariff </w:t>
      </w:r>
      <w:r w:rsidRPr="009E556F">
        <w:t xml:space="preserve">between the </w:t>
      </w:r>
      <w:r>
        <w:t>ISO and the Transmission Customer</w:t>
      </w:r>
      <w:r w:rsidRPr="009E556F">
        <w:t xml:space="preserve"> may be netted, offset, set off, or recouped, and payment shall be owed as set forth above.</w:t>
      </w:r>
    </w:p>
    <w:p w:rsidR="0097544C" w:rsidRDefault="00BA70F1" w:rsidP="0097544C">
      <w:pPr>
        <w:pStyle w:val="Heading4"/>
      </w:pPr>
      <w:r>
        <w:t>2.7.1.3</w:t>
      </w:r>
      <w:r>
        <w:tab/>
        <w:t>ISO Clearing Account</w:t>
      </w:r>
    </w:p>
    <w:p w:rsidR="009475FA" w:rsidRDefault="00BA70F1">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9475FA" w:rsidRDefault="00BA70F1">
      <w:pPr>
        <w:pStyle w:val="Bodypara"/>
      </w:pPr>
      <w:bookmarkStart w:id="3" w:name="OLE_LINK1"/>
      <w:bookmarkEnd w:id="3"/>
      <w:r>
        <w:t xml:space="preserve">The funds held by the ISO in the ISO Clearing Account shall not be commingled with funds held by the ISO in any other ISO accounts.    </w:t>
      </w:r>
    </w:p>
    <w:p w:rsidR="006A0BDF" w:rsidRDefault="00BA70F1" w:rsidP="006A0BDF">
      <w:pPr>
        <w:pStyle w:val="Heading4"/>
      </w:pPr>
      <w:r>
        <w:lastRenderedPageBreak/>
        <w:t>2.7.1.4</w:t>
      </w:r>
      <w:r>
        <w:tab/>
        <w:t>ISO Liability for Payment</w:t>
      </w:r>
    </w:p>
    <w:p w:rsidR="006A0BDF" w:rsidRPr="006A0BDF" w:rsidRDefault="00BA70F1" w:rsidP="0020732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9475FA" w:rsidRDefault="00BA70F1">
      <w:pPr>
        <w:pStyle w:val="Heading3"/>
      </w:pPr>
      <w:bookmarkStart w:id="4" w:name="_Toc261444375"/>
      <w:r>
        <w:t>2.7.2</w:t>
      </w:r>
      <w:r>
        <w:tab/>
        <w:t>Determination and Payment of Charges Associated with Transmission Service</w:t>
      </w:r>
      <w:bookmarkEnd w:id="4"/>
    </w:p>
    <w:p w:rsidR="009475FA" w:rsidRDefault="00BA70F1">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9475FA" w:rsidRDefault="00BA70F1">
      <w:pPr>
        <w:pStyle w:val="Heading4"/>
      </w:pPr>
      <w:bookmarkStart w:id="5" w:name="_Toc261444376"/>
      <w:r>
        <w:t>2.7.2.1</w:t>
      </w:r>
      <w:r>
        <w:tab/>
        <w:t xml:space="preserve">Transmission Service Charge </w:t>
      </w:r>
      <w:r>
        <w:noBreakHyphen/>
        <w:t xml:space="preserve"> General Applicability</w:t>
      </w:r>
      <w:bookmarkEnd w:id="5"/>
    </w:p>
    <w:p w:rsidR="009475FA" w:rsidRDefault="00BA70F1">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9475FA" w:rsidRDefault="00BA70F1">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9475FA" w:rsidRDefault="00BA70F1">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9475FA" w:rsidRDefault="00BA70F1">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9475FA" w:rsidRDefault="00BA70F1">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9475FA" w:rsidRDefault="00BA70F1">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9475FA" w:rsidRDefault="00BA70F1">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of the applicable Transmission Owner(s) of the TSC charge.  </w:t>
      </w:r>
      <w:r w:rsidRPr="00F042F9">
        <w:t>The TSC will be payable by the Transmission Customer directly to the Transmission Owner(s).</w:t>
      </w:r>
    </w:p>
    <w:p w:rsidR="009475FA" w:rsidRDefault="00BA70F1">
      <w:pPr>
        <w:pStyle w:val="Heading4"/>
      </w:pPr>
      <w:bookmarkStart w:id="6" w:name="_Toc261444377"/>
      <w:r>
        <w:t>2.7.2.2</w:t>
      </w:r>
      <w:r>
        <w:tab/>
        <w:t>Transmission Usage Charge (TUC)</w:t>
      </w:r>
      <w:bookmarkEnd w:id="6"/>
    </w:p>
    <w:p w:rsidR="009475FA" w:rsidRDefault="00BA70F1">
      <w:pPr>
        <w:pStyle w:val="romannumeralpara"/>
      </w:pPr>
      <w:r>
        <w:rPr>
          <w:b/>
        </w:rPr>
        <w:t>2.7.2.2.1</w:t>
      </w:r>
      <w:r>
        <w:rPr>
          <w:b/>
        </w:rPr>
        <w:tab/>
        <w:t>Payable to the ISO:</w:t>
      </w:r>
      <w:r>
        <w:t xml:space="preserve"> </w:t>
      </w:r>
      <w:r>
        <w:t xml:space="preserve"> Transmission Usage Charges include Congestion Rents and charges for Marginal Losses.  They are payable directly to the ISO.  Attachment J explains the calculation of the TUC.</w:t>
      </w:r>
    </w:p>
    <w:p w:rsidR="009475FA" w:rsidRDefault="00BA70F1">
      <w:pPr>
        <w:pStyle w:val="romannumeralpara"/>
      </w:pPr>
      <w:r>
        <w:rPr>
          <w:b/>
        </w:rPr>
        <w:t>2.7.2.2.2</w:t>
      </w:r>
      <w:r>
        <w:tab/>
      </w:r>
      <w:r>
        <w:rPr>
          <w:b/>
        </w:rPr>
        <w:t>Payable by Transmission Customers Scheduling Transmission Service:</w:t>
      </w:r>
      <w:r>
        <w:t xml:space="preserve">  Al</w:t>
      </w:r>
      <w:r>
        <w:t xml:space="preserve">l Transmission Customers scheduling Transmission Service under Part 3 or Part 4 of this Tariff shall pay the applicable TUC charge as calculated in the Attachment J hereto.  </w:t>
      </w:r>
    </w:p>
    <w:p w:rsidR="009475FA" w:rsidRDefault="00BA70F1">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9475FA" w:rsidRDefault="00BA70F1">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charge applicable to its location.  These Congestion Rent and Marginal Losses charges will be included in the calculation o</w:t>
      </w:r>
      <w:r>
        <w:t>f the LBMP charged by the ISO for the purchase of Energy from the LBMP Market.</w:t>
      </w:r>
    </w:p>
    <w:p w:rsidR="009475FA" w:rsidRDefault="00BA70F1">
      <w:pPr>
        <w:pStyle w:val="Heading4"/>
      </w:pPr>
      <w:bookmarkStart w:id="7" w:name="_Toc261444378"/>
      <w:r>
        <w:t>2.7.2.3</w:t>
      </w:r>
      <w:r>
        <w:tab/>
        <w:t>Ancillary Services</w:t>
      </w:r>
      <w:bookmarkEnd w:id="7"/>
    </w:p>
    <w:p w:rsidR="009475FA" w:rsidRDefault="00BA70F1">
      <w:pPr>
        <w:pStyle w:val="romannumeralpara"/>
      </w:pPr>
      <w:r>
        <w:rPr>
          <w:b/>
        </w:rPr>
        <w:t>2.7.2.3.1</w:t>
      </w:r>
      <w:r>
        <w:rPr>
          <w:b/>
        </w:rPr>
        <w:tab/>
        <w:t>Payable to the ISO:</w:t>
      </w:r>
      <w:r>
        <w:t xml:space="preserve"> All Ancillary Services charges are payable directly to the ISO.  </w:t>
      </w:r>
    </w:p>
    <w:p w:rsidR="009475FA" w:rsidRDefault="00BA70F1">
      <w:pPr>
        <w:pStyle w:val="romannumeralpara"/>
      </w:pPr>
      <w:r>
        <w:rPr>
          <w:b/>
        </w:rPr>
        <w:t>2.7.2.3.2</w:t>
      </w:r>
      <w:r>
        <w:rPr>
          <w:b/>
        </w:rPr>
        <w:tab/>
        <w:t>Payable by LSEs:</w:t>
      </w:r>
      <w:r>
        <w:t xml:space="preserve">  All LSEs scheduling Transm</w:t>
      </w:r>
      <w:r>
        <w:t>ission Service under Part 3 or Part 4 or purchases from the LMBP Market to supply Load in the NYCA shall pay Ancillary Services charges as described in Schedules 1 through 6.  The charges will be assessed on the basis of all Actual Energy Withdrawals by th</w:t>
      </w:r>
      <w:r>
        <w:t>e Load, regardless of whether such withdrawals are scheduled or unscheduled, and regardless of whether they are scheduled on the Load’s behalf by the LSE or by another Transmission Customer.  As explained in Schedule 1, in certain circumstances the Schedul</w:t>
      </w:r>
      <w:r>
        <w:t xml:space="preserve">e 1 charge may vary depending upon the Transmission District in which the Load is located. </w:t>
      </w:r>
    </w:p>
    <w:p w:rsidR="009475FA" w:rsidRDefault="00BA70F1">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w:t>
      </w:r>
      <w:r>
        <w:t xml:space="preserve"> NYCA, or purchases from the LBMP Market to serve Load outside the NYCA shall pay Ancillary Services charges under Schedules 1, 2, 4, and 5 of this Tariff.  The charges will be assessed on the basis of all Scheduled Energy Withdrawals from the NYCA.</w:t>
      </w:r>
    </w:p>
    <w:p w:rsidR="009475FA" w:rsidRDefault="00BA70F1" w:rsidP="00755398">
      <w:pPr>
        <w:pStyle w:val="romannumeralpara"/>
        <w:keepNext/>
        <w:widowControl/>
      </w:pPr>
      <w:r>
        <w:rPr>
          <w:b/>
        </w:rPr>
        <w:t>2.7.2.</w:t>
      </w:r>
      <w:r>
        <w:rPr>
          <w:b/>
        </w:rPr>
        <w:t>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w:t>
      </w:r>
      <w:r>
        <w:t>edules 1 to 6 based on Actual Energy Withdrawals.</w:t>
      </w:r>
    </w:p>
    <w:p w:rsidR="009475FA" w:rsidRDefault="00BA70F1">
      <w:pPr>
        <w:pStyle w:val="Heading4"/>
      </w:pPr>
      <w:bookmarkStart w:id="8" w:name="_Toc261444379"/>
      <w:r>
        <w:t>2.7.2.4</w:t>
      </w:r>
      <w:r>
        <w:tab/>
        <w:t>NYPA Transmission Adjustment Charge (NTAC)</w:t>
      </w:r>
      <w:bookmarkEnd w:id="8"/>
      <w:r>
        <w:t xml:space="preserve">  </w:t>
      </w:r>
    </w:p>
    <w:p w:rsidR="009475FA" w:rsidRDefault="00BA70F1">
      <w:pPr>
        <w:pStyle w:val="romannumeralpara"/>
      </w:pPr>
      <w:r>
        <w:rPr>
          <w:b/>
        </w:rPr>
        <w:t>2.7.2.4.1</w:t>
      </w:r>
      <w:r>
        <w:rPr>
          <w:b/>
        </w:rPr>
        <w:tab/>
        <w:t>Payable to the ISO:</w:t>
      </w:r>
      <w:r>
        <w:t xml:space="preserve">  NTAC charges are calculated in Attachment H.  All NTAC charges are payable to the ISO.</w:t>
      </w:r>
    </w:p>
    <w:p w:rsidR="009475FA" w:rsidRDefault="00BA70F1">
      <w:pPr>
        <w:pStyle w:val="romannumeralpara"/>
      </w:pPr>
      <w:r>
        <w:rPr>
          <w:b/>
        </w:rPr>
        <w:t>2.7.2.4.2</w:t>
      </w:r>
      <w:r>
        <w:rPr>
          <w:b/>
        </w:rPr>
        <w:tab/>
        <w:t>Payable by LSEs Serving L</w:t>
      </w:r>
      <w:r>
        <w:rPr>
          <w:b/>
        </w:rPr>
        <w:t>oad in the NYCA:</w:t>
      </w:r>
      <w:r>
        <w:t xml:space="preserve">  Each LSE serving Load in the NYCA shall pay an NTAC to the ISO based on the LSE’s Actual Energy Withdrawals.  </w:t>
      </w:r>
    </w:p>
    <w:p w:rsidR="009475FA" w:rsidRDefault="00BA70F1">
      <w:pPr>
        <w:pStyle w:val="romannumeralpara"/>
      </w:pPr>
      <w:r>
        <w:rPr>
          <w:b/>
        </w:rPr>
        <w:t>2.7.2.4.3</w:t>
      </w:r>
      <w:r>
        <w:rPr>
          <w:b/>
        </w:rPr>
        <w:tab/>
        <w:t>Payable by Transmission Customers Scheduling Export or Wheel</w:t>
      </w:r>
      <w:r>
        <w:rPr>
          <w:b/>
        </w:rPr>
        <w:noBreakHyphen/>
        <w:t>Through Transactions:</w:t>
      </w:r>
      <w:r>
        <w:t xml:space="preserve">  Transmission Customers scheduling</w:t>
      </w:r>
      <w:r>
        <w:t xml:space="preserve"> Export or Wheel</w:t>
      </w:r>
      <w:r>
        <w:noBreakHyphen/>
        <w:t>Through Transactions shall pay an NTAC based on their Transaction schedules.  The NTAC charge shall not apply to Exports and Wheel-Through Transactions scheduled with the ISO to destinations within the New England Control Area provided tha</w:t>
      </w:r>
      <w:r>
        <w:t>t the conditions listed in Section 2.7.2.1.4 of this Tariff are satisfied.</w:t>
      </w:r>
    </w:p>
    <w:p w:rsidR="009475FA" w:rsidRDefault="00BA70F1">
      <w:pPr>
        <w:pStyle w:val="Heading4"/>
      </w:pPr>
      <w:bookmarkStart w:id="9" w:name="_Toc261444380"/>
      <w:bookmarkStart w:id="10" w:name="OLE_LINK2"/>
      <w:bookmarkStart w:id="11" w:name="OLE_LINK3"/>
      <w:r>
        <w:t>2.7.2.5</w:t>
      </w:r>
      <w:r>
        <w:tab/>
        <w:t>Reliability Facilities Charge (“RFC”) and LIPA RFC</w:t>
      </w:r>
      <w:bookmarkEnd w:id="9"/>
    </w:p>
    <w:p w:rsidR="009475FA" w:rsidRDefault="00BA70F1">
      <w:pPr>
        <w:pStyle w:val="romannumeralpara"/>
      </w:pPr>
      <w:r>
        <w:rPr>
          <w:b/>
        </w:rPr>
        <w:t>2.7.2.5.1</w:t>
      </w:r>
      <w:r>
        <w:rPr>
          <w:b/>
          <w:bCs/>
        </w:rPr>
        <w:tab/>
        <w:t xml:space="preserve">Payable through the ISO: </w:t>
      </w:r>
      <w:r>
        <w:t xml:space="preserve">All RFC and LIPA RFC charges are calculated, collected and payable to the ISO pursuant </w:t>
      </w:r>
      <w:r>
        <w:t>to Rate Schedule 10.</w:t>
      </w:r>
    </w:p>
    <w:p w:rsidR="009475FA" w:rsidRDefault="00BA70F1">
      <w:pPr>
        <w:pStyle w:val="Heading3"/>
      </w:pPr>
      <w:bookmarkStart w:id="12" w:name="_Toc261444381"/>
      <w:bookmarkEnd w:id="10"/>
      <w:bookmarkEnd w:id="11"/>
      <w:r>
        <w:t>2.7.3</w:t>
      </w:r>
      <w:r>
        <w:tab/>
        <w:t>Billing and Payment</w:t>
      </w:r>
      <w:bookmarkEnd w:id="12"/>
      <w:r>
        <w:t xml:space="preserve"> Procedures</w:t>
      </w:r>
    </w:p>
    <w:p w:rsidR="009475FA" w:rsidRDefault="00BA70F1" w:rsidP="009475FA">
      <w:pPr>
        <w:pStyle w:val="Bodypara"/>
        <w:tabs>
          <w:tab w:val="left" w:pos="1800"/>
          <w:tab w:val="left" w:pos="2520"/>
        </w:tabs>
      </w:pPr>
      <w:r>
        <w:t xml:space="preserve">For purposes of this Section 2.7.3: </w:t>
      </w:r>
    </w:p>
    <w:p w:rsidR="009475FA" w:rsidRDefault="00BA70F1" w:rsidP="009475FA">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475FA" w:rsidRPr="003929D2" w:rsidRDefault="00BA70F1" w:rsidP="009475FA">
      <w:pPr>
        <w:spacing w:line="480" w:lineRule="auto"/>
        <w:ind w:firstLine="720"/>
      </w:pPr>
      <w:r>
        <w:rPr>
          <w:bCs/>
          <w:color w:val="000000"/>
        </w:rPr>
        <w:t>(</w:t>
      </w:r>
      <w:r>
        <w:rPr>
          <w:bCs/>
          <w:color w:val="000000"/>
        </w:rPr>
        <w:t>ii) the term “Stub Week Settlement Period” shall mean the six or fewer day period between Saturday and Friday for which all of the days are in the same month.</w:t>
      </w:r>
    </w:p>
    <w:p w:rsidR="009475FA" w:rsidRDefault="00BA70F1">
      <w:pPr>
        <w:pStyle w:val="Heading4"/>
      </w:pPr>
      <w:bookmarkStart w:id="13" w:name="_Toc261444382"/>
      <w:r>
        <w:t>2.7.3.1</w:t>
      </w:r>
      <w:r>
        <w:tab/>
        <w:t>Billing and Settlement Information</w:t>
      </w:r>
      <w:bookmarkEnd w:id="13"/>
    </w:p>
    <w:p w:rsidR="009475FA" w:rsidRDefault="00BA70F1">
      <w:pPr>
        <w:pStyle w:val="Bodypara"/>
      </w:pPr>
      <w:r>
        <w:t>The ISO shall provide settlement and billing informati</w:t>
      </w:r>
      <w:r>
        <w:t xml:space="preserve">on to Transmission Customers.  The ISO shall inform each Transmission Customer </w:t>
      </w:r>
      <w:r w:rsidRPr="00FE4403">
        <w:t>that provides or is provided services furnished under this ISO OATT or the ISO Services Tariff</w:t>
      </w:r>
      <w:r>
        <w:t xml:space="preserve"> of the payments due for such service.  Such information shall be made electronical</w:t>
      </w:r>
      <w:r>
        <w:t>ly available to the Transmission Customer.</w:t>
      </w:r>
    </w:p>
    <w:p w:rsidR="009475FA" w:rsidRDefault="00BA70F1" w:rsidP="009475FA">
      <w:pPr>
        <w:pStyle w:val="Heading4"/>
      </w:pPr>
      <w:r w:rsidRPr="00085B27">
        <w:t>2.7.3.2</w:t>
      </w:r>
      <w:r w:rsidRPr="00085B27">
        <w:tab/>
      </w:r>
      <w:r>
        <w:t>Invoic</w:t>
      </w:r>
      <w:r w:rsidRPr="00085B27">
        <w:t>ing and Payment</w:t>
      </w:r>
    </w:p>
    <w:p w:rsidR="009475FA" w:rsidRPr="00085B27" w:rsidRDefault="00BA70F1" w:rsidP="009475FA">
      <w:pPr>
        <w:pStyle w:val="subhead"/>
      </w:pPr>
      <w:r w:rsidRPr="00085B27">
        <w:t>2.7.3.</w:t>
      </w:r>
      <w:r>
        <w:t>2</w:t>
      </w:r>
      <w:r w:rsidRPr="00085B27">
        <w:t>.1</w:t>
      </w:r>
      <w:r w:rsidRPr="00085B27">
        <w:tab/>
        <w:t xml:space="preserve">Weekly Invoice </w:t>
      </w:r>
    </w:p>
    <w:p w:rsidR="009475FA" w:rsidRDefault="00BA70F1"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w:t>
      </w:r>
      <w:r w:rsidRPr="005F7AC7">
        <w:rPr>
          <w:bCs/>
          <w:color w:val="000000"/>
        </w:rPr>
        <w:t>or owed to the Transmission Customer for those services furnished under this ISO OATT or the ISO Services Tariff for the previous Complete Week Settlement Period or Stub Week Settlement Period that are designated as Weekly Invoice Components in</w:t>
      </w:r>
      <w:r>
        <w:rPr>
          <w:bCs/>
          <w:color w:val="000000"/>
        </w:rPr>
        <w:t xml:space="preserve"> ISO Procedu</w:t>
      </w:r>
      <w:r>
        <w:rPr>
          <w:bCs/>
          <w:color w:val="000000"/>
        </w:rPr>
        <w:t xml:space="preserve">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monthly invoice issued in accordance with Section 2.7.3.2.2 of this ISO O</w:t>
      </w:r>
      <w:r>
        <w:rPr>
          <w:bCs/>
          <w:color w:val="000000"/>
        </w:rPr>
        <w:t xml:space="preserve">ATT. </w:t>
      </w:r>
    </w:p>
    <w:p w:rsidR="009475FA" w:rsidRPr="00085B27" w:rsidRDefault="00BA70F1" w:rsidP="009475FA">
      <w:pPr>
        <w:pStyle w:val="subhead"/>
      </w:pPr>
      <w:r w:rsidRPr="00085B27">
        <w:t>2.7.3.</w:t>
      </w:r>
      <w:r>
        <w:t>2</w:t>
      </w:r>
      <w:r w:rsidRPr="00085B27">
        <w:t>.2</w:t>
      </w:r>
      <w:r w:rsidRPr="00085B27">
        <w:tab/>
        <w:t>Monthly Invoice</w:t>
      </w:r>
    </w:p>
    <w:p w:rsidR="009475FA" w:rsidRPr="00761F9A" w:rsidRDefault="00BA70F1" w:rsidP="009475FA">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9475FA" w:rsidRDefault="00BA70F1" w:rsidP="009475FA">
      <w:pPr>
        <w:pStyle w:val="romannumeralpara"/>
      </w:pPr>
      <w:r>
        <w:t xml:space="preserve">(i) </w:t>
      </w:r>
      <w:r>
        <w:tab/>
      </w:r>
      <w:r>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475FA" w:rsidRDefault="00BA70F1"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contai</w:t>
      </w:r>
      <w:r>
        <w:rPr>
          <w:bCs/>
          <w:color w:val="000000"/>
        </w:rPr>
        <w:t>ned in the weekly invoices issued in the previous month pursuant to Section 2.7.3.2.1 of this ISO OATT;</w:t>
      </w:r>
    </w:p>
    <w:p w:rsidR="009475FA" w:rsidRDefault="00BA70F1" w:rsidP="009475FA">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w:t>
      </w:r>
      <w:r>
        <w:rPr>
          <w:bCs/>
          <w:color w:val="000000"/>
        </w:rPr>
        <w:t>ts in ISO Procedures;</w:t>
      </w:r>
    </w:p>
    <w:p w:rsidR="009475FA" w:rsidRDefault="00BA70F1" w:rsidP="009475FA">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9475FA" w:rsidRPr="00574522" w:rsidRDefault="00BA70F1" w:rsidP="009475FA">
      <w:pPr>
        <w:pStyle w:val="romannumeralpara"/>
      </w:pPr>
      <w:r>
        <w:t xml:space="preserve">(v) </w:t>
      </w:r>
      <w:r>
        <w:tab/>
        <w:t>for any adjustments to amounts contained i</w:t>
      </w:r>
      <w:r>
        <w:t xml:space="preserve">n a previously issued monthly invoice as </w:t>
      </w:r>
      <w:r w:rsidRPr="00085B27">
        <w:rPr>
          <w:bCs/>
          <w:color w:val="000000"/>
        </w:rPr>
        <w:t>part</w:t>
      </w:r>
      <w:r>
        <w:t xml:space="preserve"> of the Close-Out Settlement of that monthly invoice pursuant to Section 2.7.4.2.2 of this ISO OATT.</w:t>
      </w:r>
    </w:p>
    <w:p w:rsidR="009475FA" w:rsidRPr="00E23BB3" w:rsidRDefault="00BA70F1" w:rsidP="009475FA">
      <w:pPr>
        <w:pStyle w:val="subhead"/>
      </w:pPr>
      <w:r>
        <w:t>2.7.3</w:t>
      </w:r>
      <w:r w:rsidRPr="00E23BB3">
        <w:t>.</w:t>
      </w:r>
      <w:r>
        <w:t>2</w:t>
      </w:r>
      <w:r w:rsidRPr="00E23BB3">
        <w:t>.</w:t>
      </w:r>
      <w:r>
        <w:t>3</w:t>
      </w:r>
      <w:r w:rsidRPr="00E23BB3">
        <w:tab/>
        <w:t xml:space="preserve">Payment by the </w:t>
      </w:r>
      <w:r>
        <w:t xml:space="preserve">Transmission </w:t>
      </w:r>
      <w:r w:rsidRPr="00E23BB3">
        <w:t>Customer</w:t>
      </w:r>
    </w:p>
    <w:p w:rsidR="009475FA" w:rsidRDefault="00BA70F1"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in its weekly inv</w:t>
      </w:r>
      <w:r>
        <w:t xml:space="preserve">oice or its monthly invoice </w:t>
      </w:r>
      <w:r w:rsidRPr="00AC2AEA">
        <w:t xml:space="preserve">shall make those payments to the </w:t>
      </w:r>
      <w:r>
        <w:t xml:space="preserve">ISO through the </w:t>
      </w:r>
      <w:r w:rsidRPr="00AC2AEA">
        <w:t>ISO Clearing Account</w:t>
      </w:r>
      <w:r>
        <w:t xml:space="preserve"> by </w:t>
      </w:r>
      <w:r w:rsidRPr="00F81699">
        <w:t>the second business day after the date on which the weekly invoice or monthly invoice</w:t>
      </w:r>
      <w:r>
        <w:t xml:space="preserve"> is rendered by the ISO unless otherwise specified in ISO Procedures. </w:t>
      </w:r>
      <w:r>
        <w:t xml:space="preserve"> </w:t>
      </w:r>
      <w:r w:rsidRPr="005F7AC7">
        <w:rPr>
          <w:bCs/>
          <w:color w:val="000000"/>
        </w:rPr>
        <w:t>In accordance with Section 2.7.1.2 of this ISO OATT, the ISO may net any overpayment by the Transmission Customer for past estimated charges against current amounts due from the Transmission Customer or, if the Transmission Customer has no outstanding amo</w:t>
      </w:r>
      <w:r w:rsidRPr="005F7AC7">
        <w:rPr>
          <w:bCs/>
          <w:color w:val="000000"/>
        </w:rPr>
        <w:t xml:space="preserve">unts due, the ISO may pay to the Transmission Customer an amount equal to the </w:t>
      </w:r>
      <w:r w:rsidRPr="005F7AC7">
        <w:t>overpayment</w:t>
      </w:r>
      <w:r w:rsidRPr="005F7AC7">
        <w:rPr>
          <w:bCs/>
          <w:color w:val="000000"/>
        </w:rPr>
        <w:t>.</w:t>
      </w:r>
      <w:r w:rsidRPr="004D3B08">
        <w:rPr>
          <w:bCs/>
          <w:color w:val="000000"/>
        </w:rPr>
        <w:t xml:space="preserve"> </w:t>
      </w:r>
    </w:p>
    <w:p w:rsidR="009475FA" w:rsidRPr="00085B27" w:rsidRDefault="00BA70F1" w:rsidP="009475FA">
      <w:pPr>
        <w:pStyle w:val="subhead"/>
      </w:pPr>
      <w:r w:rsidRPr="00085B27">
        <w:t>2.7.3.</w:t>
      </w:r>
      <w:r>
        <w:t>2</w:t>
      </w:r>
      <w:r w:rsidRPr="00085B27">
        <w:t>.4</w:t>
      </w:r>
      <w:r w:rsidRPr="00085B27">
        <w:tab/>
        <w:t>Payment by the ISO</w:t>
      </w:r>
    </w:p>
    <w:p w:rsidR="009475FA" w:rsidRDefault="00BA70F1" w:rsidP="009475FA">
      <w:pPr>
        <w:pStyle w:val="Bodypara"/>
        <w:keepNext/>
      </w:pPr>
      <w:r>
        <w:rPr>
          <w:bCs/>
          <w:color w:val="000000"/>
        </w:rPr>
        <w:t xml:space="preserve">Except as provided in Section 2.7.1.4 of this ISO OATT, </w:t>
      </w:r>
      <w:r>
        <w:t>t</w:t>
      </w:r>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from the ISO Clearing Account</w:t>
      </w:r>
      <w:r w:rsidRPr="00593040">
        <w:t xml:space="preserve"> by the </w:t>
      </w:r>
      <w:r w:rsidRPr="00F81699">
        <w:t xml:space="preserve">second business day after the due date for </w:t>
      </w:r>
      <w:r>
        <w:t xml:space="preserve">Transmission </w:t>
      </w:r>
      <w:r w:rsidRPr="00F81699">
        <w:t>Customer payments set</w:t>
      </w:r>
      <w:r>
        <w:t xml:space="preserve"> forth in Section 2.7.3.2.3 of this ISO OATT unless otherwise specified in ISO Procedures. </w:t>
      </w:r>
    </w:p>
    <w:p w:rsidR="009475FA" w:rsidRPr="003E0307" w:rsidRDefault="00BA70F1" w:rsidP="009475FA">
      <w:pPr>
        <w:pStyle w:val="Heading4"/>
      </w:pPr>
      <w:r w:rsidRPr="003E0307">
        <w:t>2.7.</w:t>
      </w:r>
      <w:r w:rsidRPr="003E0307">
        <w:t>3.</w:t>
      </w:r>
      <w:r>
        <w:t>3</w:t>
      </w:r>
      <w:r w:rsidRPr="003E0307">
        <w:tab/>
        <w:t>Use of Estimated Data and Meter Data</w:t>
      </w:r>
    </w:p>
    <w:p w:rsidR="009475FA" w:rsidRDefault="00BA70F1">
      <w:pPr>
        <w:pStyle w:val="Bodypara"/>
      </w:pPr>
      <w:r>
        <w:t>The ISO may use estimates, including estimated meter data, in whole or in part to settle a weekly or monthly invoice in accordance with ISO Procedures.  The ISO shall use meter data submitted to the ISO in accordanc</w:t>
      </w:r>
      <w:r>
        <w:t>e with Section 3.16 of this ISO OATT.  Any charges based on estimates shall be subject to true</w:t>
      </w:r>
      <w:r>
        <w:noBreakHyphen/>
        <w:t>up in invoices subsequently issued by the ISO after the ISO has obtained the requisite actual information, provided that the ISO shall only true-up charges based</w:t>
      </w:r>
      <w:r>
        <w:t xml:space="preserve"> on meter data prior to the deadline for finalizing the meter data established in Section 2.7.4.2 of this ISO OATT.  </w:t>
      </w:r>
      <w:r>
        <w:rPr>
          <w:bCs/>
          <w:color w:val="000000"/>
        </w:rPr>
        <w:t>A trued-up charge shall include interest amounts calculated at the rate set forth in Section 2.7.4 of this ISO OATT from the weekly or mont</w:t>
      </w:r>
      <w:r>
        <w:rPr>
          <w:bCs/>
          <w:color w:val="000000"/>
        </w:rPr>
        <w:t xml:space="preserve">hly due date for the charge until the </w:t>
      </w:r>
      <w:r w:rsidRPr="00AA1CA6">
        <w:rPr>
          <w:bCs/>
          <w:color w:val="000000"/>
        </w:rPr>
        <w:t>date of payment</w:t>
      </w:r>
      <w:r>
        <w:rPr>
          <w:bCs/>
          <w:color w:val="000000"/>
        </w:rPr>
        <w:t xml:space="preserve"> of the trued-up amount for that charge.</w:t>
      </w:r>
    </w:p>
    <w:p w:rsidR="009475FA" w:rsidRPr="004147ED" w:rsidRDefault="00BA70F1" w:rsidP="009475FA">
      <w:pPr>
        <w:pStyle w:val="Heading4"/>
      </w:pPr>
      <w:r w:rsidRPr="004147ED">
        <w:t>2.7.3.</w:t>
      </w:r>
      <w:r>
        <w:t>4</w:t>
      </w:r>
      <w:r w:rsidRPr="004147ED">
        <w:tab/>
        <w:t>Method of Payment</w:t>
      </w:r>
    </w:p>
    <w:p w:rsidR="009475FA" w:rsidRDefault="00BA70F1">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r>
        <w:t>th</w:t>
      </w:r>
      <w:r>
        <w:t xml:space="preserve">rough </w:t>
      </w:r>
      <w:r w:rsidRPr="0081034A">
        <w:t>the ISO Clearing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r>
        <w:t xml:space="preserve">through </w:t>
      </w:r>
      <w:r w:rsidRPr="008E11F0">
        <w:t xml:space="preserve">the ISO Clearing </w:t>
      </w:r>
      <w:r w:rsidRPr="008E11F0">
        <w:t xml:space="preserve">Account </w:t>
      </w:r>
      <w:r>
        <w:t>or (ii) any other method set forth in ISO Procedures</w:t>
      </w:r>
      <w:r w:rsidRPr="008E11F0">
        <w:t>.</w:t>
      </w:r>
      <w:r>
        <w:t xml:space="preserve"> </w:t>
      </w:r>
    </w:p>
    <w:p w:rsidR="009475FA" w:rsidRDefault="00BA70F1">
      <w:pPr>
        <w:pStyle w:val="Heading4"/>
      </w:pPr>
      <w:bookmarkStart w:id="14" w:name="_Toc261444385"/>
      <w:r>
        <w:t>2.7.3.5</w:t>
      </w:r>
      <w:r>
        <w:tab/>
        <w:t>Verification of Payments</w:t>
      </w:r>
      <w:bookmarkEnd w:id="14"/>
    </w:p>
    <w:p w:rsidR="009475FA" w:rsidRDefault="00BA70F1">
      <w:pPr>
        <w:pStyle w:val="Bodypara"/>
      </w:pPr>
      <w:r>
        <w:t>The ISO shall verify that all payments owed by Transmission Customers in accordance with this ISO OATT and the ISO Services Tariff  have been paid to the ISO in</w:t>
      </w:r>
      <w:r>
        <w:t xml:space="preserve"> a timely manner.  If a Transmission Customer fails to make a payment within the time period established in Sections 2.7.3.2.1, 2.7.3.2.2, and 2.7.3.6 of this ISO OATT or pays less than the amount due, the ISO shall take measures pursuant to Section 2.7.5 </w:t>
      </w:r>
      <w:r>
        <w:t xml:space="preserve">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Clearing Account in a time</w:t>
      </w:r>
      <w:r>
        <w:t>ly manner.</w:t>
      </w:r>
    </w:p>
    <w:p w:rsidR="009475FA" w:rsidRPr="00085B27" w:rsidRDefault="00BA70F1" w:rsidP="009475FA">
      <w:pPr>
        <w:pStyle w:val="Heading4"/>
      </w:pPr>
      <w:r w:rsidRPr="00085B27">
        <w:t>2.7.3.</w:t>
      </w:r>
      <w:r>
        <w:t>6</w:t>
      </w:r>
      <w:r w:rsidRPr="00085B27">
        <w:tab/>
        <w:t>TCC Auction Settlements</w:t>
      </w:r>
    </w:p>
    <w:p w:rsidR="009475FA" w:rsidRPr="00CC2A04" w:rsidRDefault="00BA70F1" w:rsidP="009475FA">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Reconfiguration Auction as set forth in this Section 2.7.3.6.</w:t>
      </w:r>
    </w:p>
    <w:p w:rsidR="009475FA" w:rsidRDefault="00BA70F1" w:rsidP="009475FA">
      <w:pPr>
        <w:pStyle w:val="Bodypara"/>
        <w:rPr>
          <w:bCs/>
          <w:color w:val="000000"/>
        </w:rPr>
      </w:pPr>
      <w:r>
        <w:rPr>
          <w:bCs/>
          <w:color w:val="000000"/>
        </w:rPr>
        <w:t xml:space="preserve">2.7.3.6.1  The ISO shall submit invoices to, </w:t>
      </w:r>
      <w:r w:rsidRPr="00EF685A">
        <w:rPr>
          <w:bCs/>
          <w:color w:val="000000"/>
        </w:rPr>
        <w:t>and make settlements with</w:t>
      </w:r>
      <w:r>
        <w:rPr>
          <w:bCs/>
          <w:color w:val="000000"/>
        </w:rPr>
        <w:t xml:space="preserve">, Transmission Owners in connection with the allocation of Net Auction Revenues in accordance with the timeline set forth in ISO Procedures. </w:t>
      </w:r>
    </w:p>
    <w:p w:rsidR="009475FA" w:rsidRDefault="00BA70F1" w:rsidP="009475FA">
      <w:pPr>
        <w:pStyle w:val="Bodypara"/>
        <w:rPr>
          <w:bCs/>
          <w:color w:val="000000"/>
        </w:rPr>
      </w:pPr>
      <w:r>
        <w:rPr>
          <w:bCs/>
          <w:color w:val="000000"/>
        </w:rPr>
        <w:t xml:space="preserve">2.7.3.6.2  Transmission </w:t>
      </w:r>
      <w:r w:rsidRPr="008E11F0">
        <w:rPr>
          <w:bCs/>
          <w:color w:val="000000"/>
        </w:rPr>
        <w:t>Customers owing paym</w:t>
      </w:r>
      <w:r w:rsidRPr="008E11F0">
        <w:rPr>
          <w:bCs/>
          <w:color w:val="000000"/>
        </w:rPr>
        <w:t xml:space="preserve">ents </w:t>
      </w:r>
      <w:r>
        <w:rPr>
          <w:bCs/>
          <w:color w:val="000000"/>
        </w:rPr>
        <w:t xml:space="preserve">to the ISO </w:t>
      </w:r>
      <w:r w:rsidRPr="008E11F0">
        <w:rPr>
          <w:bCs/>
          <w:color w:val="000000"/>
        </w:rPr>
        <w:t xml:space="preserve">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r>
        <w:rPr>
          <w:bCs/>
          <w:color w:val="000000"/>
        </w:rPr>
        <w:t xml:space="preserve">through the ISO </w:t>
      </w:r>
      <w:r w:rsidRPr="008E11F0">
        <w:rPr>
          <w:bCs/>
          <w:color w:val="000000"/>
        </w:rPr>
        <w:t>Clearing Acco</w:t>
      </w:r>
      <w:r w:rsidRPr="008E11F0">
        <w:rPr>
          <w:bCs/>
          <w:color w:val="000000"/>
        </w:rPr>
        <w:t>unt in accordance with the timeline set forth in ISO Procedures.</w:t>
      </w:r>
      <w:r w:rsidRPr="00E4615C">
        <w:rPr>
          <w:bCs/>
          <w:color w:val="000000"/>
          <w:vertAlign w:val="superscript"/>
        </w:rPr>
        <w:t xml:space="preserve"> </w:t>
      </w:r>
      <w:r>
        <w:rPr>
          <w:bCs/>
          <w:color w:val="000000"/>
        </w:rPr>
        <w:t xml:space="preserve"> </w:t>
      </w:r>
    </w:p>
    <w:p w:rsidR="009475FA" w:rsidRDefault="00BA70F1" w:rsidP="009475FA">
      <w:pPr>
        <w:pStyle w:val="Bodypara"/>
        <w:rPr>
          <w:bCs/>
          <w:color w:val="000000"/>
        </w:rPr>
      </w:pPr>
      <w:r>
        <w:rPr>
          <w:bCs/>
          <w:color w:val="000000"/>
        </w:rPr>
        <w:t xml:space="preserve">2.7.3.6.3  Except as provided in Section 2.7.1.4 of this ISO OATT, </w:t>
      </w:r>
      <w:r w:rsidRPr="00EF685A">
        <w:rPr>
          <w:bCs/>
          <w:color w:val="000000"/>
        </w:rPr>
        <w:t>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w:t>
      </w:r>
      <w:r w:rsidRPr="00422694">
        <w:rPr>
          <w:bCs/>
          <w:color w:val="000000"/>
        </w:rPr>
        <w:t>ed</w:t>
      </w:r>
      <w:r w:rsidRPr="008E11F0">
        <w:rPr>
          <w:bCs/>
          <w:color w:val="000000"/>
        </w:rPr>
        <w:t xml:space="preserve"> TCC Auction or a Reconfiguration Auction, pursuant to an award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BA70F1">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w:t>
        </w:r>
        <w:r>
          <w:t>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9475FA" w:rsidRDefault="00BA70F1">
      <w:pPr>
        <w:pStyle w:val="Heading4"/>
      </w:pPr>
      <w:bookmarkStart w:id="15" w:name="_Toc261444386"/>
      <w:r>
        <w:t>2.7.3.7</w:t>
      </w:r>
      <w:r>
        <w:tab/>
        <w:t>Settlement Information and Billing Procedures for TSCs</w:t>
      </w:r>
      <w:bookmarkEnd w:id="15"/>
    </w:p>
    <w:p w:rsidR="009475FA" w:rsidRDefault="00BA70F1">
      <w:pPr>
        <w:pStyle w:val="Bodypara"/>
      </w:pPr>
      <w:r>
        <w:t xml:space="preserve">The ISO shall provide each </w:t>
      </w:r>
      <w:r>
        <w:t>Member System</w:t>
      </w:r>
      <w:r>
        <w:t xml:space="preserve"> with information </w:t>
      </w:r>
      <w:r>
        <w:t>to facilitate TSC billing.  Settlement information and billing procedures for payments of the TSC by retail access customers or LSEs serving retail access customers in accordance with Section 5 of this ISO OATT shall be separately issued, paid and collecte</w:t>
      </w:r>
      <w:r>
        <w:t>d in accordance with Section 5 of this ISO OATT.  Settlement information and billing procedures for payments for TSCs for customers other than retail access customers and LSEs serving retail access customers shall be separately issued, paid and collected i</w:t>
      </w:r>
      <w:r>
        <w:t>n accordance with the terms and conditions set forth in Attachment H of this ISO OATT in accordance with Section 5 of this ISO OATT.</w:t>
      </w:r>
      <w:r>
        <w:rPr>
          <w:vertAlign w:val="superscript"/>
        </w:rPr>
        <w:t xml:space="preserve"> </w:t>
      </w:r>
    </w:p>
    <w:p w:rsidR="009475FA" w:rsidRDefault="00BA70F1">
      <w:pPr>
        <w:pStyle w:val="Heading4"/>
      </w:pPr>
      <w:bookmarkStart w:id="16" w:name="_Toc261444387"/>
      <w:r>
        <w:t>2.7.3.8</w:t>
      </w:r>
      <w:r>
        <w:tab/>
        <w:t>Billing Procedures for Retail Access Programs</w:t>
      </w:r>
      <w:bookmarkEnd w:id="16"/>
    </w:p>
    <w:p w:rsidR="009475FA" w:rsidRDefault="00BA70F1">
      <w:pPr>
        <w:pStyle w:val="Bodypara"/>
      </w:pPr>
      <w:r>
        <w:t xml:space="preserve">The billing procedures for customers participating in retail access </w:t>
      </w:r>
      <w:r>
        <w:t>programs shall be in accordance with Section 5 of this ISO OATT.</w:t>
      </w:r>
    </w:p>
    <w:p w:rsidR="009475FA" w:rsidRDefault="00BA70F1">
      <w:pPr>
        <w:pStyle w:val="Heading3"/>
      </w:pPr>
      <w:bookmarkStart w:id="17" w:name="_Toc261444388"/>
      <w:r>
        <w:t>2.7.4</w:t>
      </w:r>
      <w:r>
        <w:tab/>
        <w:t>Interest on Unpaid Balances:</w:t>
      </w:r>
      <w:bookmarkEnd w:id="17"/>
      <w:r>
        <w:t xml:space="preserve"> </w:t>
      </w:r>
    </w:p>
    <w:p w:rsidR="009475FA" w:rsidRDefault="00BA70F1">
      <w:pPr>
        <w:pStyle w:val="Bodypara"/>
      </w:pPr>
      <w:r>
        <w:t>Interest on any unpaid amount whether owed to a Transmission Customer or to the ISO  (including amounts placed in escrow) shall be calculated in accordance</w:t>
      </w:r>
      <w:r>
        <w:t xml:space="preserve"> with the methodology specified for interest on refunds in the Commission’s regulations at 18 C.F.R. § 35.19a (a)</w:t>
      </w:r>
      <w:r>
        <w:rPr>
          <w:strike/>
        </w:rPr>
        <w:t xml:space="preserve"> </w:t>
      </w:r>
      <w:r>
        <w:t>(2)</w:t>
      </w:r>
      <w:r>
        <w:rPr>
          <w:strike/>
        </w:rPr>
        <w:t xml:space="preserve"> </w:t>
      </w:r>
      <w:r>
        <w:t>(iii).  Interest on unpaid amounts shall be calculated from the due date of the bill to the date of payment.  Invoices shall be considered</w:t>
      </w:r>
      <w:r>
        <w:t xml:space="preserve"> as having been paid on the date of receipt of payment by the ISO. </w:t>
      </w:r>
    </w:p>
    <w:p w:rsidR="009475FA" w:rsidRDefault="00BA70F1">
      <w:pPr>
        <w:pStyle w:val="Bodypara"/>
      </w:pPr>
      <w:r>
        <w:t>If the ISO is unable to provide settlement information on time due to the actions or inactions of the Transmission Customer, in addition to any other remedies the ISO may have at law or in</w:t>
      </w:r>
      <w:r>
        <w:t xml:space="preserve"> equity, the Transmission Customer shall pay interest on amounts due, as calculated above, from the first day of the Billing Period following the Billing Period in which charges are accrued, to the time of payment of those charges.</w:t>
      </w:r>
    </w:p>
    <w:p w:rsidR="009475FA" w:rsidRDefault="00BA70F1">
      <w:pPr>
        <w:pStyle w:val="Heading4"/>
      </w:pPr>
      <w:bookmarkStart w:id="18" w:name="_Toc261444389"/>
      <w:r>
        <w:t>2.7.4.1</w:t>
      </w:r>
      <w:r>
        <w:tab/>
        <w:t>Billing Disputes</w:t>
      </w:r>
      <w:r>
        <w:t>:</w:t>
      </w:r>
      <w:bookmarkEnd w:id="18"/>
      <w:r>
        <w:t xml:space="preserve">  </w:t>
      </w:r>
    </w:p>
    <w:p w:rsidR="009475FA" w:rsidRDefault="00BA70F1">
      <w:pPr>
        <w:pStyle w:val="Bodypara"/>
      </w:pPr>
      <w:r>
        <w:t>This Section 2.7.4.1 establishes the process and timeframe for review, challenge, and correction of Transmission Customer invoices.  For purposes of this Section 2.7.4.1, any deadline that falls on a Saturday, Sunday, or holiday for which the ISO is cl</w:t>
      </w:r>
      <w:r>
        <w:t>osed shall be observed on the ISO’s next business day.</w:t>
      </w:r>
    </w:p>
    <w:p w:rsidR="009475FA" w:rsidRDefault="00BA70F1">
      <w:pPr>
        <w:pStyle w:val="Bodypara"/>
      </w:pPr>
      <w:r>
        <w:t>For purposes of this Section 2.7.4.1, “finalized” data and invoices shall not be subject to further correction, including by the ISO, except as ordered by the Commission or a court of competent jurisdi</w:t>
      </w:r>
      <w:r>
        <w:t xml:space="preserve">ction; </w:t>
      </w:r>
      <w:r>
        <w:rPr>
          <w:i/>
          <w:iCs/>
        </w:rPr>
        <w:t>provided, however</w:t>
      </w:r>
      <w:r>
        <w:t>, that nothing herein shall be construed to restrict any stakeholder’s right to seek redress from the Commission in accordance with the Federal Power Act.</w:t>
      </w:r>
    </w:p>
    <w:p w:rsidR="009475FA" w:rsidRPr="00290C42" w:rsidRDefault="00BA70F1" w:rsidP="009475FA">
      <w:pPr>
        <w:ind w:left="720"/>
        <w:rPr>
          <w:rFonts w:ascii="Times New Roman Bold" w:hAnsi="Times New Roman Bold"/>
          <w:b/>
        </w:rPr>
      </w:pPr>
      <w:bookmarkStart w:id="19" w:name="_Toc261444393"/>
      <w:r w:rsidRPr="00290C42">
        <w:rPr>
          <w:rFonts w:ascii="Times New Roman Bold" w:hAnsi="Times New Roman Bold"/>
        </w:rPr>
        <w:t>2.7.4.2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19"/>
    </w:p>
    <w:p w:rsidR="009475FA" w:rsidRDefault="00BA70F1">
      <w:pPr>
        <w:pStyle w:val="Heading4"/>
      </w:pPr>
      <w:bookmarkStart w:id="20" w:name="_Toc261444394"/>
      <w:r>
        <w:t>2.7.4.2.1</w:t>
      </w:r>
      <w:r>
        <w:tab/>
        <w:t>ISO Corrections or Adjustments and Transmission Customer Challenges to the Accuracy of Settlement Information</w:t>
      </w:r>
      <w:bookmarkEnd w:id="20"/>
    </w:p>
    <w:p w:rsidR="009475FA" w:rsidRDefault="00BA70F1">
      <w:pPr>
        <w:pStyle w:val="Bodypara"/>
      </w:pPr>
      <w:r>
        <w:t>Settlement information for services furnished beginning January 1, 2009, and thereafter shall be subject to review, comment, and challen</w:t>
      </w:r>
      <w:r>
        <w:t xml:space="preserve">ge by a Transmission Customer and correction or adjustment by the ISO for errors at any time for up to five (5) months from the date of the initial invoice </w:t>
      </w:r>
      <w:r w:rsidRPr="00D23F31">
        <w:t>for the month in which service is rendered as set forth in Section 2.7.3.2.2 of this ISO OATT</w:t>
      </w:r>
      <w:r>
        <w:t xml:space="preserve"> and as</w:t>
      </w:r>
      <w:r>
        <w:t xml:space="preserve"> further provided in Section 2.7.4.2.2, subject to the following requirements and limitations:</w:t>
      </w:r>
    </w:p>
    <w:p w:rsidR="009475FA" w:rsidRDefault="00BA70F1">
      <w:pPr>
        <w:pStyle w:val="romannumeralpara"/>
      </w:pPr>
      <w:r>
        <w:t>(i)</w:t>
      </w:r>
      <w:r>
        <w:tab/>
        <w:t>A Supplier or meter authority may review, comment on, and challenge Generator, tie-line, and sub-zone Load metering data for fifty-five (55) days from the da</w:t>
      </w:r>
      <w:r>
        <w:t xml:space="preserve">te of the initial invoice </w:t>
      </w:r>
      <w:r w:rsidRPr="00D23F31">
        <w:t>for the month in which service is rendered</w:t>
      </w:r>
      <w:r>
        <w:t xml:space="preserve">.  Following this review period, the ISO shall then have five (5) days to process and correct Generator, tie-line, and sub-zone Load metering data, after which time it shall be finalized. </w:t>
      </w:r>
      <w:r>
        <w:t xml:space="preserve"> </w:t>
      </w:r>
    </w:p>
    <w:p w:rsidR="009475FA" w:rsidRDefault="00BA70F1">
      <w:pPr>
        <w:pStyle w:val="romannumeralpara"/>
      </w:pPr>
      <w:r>
        <w:t>(ii)</w:t>
      </w:r>
      <w:r>
        <w:tab/>
        <w:t xml:space="preserve">The meter authority shall provide to the ISO all LSE bus metering data then available within seventy (70) days from the date of the initial invoice and shall provide any necessary updates to the LSE bus metering data as soon as possible thereafter. </w:t>
      </w:r>
      <w:r>
        <w:t xml:space="preserve"> The ISO shall post all available LSE bus metering data within approximately seventy-five (75) days from the date of the initial invoice and shall continue to post incoming LSE bus metering data as soon as practicable after it is received.</w:t>
      </w:r>
    </w:p>
    <w:p w:rsidR="009475FA" w:rsidRDefault="00BA70F1">
      <w:pPr>
        <w:pStyle w:val="romannumeralpara"/>
      </w:pPr>
      <w:r>
        <w:t>(iii)</w:t>
      </w:r>
      <w:r>
        <w:tab/>
        <w:t>The ISO sh</w:t>
      </w:r>
      <w:r>
        <w:t>all post advisory settlement information, including available LSE bus metering data, within ninety (90) days from the date of the initial</w:t>
      </w:r>
      <w:r>
        <w:rPr>
          <w:u w:val="double"/>
        </w:rPr>
        <w:t xml:space="preserve"> </w:t>
      </w:r>
      <w:r>
        <w:t>invoice.  Transmission Customers may review, comment on, and challenge this settlement information, except for Generat</w:t>
      </w:r>
      <w:r>
        <w:t>or, tie-line, and sub-zone Load metering data, after which the ISO shall process and correct the data and issue a corrected invoice with the regular monthly invoice issued on or about one hundred twenty (120) days from the date of the initial invoice.  Fol</w:t>
      </w:r>
      <w:r>
        <w:t xml:space="preserve">lowing the ISO’s issuance of a corrected invoice, Transmission Customers may continue to review, comment on, and challenge their settlement information, excepting Generator, tie-line, and sub-zone Load metering data, until the end of the five-month review </w:t>
      </w:r>
      <w:r>
        <w:t>period.</w:t>
      </w:r>
    </w:p>
    <w:p w:rsidR="009475FA" w:rsidRDefault="00BA70F1">
      <w:pPr>
        <w:pStyle w:val="romannumeralpara"/>
      </w:pPr>
      <w:r>
        <w:t>(iv)</w:t>
      </w:r>
      <w:r>
        <w:tab/>
        <w:t>The meter authority shall provide to the ISO any final updates or corrections to LSE bus metering data within one hundred thirty (130) days from the date of the initial invoice.  The ISO shall then post any updated and corrected LSE bus meteri</w:t>
      </w:r>
      <w:r>
        <w:t>ng data within one hundred thirty-five (135) days from the date of the initial invoice.  Transmission Customers may then review, comment on, and challenge the LSE bus metering data for an additional ten (10) days.  Following this review period, the ISO sha</w:t>
      </w:r>
      <w:r>
        <w:t>ll have five (5) days to process and correct the LSE bus metering data, after which it shall be finalized.</w:t>
      </w:r>
    </w:p>
    <w:p w:rsidR="009475FA" w:rsidRDefault="00BA70F1" w:rsidP="009475FA">
      <w:pPr>
        <w:pStyle w:val="Bodypara"/>
      </w:pPr>
      <w:r>
        <w:t>The ISO shall use reasonable means to post metering revisions for review by Transmission Customers and to notify Transmission Customers of the approa</w:t>
      </w:r>
      <w:r>
        <w:t>ching expiration of review periods.  To challenge settlement information contained in an invoice, a Transmission Customer shall first make payment in full, including any amounts in dispute.  Transmission Customer challenges to settlement information shall:</w:t>
      </w:r>
      <w:r>
        <w:t xml:space="preserve"> (i) be submitted to the ISO in writing, (ii) be clearly identified as a settlement challenge, (iii) state the basis for the Transmission Customer’s challenge, and (iv) include supporting documentation, if applicable.  The ISO shall notify all Transmission</w:t>
      </w:r>
      <w:r>
        <w:t xml:space="preserve"> Customers of errors identified and the details of corrections or adjustments made pursuant to this Section 2.7.4.2.1.</w:t>
      </w:r>
    </w:p>
    <w:p w:rsidR="009475FA" w:rsidRDefault="00BA70F1">
      <w:pPr>
        <w:pStyle w:val="Heading4"/>
        <w:rPr>
          <w:bCs/>
        </w:rPr>
      </w:pPr>
      <w:bookmarkStart w:id="21" w:name="_Toc261444395"/>
      <w:r>
        <w:t>2.7.4.2.2</w:t>
      </w:r>
      <w:r>
        <w:tab/>
        <w:t>Review and Correction of Challenged Invoices</w:t>
      </w:r>
      <w:bookmarkEnd w:id="21"/>
    </w:p>
    <w:p w:rsidR="009475FA" w:rsidRDefault="00BA70F1">
      <w:pPr>
        <w:pStyle w:val="Bodypara"/>
      </w:pPr>
      <w:r>
        <w:t>The ISO shall evaluate a settlement challenge as soon as possible within two (2) m</w:t>
      </w:r>
      <w:r>
        <w:t xml:space="preserve">onths following the conclusion of the challenge period specified in Section 2.7.4.2.1; </w:t>
      </w:r>
      <w:r>
        <w:rPr>
          <w:i/>
          <w:iCs/>
        </w:rPr>
        <w:t>provided, however,</w:t>
      </w:r>
      <w:r>
        <w:t xml:space="preserve"> the ISO may, upon notice to Transmission Customers within this time of extraordinary circumstances requiring a longer evaluation period, take up to si</w:t>
      </w:r>
      <w:r>
        <w:t>x (6) months to evaluate a settlement challenge.  The ISO shall not be limited to the scope of Transmission Customer challenges in its review of a challenged invoice and may, at its discretion, review and correct any other elements and intervals of a chall</w:t>
      </w:r>
      <w:r>
        <w:t>enged invoice, except Load and meter data as specified in Section 2.7.4.2.1.  Corrections to a challenged invoice shall be applied to all Transmission Customers that were or should have been affected by the original settlement and shall not be limited to t</w:t>
      </w:r>
      <w:r>
        <w:t xml:space="preserve">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9475FA" w:rsidRDefault="00BA70F1">
      <w:pPr>
        <w:pStyle w:val="Bodypara"/>
      </w:pPr>
      <w:r>
        <w:t>Upon completing i</w:t>
      </w:r>
      <w:r>
        <w:t>ts evaluation, the ISO shall provide written notice to the challenging Transmission Customer of the ISO’s final determination regarding the Transmission Customer’s settlement challenge.  If the ISO determines that corrections or adjustments to a challenged</w:t>
      </w:r>
      <w:r>
        <w:t xml:space="preserve"> invoice are necessary and can quantify them with reasonable certainty, the ISO shall provide all Transmission Customers with the details of the corrections or adjustments within the timeframe established in this Section 2.7.4.2.2.  The ISO shall then prov</w:t>
      </w:r>
      <w:r>
        <w:t xml:space="preserve">ide a period of twenty-five (25) days for Transmission Customers to review the corrected settlement information and provide comments to the ISO regarding the implementation of those corrections or adjustments; </w:t>
      </w:r>
      <w:r>
        <w:rPr>
          <w:i/>
        </w:rPr>
        <w:t>provided, however</w:t>
      </w:r>
      <w:r>
        <w:t>, that in the event of a disp</w:t>
      </w:r>
      <w:r>
        <w:t>ute resolution proceeding conducted in accordance with Section 2.7.4.3 of this ISO OATT, this twenty-five (25) day period shall not start or, if it has already started, shall be suspended until the conclusion of the dispute resolution proceeding.  Followin</w:t>
      </w:r>
      <w:r>
        <w:t>g the conclusion of the dispute resolution proceeding, the ISO shall make any corrections to Transmission Customers’ settlement invoices that it determines to be necessary and shall then start or re-start the twenty-five (25) day Transmission Customer comm</w:t>
      </w:r>
      <w:r>
        <w:t>ent period.</w:t>
      </w:r>
    </w:p>
    <w:p w:rsidR="009475FA" w:rsidRDefault="00BA70F1">
      <w:pPr>
        <w:pStyle w:val="Bodypara"/>
      </w:pPr>
      <w:r>
        <w:t>If no errors in the implementation of corrections or adjustments are identified during the twenty-five (25) day Transmission Customer comment period, the ISO shall issue a finalized close-out settlement (“Close-Out Settlement”), clearly identif</w:t>
      </w:r>
      <w:r>
        <w:t>ied as such, in the next regular monthly billing invoice.  If an error in the implementation of a correction or adjustment is identified during the twenty-five (25) day Transmission Customer comment period, the ISO shall have one (1) month to make such fur</w:t>
      </w:r>
      <w:r>
        <w:t>ther corrections as are necessary to address the error and provide Transmission Customers with one additional period of twenty-five (25) days to review and comment on the implementation of those further corrections.  If an error in the implementation of th</w:t>
      </w:r>
      <w:r>
        <w:t>ose further corrections is identified, the ISO shall then have one (1) month to make any final corrections that are necessary and shall issue a finalized Close-Out Settlement in the next regular monthly billing invoice.</w:t>
      </w:r>
    </w:p>
    <w:p w:rsidR="009475FA" w:rsidRDefault="00BA70F1">
      <w:pPr>
        <w:pStyle w:val="Heading4"/>
      </w:pPr>
      <w:bookmarkStart w:id="22" w:name="_Toc261444396"/>
      <w:r>
        <w:t>2.7.4.3</w:t>
      </w:r>
      <w:r>
        <w:tab/>
        <w:t>Expedited Dispute Resolution</w:t>
      </w:r>
      <w:r>
        <w:t xml:space="preserve"> Procedures for Unresolved Settlement Challenges</w:t>
      </w:r>
      <w:bookmarkEnd w:id="22"/>
    </w:p>
    <w:p w:rsidR="009475FA" w:rsidRDefault="00BA70F1">
      <w:pPr>
        <w:pStyle w:val="Heading4"/>
      </w:pPr>
      <w:bookmarkStart w:id="23" w:name="_Toc261444397"/>
      <w:r>
        <w:t>2.7.4.3.1</w:t>
      </w:r>
      <w:r>
        <w:tab/>
        <w:t>Applicability of Expedited Dispute Resolution Procedures</w:t>
      </w:r>
      <w:bookmarkEnd w:id="23"/>
    </w:p>
    <w:p w:rsidR="009475FA" w:rsidRDefault="00BA70F1">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w:t>
      </w:r>
      <w:r>
        <w:rPr>
          <w:bCs/>
        </w:rPr>
        <w:t xml:space="preserve">nd the ISO regarding a Transmission Customer settlement that was not resolved in the ordinary settlement review, challenge, and correction process; </w:t>
      </w:r>
      <w:r>
        <w:rPr>
          <w:bCs/>
          <w:i/>
          <w:iCs/>
        </w:rPr>
        <w:t>provided, however</w:t>
      </w:r>
      <w:r>
        <w:rPr>
          <w:bCs/>
        </w:rPr>
        <w:t>, that nothing herein shall restrict a Transmission Customer or the ISO from seeking redres</w:t>
      </w:r>
      <w:r>
        <w:rPr>
          <w:bCs/>
        </w:rPr>
        <w:t>s from the Commission in accordance with the Federal Power Act.</w:t>
      </w:r>
    </w:p>
    <w:p w:rsidR="009475FA" w:rsidRDefault="00BA70F1">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w:t>
      </w:r>
      <w:r>
        <w:rPr>
          <w:bCs/>
        </w:rPr>
        <w:t xml:space="preserve">d has received from the ISO a final, written determination regarding the settlement challenge pursuant to Section </w:t>
      </w:r>
      <w:r>
        <w:t>2.7.4.2.2</w:t>
      </w:r>
      <w:r>
        <w:rPr>
          <w:bCs/>
        </w:rPr>
        <w:t xml:space="preserve"> of this ISO OATT.  The scope of an expedited dispute resolution proceeding shall be limited to the subject matter of the Transmissio</w:t>
      </w:r>
      <w:r>
        <w:rPr>
          <w:bCs/>
        </w:rPr>
        <w:t>n Customer’s prior settlement challenge.  Transmission Customer challenges regarding Generator, tie-line, sub-zone Load, and LSE bus metering data shall not be eligible for formal dispute resolution proceedings under this ISO OATT.  To ensure consistent tr</w:t>
      </w:r>
      <w:r>
        <w:rPr>
          <w:bCs/>
        </w:rPr>
        <w:t>eatment of disputes, separate requests for expedited dispute resolution regarding the same issue and the same service month or months may be resolved on a consolidated basis, consistent with applicable confidentiality requirements.</w:t>
      </w:r>
    </w:p>
    <w:p w:rsidR="009475FA" w:rsidRDefault="00BA70F1">
      <w:pPr>
        <w:pStyle w:val="Heading4"/>
      </w:pPr>
      <w:bookmarkStart w:id="24" w:name="_Toc261444398"/>
      <w:r>
        <w:t>2.7.4.3.2</w:t>
      </w:r>
      <w:r>
        <w:tab/>
        <w:t xml:space="preserve">Initiation of </w:t>
      </w:r>
      <w:r>
        <w:t>Expedited Dispute Resolution Proceeding</w:t>
      </w:r>
      <w:bookmarkEnd w:id="24"/>
    </w:p>
    <w:p w:rsidR="009475FA" w:rsidRDefault="00BA70F1">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eleven (11) business days from the date that the ISO issues a f</w:t>
      </w:r>
      <w:r>
        <w:rPr>
          <w:bCs/>
        </w:rPr>
        <w:t xml:space="preserve">inal, written determination regarding a Transmission Customer settlement challenge pursuant to Section </w:t>
      </w:r>
      <w:r>
        <w:t>2.7.4.2.2</w:t>
      </w:r>
      <w:r>
        <w:rPr>
          <w:bCs/>
        </w:rPr>
        <w:t xml:space="preserve"> of this ISO OATT.  A Transmission Customer’s written request for expedited dispute resolution shall contain: (i) the name of the Transmission C</w:t>
      </w:r>
      <w:r>
        <w:rPr>
          <w:bCs/>
        </w:rPr>
        <w:t>ustomer making the request, (ii) an indication of other potentially affected parties, to the extent known, (iii) an estimate of the amount in controversy, (iv) a description of the Transmission Customer’s claim with sufficient detail to enable the ISO to d</w:t>
      </w:r>
      <w:r>
        <w:rPr>
          <w:bCs/>
        </w:rPr>
        <w:t>etermine whether the claim is within the subject matter of a settlement challenge previously submitted by the Transmission Customer, (v) copies of the settlement challenge materials previously submitted by the Transmission Customer to the ISO, and (vi) cit</w:t>
      </w:r>
      <w:r>
        <w:rPr>
          <w:bCs/>
        </w:rPr>
        <w:t>ations to the ISO Tariffs and other relevant materials upon which the Transmission Customer’s settlement challenge relies.</w:t>
      </w:r>
    </w:p>
    <w:p w:rsidR="009475FA" w:rsidRDefault="00BA70F1">
      <w:pPr>
        <w:pStyle w:val="Bodypara"/>
      </w:pPr>
      <w:r>
        <w:rPr>
          <w:bCs/>
        </w:rPr>
        <w:t xml:space="preserve">The </w:t>
      </w:r>
      <w:r>
        <w:t>ISO</w:t>
      </w:r>
      <w:r>
        <w:rPr>
          <w:bCs/>
        </w:rPr>
        <w:t xml:space="preserve"> Chief Financial Officer shall acknowledge in writing receipt of the Transmission Customer’s request to initiate an expedited </w:t>
      </w:r>
      <w:r>
        <w:rPr>
          <w:bCs/>
        </w:rPr>
        <w:t>dispute resolution proceeding.  If the ISO determines that the proceeding would be likely to aid in the resolution of the dispute, the ISO shall accept the Transmission Customer’s request and provide written notice of the proceeding to all Transmission Cus</w:t>
      </w:r>
      <w:r>
        <w:rPr>
          <w:bCs/>
        </w:rPr>
        <w:t>tomers through the ordinary means of communication for settlement issues.  The ISO shall provide written notice to the Transmission Customer in the event that the ISO declines its request for expedited dispute resolution.</w:t>
      </w:r>
    </w:p>
    <w:p w:rsidR="009475FA" w:rsidRDefault="00BA70F1">
      <w:pPr>
        <w:pStyle w:val="Heading4"/>
      </w:pPr>
      <w:bookmarkStart w:id="25" w:name="_Toc261444399"/>
      <w:r>
        <w:t>2.7.4.3.3</w:t>
      </w:r>
      <w:r>
        <w:tab/>
        <w:t>Participation by Other I</w:t>
      </w:r>
      <w:r>
        <w:t>nterested Transmission Customers</w:t>
      </w:r>
      <w:bookmarkEnd w:id="25"/>
    </w:p>
    <w:p w:rsidR="009475FA" w:rsidRDefault="00BA70F1">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Customer settlement challenge must have previously raised the issue in a settlement challenge consistent with the requirements of Section </w:t>
      </w:r>
      <w:r>
        <w:t>2.</w:t>
      </w:r>
      <w:r>
        <w:t>7.4.2.1</w:t>
      </w:r>
      <w:r>
        <w:rPr>
          <w:bCs/>
        </w:rPr>
        <w:t xml:space="preserve"> of this ISO OATT.  To participate, such Transmission Customer shall submit to the ISO Chief Financial Officer a written request to participate that meets the requirements for an initiating request for expedited dispute resolution within eleven (11)</w:t>
      </w:r>
      <w:r>
        <w:rPr>
          <w:bCs/>
        </w:rPr>
        <w:t xml:space="preserve"> business days from the date that the ISO issues notice of the expedited dispute resolution proceeding.  If the ISO determines that the Transmission Customer has met the requirements of this Section </w:t>
      </w:r>
      <w:r>
        <w:t>2.7.4.3.3</w:t>
      </w:r>
      <w:r>
        <w:rPr>
          <w:bCs/>
        </w:rPr>
        <w:t>, the ISO will accept the Transmission Customer’</w:t>
      </w:r>
      <w:r>
        <w:rPr>
          <w:bCs/>
        </w:rPr>
        <w:t xml:space="preserve">s request to participate in the dispute resolution proceeding. </w:t>
      </w:r>
    </w:p>
    <w:p w:rsidR="009475FA" w:rsidRDefault="00BA70F1">
      <w:pPr>
        <w:pStyle w:val="Heading4"/>
      </w:pPr>
      <w:bookmarkStart w:id="26" w:name="_Toc261444400"/>
      <w:r>
        <w:t>2.7.4.3.4</w:t>
      </w:r>
      <w:r>
        <w:tab/>
        <w:t>Selection of a Neutral</w:t>
      </w:r>
      <w:bookmarkEnd w:id="26"/>
    </w:p>
    <w:p w:rsidR="009475FA" w:rsidRDefault="00BA70F1">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w:t>
      </w:r>
      <w:r>
        <w:rPr>
          <w:bCs/>
        </w:rPr>
        <w:t xml:space="preserve">ailable neutral is found.  To the extent possible, the neutral shall be knowledgeable in electric utility matters, including electric transmission and bulk power issues and the financial settlement of electric markets.  </w:t>
      </w:r>
    </w:p>
    <w:p w:rsidR="009475FA" w:rsidRDefault="00BA70F1">
      <w:pPr>
        <w:pStyle w:val="Bodypara"/>
      </w:pPr>
      <w:r>
        <w:rPr>
          <w:bCs/>
        </w:rPr>
        <w:t xml:space="preserve">No person shall be eligible to act </w:t>
      </w:r>
      <w:r>
        <w:rPr>
          <w:bCs/>
        </w:rPr>
        <w:t xml:space="preserve">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t>
      </w:r>
      <w:r>
        <w:rPr>
          <w:bCs/>
        </w:rPr>
        <w:t xml:space="preserve">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w:t>
      </w:r>
      <w:r>
        <w:rPr>
          <w:bCs/>
        </w:rPr>
        <w:t xml:space="preserve">  </w:t>
      </w:r>
    </w:p>
    <w:p w:rsidR="009475FA" w:rsidRDefault="00BA70F1">
      <w:pPr>
        <w:pStyle w:val="Heading4"/>
      </w:pPr>
      <w:bookmarkStart w:id="27" w:name="_Toc261444401"/>
      <w:r>
        <w:t>2.7.4.3.5</w:t>
      </w:r>
      <w:r>
        <w:tab/>
        <w:t>Conduct of the Expedited Dispute Resolution Proceeding</w:t>
      </w:r>
      <w:bookmarkEnd w:id="27"/>
    </w:p>
    <w:p w:rsidR="009475FA" w:rsidRDefault="00BA70F1">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the neutral sha</w:t>
      </w:r>
      <w:r>
        <w:rPr>
          <w:bCs/>
        </w:rPr>
        <w:t xml:space="preserve">ll have discretion over the conduct of the dispute resolution process including, but not limited to: (i) requiring the disputing parties to meet for discussion, (ii) allowing or requiring written submissions, (iii) establishing guidelines for such written </w:t>
      </w:r>
      <w:r>
        <w:rPr>
          <w:bCs/>
        </w:rPr>
        <w:t>submissions, and (iv) allowing the participation of Transmission Customers that have requested an opportunity to be heard.</w:t>
      </w:r>
    </w:p>
    <w:p w:rsidR="009475FA" w:rsidRDefault="00BA70F1">
      <w:pPr>
        <w:pStyle w:val="Bodypara"/>
        <w:rPr>
          <w:bCs/>
        </w:rPr>
      </w:pPr>
      <w:r>
        <w:rPr>
          <w:bCs/>
        </w:rPr>
        <w:t>Within sixty (60) days of the appointment of the neutral, if the dispute has not been resolved, the neutral shall provide the disputi</w:t>
      </w:r>
      <w:r>
        <w:rPr>
          <w:bCs/>
        </w:rPr>
        <w:t>ng parties with a written, confidential, and non-binding recommendation for resolving the dispute.  The disputing parties shall then meet in an attempt to resolve the dispute in light of the neutral’s recommendation.  If the disputing parties have not reso</w:t>
      </w:r>
      <w:r>
        <w:rPr>
          <w:bCs/>
        </w:rPr>
        <w:t xml:space="preserve">lved the dispute within ten (10) days of receipt of the neutral’s recommendation, the dispute resolution process will be concluded. </w:t>
      </w:r>
    </w:p>
    <w:p w:rsidR="009475FA" w:rsidRDefault="00BA70F1">
      <w:pPr>
        <w:pStyle w:val="Bodypara"/>
      </w:pPr>
      <w:r>
        <w:rPr>
          <w:bCs/>
        </w:rPr>
        <w:t>Neither the recommendation of the neutral, nor statements made by the neutral or any party, including the ISO, or their rep</w:t>
      </w:r>
      <w:r>
        <w:rPr>
          <w:bCs/>
        </w:rPr>
        <w:t xml:space="preserve">resentatives, nor written submissions </w:t>
      </w:r>
      <w:r>
        <w:t>prepared</w:t>
      </w:r>
      <w:r>
        <w:rPr>
          <w:bCs/>
        </w:rPr>
        <w:t xml:space="preserve"> for the dispute resolution process, shall be admissible for any purpose in any proceeding.</w:t>
      </w:r>
    </w:p>
    <w:p w:rsidR="009475FA" w:rsidRDefault="00BA70F1">
      <w:pPr>
        <w:pStyle w:val="Heading4"/>
      </w:pPr>
      <w:bookmarkStart w:id="28" w:name="_Toc261444402"/>
      <w:r>
        <w:t>2.7.4.3.6</w:t>
      </w:r>
      <w:r>
        <w:tab/>
        <w:t>Allocation of Costs</w:t>
      </w:r>
      <w:bookmarkEnd w:id="28"/>
      <w:r>
        <w:t xml:space="preserve"> </w:t>
      </w:r>
    </w:p>
    <w:p w:rsidR="009475FA" w:rsidRDefault="00BA70F1">
      <w:pPr>
        <w:pStyle w:val="Bodypara"/>
      </w:pPr>
      <w:r>
        <w:rPr>
          <w:bCs/>
        </w:rPr>
        <w:t xml:space="preserve">Each party to a dispute resolution proceeding shall be responsible for its own costs </w:t>
      </w:r>
      <w:r>
        <w:t>in</w:t>
      </w:r>
      <w:r>
        <w:t>curred</w:t>
      </w:r>
      <w:r>
        <w:rPr>
          <w:bCs/>
        </w:rPr>
        <w:t xml:space="preserve"> during the process and for a pro rata share of the costs of a neutral. </w:t>
      </w:r>
    </w:p>
    <w:p w:rsidR="009475FA" w:rsidRDefault="00BA70F1">
      <w:pPr>
        <w:pStyle w:val="Heading3"/>
      </w:pPr>
      <w:bookmarkStart w:id="29" w:name="_Toc261444403"/>
      <w:r>
        <w:t>2.7.5</w:t>
      </w:r>
      <w:r>
        <w:tab/>
        <w:t>Customer Default</w:t>
      </w:r>
      <w:bookmarkEnd w:id="29"/>
    </w:p>
    <w:p w:rsidR="009475FA" w:rsidRDefault="00BA70F1">
      <w:pPr>
        <w:pStyle w:val="Heading4"/>
      </w:pPr>
      <w:bookmarkStart w:id="30" w:name="_Toc261444404"/>
      <w:r>
        <w:t>2.7.5.1</w:t>
      </w:r>
      <w:r>
        <w:tab/>
        <w:t>Events of Default</w:t>
      </w:r>
      <w:bookmarkEnd w:id="30"/>
    </w:p>
    <w:p w:rsidR="009475FA" w:rsidRDefault="00BA70F1">
      <w:pPr>
        <w:pStyle w:val="Bodypara"/>
      </w:pPr>
      <w:r>
        <w:t xml:space="preserve">A Transmission Customer shall be in default, upon written notice from the ISO, in the event that: (i) the Transmission Customer </w:t>
      </w:r>
      <w:r>
        <w:t>fails to timely make a payment due to the ISO, regardless of whether such payment obligation is in dispute, (ii) the Transmission Customer fails to comply with the ISO’s creditworthiness requirements, or (iii) the Transmission Customer fails to cure its de</w:t>
      </w:r>
      <w:r>
        <w:t>fault in another independent system operator/regional transmission organization market.  In the event of a billing dispute between the ISO and the Transmission Customer, the ISO will continue to provide service under the Service Agreement as long as the Tr</w:t>
      </w:r>
      <w:r>
        <w:t>ansmission Customer continues to make all payments.</w:t>
      </w:r>
    </w:p>
    <w:p w:rsidR="009475FA" w:rsidRDefault="00BA70F1">
      <w:pPr>
        <w:pStyle w:val="Heading4"/>
      </w:pPr>
      <w:bookmarkStart w:id="31" w:name="_Toc261444405"/>
      <w:r>
        <w:t>2.7.5.2</w:t>
      </w:r>
      <w:r>
        <w:tab/>
        <w:t>Cure</w:t>
      </w:r>
      <w:bookmarkEnd w:id="31"/>
    </w:p>
    <w:p w:rsidR="009475FA" w:rsidRDefault="00BA70F1">
      <w:pPr>
        <w:pStyle w:val="Bodypara"/>
      </w:pPr>
      <w:r>
        <w:t>Unless otherwise provided in Attachment W to this OATT, a Transmission Customer shall have one (1) business day to cure a default resulting from its failure to timely make a payment due to th</w:t>
      </w:r>
      <w:r>
        <w:t xml:space="preserve">e ISO.  A Transmission Customer shall have two (2) business days to cure a default resulting from its failure to comply with the ISO’s creditworthiness requirements; </w:t>
      </w:r>
      <w:r>
        <w:rPr>
          <w:i/>
          <w:iCs/>
        </w:rPr>
        <w:t>provided, however</w:t>
      </w:r>
      <w:r>
        <w:t xml:space="preserve">, that a Transmission Customer shall have one (1) business day to cure a </w:t>
      </w:r>
      <w:r>
        <w:t xml:space="preserve">default resulting from its failure to comply with the ISO’s creditworthiness requirements following termination of a Prepayment Agreement.  </w:t>
      </w:r>
    </w:p>
    <w:p w:rsidR="009475FA" w:rsidRDefault="00BA70F1">
      <w:pPr>
        <w:pStyle w:val="Heading4"/>
      </w:pPr>
      <w:bookmarkStart w:id="32" w:name="_Toc261444406"/>
      <w:r>
        <w:t>2.7.5.3</w:t>
      </w:r>
      <w:r>
        <w:tab/>
        <w:t>ISO Remedies</w:t>
      </w:r>
      <w:bookmarkEnd w:id="32"/>
    </w:p>
    <w:p w:rsidR="009475FA" w:rsidRDefault="00BA70F1">
      <w:pPr>
        <w:pStyle w:val="Bodypara"/>
      </w:pPr>
      <w:r>
        <w:t>In addition to any and all other remedies available under the ISO Tariffs or pursuant to law o</w:t>
      </w:r>
      <w:r>
        <w:t>r equity, the ISO shall have the following remedies:</w:t>
      </w:r>
    </w:p>
    <w:p w:rsidR="009475FA" w:rsidRDefault="00BA70F1">
      <w:pPr>
        <w:pStyle w:val="romannumeralpara"/>
      </w:pPr>
      <w:r>
        <w:rPr>
          <w:b/>
        </w:rPr>
        <w:t>(i)</w:t>
      </w:r>
      <w:r>
        <w:rPr>
          <w:b/>
        </w:rPr>
        <w:tab/>
        <w:t xml:space="preserve">Event of Default.  </w:t>
      </w:r>
      <w:r>
        <w:t>Upon an event of default and expiration of the relevant cure period, the ISO may terminate service to a Transmission Customer immediately upon notice to the Commission</w:t>
      </w:r>
      <w:r w:rsidRPr="00FD0D47">
        <w:t>.  In additio</w:t>
      </w:r>
      <w:r w:rsidRPr="00FD0D47">
        <w:t>n, in the event of a payment default, the ISO shall have the sole and exclusive right to initiate debt collection procedures</w:t>
      </w:r>
      <w:r>
        <w:t xml:space="preserve"> against a Transmission Customer on account of any such default.  The process for declaring and recovering bad debt losses is set fo</w:t>
      </w:r>
      <w:r>
        <w:t xml:space="preserve">rth in Attachment U to this OATT.  </w:t>
      </w:r>
    </w:p>
    <w:p w:rsidR="009475FA" w:rsidRDefault="00BA70F1">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w:t>
      </w:r>
      <w:r>
        <w:rPr>
          <w:bCs/>
        </w:rPr>
        <w:t xml:space="preserve">O Services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w:t>
      </w:r>
      <w:r>
        <w:rPr>
          <w:bCs/>
        </w:rPr>
        <w:t>mer requiring payment within two (2) business days from the invoice date for initial settlements representing the sum of that Billing Period’s daily billing data available as of the invoice date, and/or (2) require such Transmission Customer to prepay esti</w:t>
      </w:r>
      <w:r>
        <w:rPr>
          <w:bCs/>
        </w:rPr>
        <w:t>mated charges weekly for up to twelve months in accordance with ISO Procedures.</w:t>
      </w:r>
    </w:p>
    <w:p w:rsidR="009475FA" w:rsidRDefault="00BA70F1">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w:t>
      </w:r>
      <w:r>
        <w:t xml:space="preserve">et, then the ISO shall have the right to:  (1) demand immediate payment by the Transmission Customer to the ISO for any amounts owed as of the date of the demand, and/or (2) </w:t>
      </w:r>
      <w:r>
        <w:rPr>
          <w:bCs/>
        </w:rPr>
        <w:t>require the Transmission Customer to prepay estimated charges weekly for a minimum</w:t>
      </w:r>
      <w:r>
        <w:rPr>
          <w:bCs/>
        </w:rPr>
        <w:t xml:space="preserve"> of twelve months in accordance with ISO Procedures, and/or (3) reduce or eliminate the amount of the Transmission Customer’s Unsecured Credit.</w:t>
      </w:r>
    </w:p>
    <w:p w:rsidR="009475FA" w:rsidRDefault="00BA70F1">
      <w:pPr>
        <w:pStyle w:val="romannumeralpara"/>
      </w:pPr>
      <w:r>
        <w:rPr>
          <w:b/>
          <w:bCs/>
        </w:rPr>
        <w:t>(iv)</w:t>
      </w:r>
      <w:r>
        <w:rPr>
          <w:b/>
          <w:bCs/>
        </w:rPr>
        <w:tab/>
        <w:t xml:space="preserve">Two Late Payments. </w:t>
      </w:r>
      <w:r>
        <w:rPr>
          <w:bCs/>
        </w:rPr>
        <w:t xml:space="preserve"> In the event a Transmission Customer fails to pay its invoice when due on two occasions</w:t>
      </w:r>
      <w:r>
        <w:rPr>
          <w:bCs/>
        </w:rPr>
        <w:t xml:space="preserve">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w:t>
      </w:r>
      <w:r>
        <w:rPr>
          <w:bCs/>
        </w:rPr>
        <w:t>onths, and/or (2) reduce or eliminate the amount of the Transmission Customer’s Unsecured Credit for up to twelve (12) months.</w:t>
      </w:r>
    </w:p>
    <w:p w:rsidR="009475FA" w:rsidRDefault="00BA70F1">
      <w:pPr>
        <w:pStyle w:val="Heading4"/>
      </w:pPr>
      <w:bookmarkStart w:id="33" w:name="_DV_M27"/>
      <w:bookmarkStart w:id="34" w:name="_Toc261444407"/>
      <w:bookmarkEnd w:id="33"/>
      <w:r>
        <w:t>2.7.5.4</w:t>
      </w:r>
      <w:r>
        <w:tab/>
        <w:t>Notice to Transmission Customers</w:t>
      </w:r>
      <w:bookmarkEnd w:id="34"/>
    </w:p>
    <w:p w:rsidR="009475FA" w:rsidRPr="00CE5A3D" w:rsidRDefault="00BA70F1" w:rsidP="00373B13">
      <w:pPr>
        <w:pStyle w:val="Bodypara"/>
        <w:rPr>
          <w:rFonts w:cs="Arial"/>
          <w:szCs w:val="24"/>
        </w:rPr>
      </w:pPr>
      <w:r>
        <w:t>The ISO shall notify all Transmission Customers in the event that a Transmission Custome</w:t>
      </w:r>
      <w:r>
        <w:t xml:space="preserve">r is in default and shall also notify all Transmission Customers in the event that the Transmission Customer subsequently cures the default or the ISO terminates the Transmission Customer due to the </w:t>
      </w:r>
      <w:r w:rsidRPr="00CE5A3D">
        <w:t xml:space="preserve">default.  </w:t>
      </w:r>
      <w:r w:rsidRPr="00CE5A3D">
        <w:rPr>
          <w:rFonts w:cs="Arial"/>
          <w:szCs w:val="24"/>
        </w:rPr>
        <w:t xml:space="preserve">In the event of a payment default or creditworthiness default, the ISO will disclose in its notice to Transmission Customers the approximate amount of the default as follows:  </w:t>
      </w:r>
    </w:p>
    <w:p w:rsidR="009475FA" w:rsidRPr="00CE5A3D" w:rsidRDefault="00BA70F1"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6D5D2E" w:rsidTr="009475FA">
        <w:tc>
          <w:tcPr>
            <w:tcW w:w="2880" w:type="dxa"/>
          </w:tcPr>
          <w:p w:rsidR="009475FA" w:rsidRPr="00CE5A3D" w:rsidRDefault="00BA70F1" w:rsidP="009475FA">
            <w:pPr>
              <w:jc w:val="center"/>
              <w:rPr>
                <w:szCs w:val="24"/>
              </w:rPr>
            </w:pPr>
            <w:r w:rsidRPr="00CE5A3D">
              <w:rPr>
                <w:szCs w:val="24"/>
              </w:rPr>
              <w:t xml:space="preserve">Default Amount </w:t>
            </w:r>
          </w:p>
        </w:tc>
        <w:tc>
          <w:tcPr>
            <w:tcW w:w="3720" w:type="dxa"/>
            <w:gridSpan w:val="2"/>
          </w:tcPr>
          <w:p w:rsidR="009475FA" w:rsidRPr="00CE5A3D" w:rsidRDefault="00BA70F1" w:rsidP="009475FA">
            <w:pPr>
              <w:jc w:val="center"/>
              <w:rPr>
                <w:szCs w:val="24"/>
              </w:rPr>
            </w:pPr>
            <w:r w:rsidRPr="00CE5A3D">
              <w:rPr>
                <w:szCs w:val="24"/>
              </w:rPr>
              <w:t>Type of Default</w:t>
            </w:r>
          </w:p>
        </w:tc>
      </w:tr>
      <w:tr w:rsidR="006D5D2E" w:rsidTr="009475FA">
        <w:tc>
          <w:tcPr>
            <w:tcW w:w="2880" w:type="dxa"/>
          </w:tcPr>
          <w:p w:rsidR="009475FA" w:rsidRPr="00CE5A3D" w:rsidRDefault="00BA70F1" w:rsidP="009475FA">
            <w:pPr>
              <w:jc w:val="center"/>
              <w:rPr>
                <w:szCs w:val="24"/>
              </w:rPr>
            </w:pPr>
            <w:r w:rsidRPr="00CE5A3D">
              <w:rPr>
                <w:szCs w:val="24"/>
              </w:rPr>
              <w:t>Range</w:t>
            </w:r>
          </w:p>
        </w:tc>
        <w:tc>
          <w:tcPr>
            <w:tcW w:w="1864" w:type="dxa"/>
          </w:tcPr>
          <w:p w:rsidR="009475FA" w:rsidRPr="00CE5A3D" w:rsidRDefault="00BA70F1" w:rsidP="009475FA">
            <w:pPr>
              <w:jc w:val="center"/>
              <w:rPr>
                <w:szCs w:val="24"/>
              </w:rPr>
            </w:pPr>
            <w:r w:rsidRPr="00CE5A3D">
              <w:rPr>
                <w:szCs w:val="24"/>
              </w:rPr>
              <w:t>Payment</w:t>
            </w:r>
          </w:p>
        </w:tc>
        <w:tc>
          <w:tcPr>
            <w:tcW w:w="1856" w:type="dxa"/>
          </w:tcPr>
          <w:p w:rsidR="009475FA" w:rsidRPr="00CE5A3D" w:rsidRDefault="00BA70F1" w:rsidP="009475FA">
            <w:pPr>
              <w:jc w:val="center"/>
              <w:rPr>
                <w:szCs w:val="24"/>
              </w:rPr>
            </w:pPr>
            <w:r w:rsidRPr="00CE5A3D">
              <w:rPr>
                <w:szCs w:val="24"/>
              </w:rPr>
              <w:t>Creditworthiness</w:t>
            </w:r>
          </w:p>
        </w:tc>
      </w:tr>
      <w:tr w:rsidR="006D5D2E" w:rsidTr="009475FA">
        <w:tc>
          <w:tcPr>
            <w:tcW w:w="2880" w:type="dxa"/>
          </w:tcPr>
          <w:p w:rsidR="009475FA" w:rsidRPr="00CE5A3D" w:rsidRDefault="00BA70F1" w:rsidP="009475FA">
            <w:pPr>
              <w:rPr>
                <w:szCs w:val="24"/>
              </w:rPr>
            </w:pPr>
            <w:r w:rsidRPr="00CE5A3D">
              <w:rPr>
                <w:szCs w:val="24"/>
              </w:rPr>
              <w:t xml:space="preserve">$0 to </w:t>
            </w:r>
            <w:r w:rsidRPr="00CE5A3D">
              <w:rPr>
                <w:szCs w:val="24"/>
              </w:rPr>
              <w:t>$100,000</w:t>
            </w:r>
          </w:p>
        </w:tc>
        <w:tc>
          <w:tcPr>
            <w:tcW w:w="1864" w:type="dxa"/>
          </w:tcPr>
          <w:p w:rsidR="009475FA" w:rsidRPr="00CE5A3D" w:rsidRDefault="00BA70F1" w:rsidP="009475FA">
            <w:pPr>
              <w:rPr>
                <w:szCs w:val="24"/>
              </w:rPr>
            </w:pPr>
          </w:p>
        </w:tc>
        <w:tc>
          <w:tcPr>
            <w:tcW w:w="1856" w:type="dxa"/>
          </w:tcPr>
          <w:p w:rsidR="009475FA" w:rsidRPr="00CE5A3D" w:rsidRDefault="00BA70F1" w:rsidP="009475FA">
            <w:pPr>
              <w:rPr>
                <w:szCs w:val="24"/>
              </w:rPr>
            </w:pPr>
          </w:p>
        </w:tc>
      </w:tr>
      <w:tr w:rsidR="006D5D2E" w:rsidTr="009475FA">
        <w:tc>
          <w:tcPr>
            <w:tcW w:w="2880" w:type="dxa"/>
          </w:tcPr>
          <w:p w:rsidR="009475FA" w:rsidRPr="00CE5A3D" w:rsidRDefault="00BA70F1" w:rsidP="009475FA">
            <w:pPr>
              <w:rPr>
                <w:szCs w:val="24"/>
              </w:rPr>
            </w:pPr>
            <w:r w:rsidRPr="00CE5A3D">
              <w:rPr>
                <w:szCs w:val="24"/>
              </w:rPr>
              <w:t>$100,001 to $500,000</w:t>
            </w:r>
          </w:p>
        </w:tc>
        <w:tc>
          <w:tcPr>
            <w:tcW w:w="1864" w:type="dxa"/>
          </w:tcPr>
          <w:p w:rsidR="009475FA" w:rsidRPr="00CE5A3D" w:rsidRDefault="00BA70F1" w:rsidP="009475FA">
            <w:pPr>
              <w:rPr>
                <w:szCs w:val="24"/>
              </w:rPr>
            </w:pPr>
          </w:p>
        </w:tc>
        <w:tc>
          <w:tcPr>
            <w:tcW w:w="1856" w:type="dxa"/>
          </w:tcPr>
          <w:p w:rsidR="009475FA" w:rsidRPr="00CE5A3D" w:rsidRDefault="00BA70F1" w:rsidP="009475FA">
            <w:pPr>
              <w:rPr>
                <w:szCs w:val="24"/>
              </w:rPr>
            </w:pPr>
          </w:p>
        </w:tc>
      </w:tr>
      <w:tr w:rsidR="006D5D2E" w:rsidTr="009475FA">
        <w:tc>
          <w:tcPr>
            <w:tcW w:w="2880" w:type="dxa"/>
          </w:tcPr>
          <w:p w:rsidR="009475FA" w:rsidRPr="00CE5A3D" w:rsidRDefault="00BA70F1" w:rsidP="009475FA">
            <w:pPr>
              <w:rPr>
                <w:szCs w:val="24"/>
              </w:rPr>
            </w:pPr>
            <w:r w:rsidRPr="00CE5A3D">
              <w:rPr>
                <w:szCs w:val="24"/>
              </w:rPr>
              <w:t>$500,001 to $1,000,000</w:t>
            </w:r>
          </w:p>
        </w:tc>
        <w:tc>
          <w:tcPr>
            <w:tcW w:w="1864" w:type="dxa"/>
          </w:tcPr>
          <w:p w:rsidR="009475FA" w:rsidRPr="00CE5A3D" w:rsidRDefault="00BA70F1" w:rsidP="009475FA">
            <w:pPr>
              <w:rPr>
                <w:szCs w:val="24"/>
              </w:rPr>
            </w:pPr>
          </w:p>
        </w:tc>
        <w:tc>
          <w:tcPr>
            <w:tcW w:w="1856" w:type="dxa"/>
          </w:tcPr>
          <w:p w:rsidR="009475FA" w:rsidRPr="00CE5A3D" w:rsidRDefault="00BA70F1" w:rsidP="009475FA">
            <w:pPr>
              <w:rPr>
                <w:szCs w:val="24"/>
              </w:rPr>
            </w:pPr>
          </w:p>
        </w:tc>
      </w:tr>
      <w:tr w:rsidR="006D5D2E" w:rsidTr="009475FA">
        <w:tc>
          <w:tcPr>
            <w:tcW w:w="2880" w:type="dxa"/>
          </w:tcPr>
          <w:p w:rsidR="009475FA" w:rsidRPr="00CE5A3D" w:rsidRDefault="00BA70F1" w:rsidP="009475FA">
            <w:pPr>
              <w:rPr>
                <w:szCs w:val="24"/>
              </w:rPr>
            </w:pPr>
            <w:r w:rsidRPr="00CE5A3D">
              <w:rPr>
                <w:szCs w:val="24"/>
              </w:rPr>
              <w:t>$1,000,001 to $5,000,000</w:t>
            </w:r>
          </w:p>
        </w:tc>
        <w:tc>
          <w:tcPr>
            <w:tcW w:w="1864" w:type="dxa"/>
          </w:tcPr>
          <w:p w:rsidR="009475FA" w:rsidRPr="00CE5A3D" w:rsidRDefault="00BA70F1" w:rsidP="009475FA">
            <w:pPr>
              <w:rPr>
                <w:szCs w:val="24"/>
              </w:rPr>
            </w:pPr>
          </w:p>
        </w:tc>
        <w:tc>
          <w:tcPr>
            <w:tcW w:w="1856" w:type="dxa"/>
          </w:tcPr>
          <w:p w:rsidR="009475FA" w:rsidRPr="00CE5A3D" w:rsidRDefault="00BA70F1" w:rsidP="009475FA">
            <w:pPr>
              <w:rPr>
                <w:szCs w:val="24"/>
              </w:rPr>
            </w:pPr>
          </w:p>
        </w:tc>
      </w:tr>
      <w:tr w:rsidR="006D5D2E" w:rsidTr="009475FA">
        <w:tc>
          <w:tcPr>
            <w:tcW w:w="2880" w:type="dxa"/>
          </w:tcPr>
          <w:p w:rsidR="009475FA" w:rsidRPr="00CE5A3D" w:rsidRDefault="00BA70F1" w:rsidP="009475FA">
            <w:pPr>
              <w:rPr>
                <w:szCs w:val="24"/>
              </w:rPr>
            </w:pPr>
            <w:r w:rsidRPr="00CE5A3D">
              <w:rPr>
                <w:szCs w:val="24"/>
              </w:rPr>
              <w:t>$5,000,001 to $10,000,000</w:t>
            </w:r>
          </w:p>
        </w:tc>
        <w:tc>
          <w:tcPr>
            <w:tcW w:w="1864" w:type="dxa"/>
          </w:tcPr>
          <w:p w:rsidR="009475FA" w:rsidRPr="00CE5A3D" w:rsidRDefault="00BA70F1" w:rsidP="009475FA">
            <w:pPr>
              <w:rPr>
                <w:szCs w:val="24"/>
              </w:rPr>
            </w:pPr>
          </w:p>
        </w:tc>
        <w:tc>
          <w:tcPr>
            <w:tcW w:w="1856" w:type="dxa"/>
          </w:tcPr>
          <w:p w:rsidR="009475FA" w:rsidRPr="00CE5A3D" w:rsidRDefault="00BA70F1" w:rsidP="009475FA">
            <w:pPr>
              <w:rPr>
                <w:szCs w:val="24"/>
              </w:rPr>
            </w:pPr>
          </w:p>
        </w:tc>
      </w:tr>
      <w:tr w:rsidR="006D5D2E" w:rsidTr="009475FA">
        <w:tc>
          <w:tcPr>
            <w:tcW w:w="2880" w:type="dxa"/>
          </w:tcPr>
          <w:p w:rsidR="009475FA" w:rsidRPr="00CE5A3D" w:rsidRDefault="00BA70F1" w:rsidP="009475FA">
            <w:pPr>
              <w:rPr>
                <w:szCs w:val="24"/>
              </w:rPr>
            </w:pPr>
            <w:r w:rsidRPr="00CE5A3D">
              <w:rPr>
                <w:szCs w:val="24"/>
              </w:rPr>
              <w:t>&gt; $10,000,000</w:t>
            </w:r>
          </w:p>
        </w:tc>
        <w:tc>
          <w:tcPr>
            <w:tcW w:w="1864" w:type="dxa"/>
          </w:tcPr>
          <w:p w:rsidR="009475FA" w:rsidRPr="00CE5A3D" w:rsidRDefault="00BA70F1" w:rsidP="009475FA">
            <w:pPr>
              <w:rPr>
                <w:szCs w:val="24"/>
              </w:rPr>
            </w:pPr>
          </w:p>
        </w:tc>
        <w:tc>
          <w:tcPr>
            <w:tcW w:w="1856" w:type="dxa"/>
          </w:tcPr>
          <w:p w:rsidR="009475FA" w:rsidRPr="00CE5A3D" w:rsidRDefault="00BA70F1" w:rsidP="009475FA">
            <w:pPr>
              <w:rPr>
                <w:szCs w:val="24"/>
              </w:rPr>
            </w:pPr>
          </w:p>
        </w:tc>
      </w:tr>
    </w:tbl>
    <w:p w:rsidR="009475FA" w:rsidRPr="00CE5A3D" w:rsidRDefault="00BA70F1" w:rsidP="009475FA">
      <w:pPr>
        <w:rPr>
          <w:szCs w:val="24"/>
        </w:rPr>
      </w:pPr>
    </w:p>
    <w:p w:rsidR="009475FA" w:rsidRPr="00CE5A3D" w:rsidRDefault="00BA70F1">
      <w:pPr>
        <w:pStyle w:val="Bodypara"/>
      </w:pPr>
      <w:r w:rsidRPr="00CE5A3D">
        <w:rPr>
          <w:rFonts w:cs="Arial"/>
          <w:szCs w:val="24"/>
        </w:rPr>
        <w:t xml:space="preserve">In addition, in the event of a payment default, unless otherwise precluded, the ISO will also disclose the amount and </w:t>
      </w:r>
      <w:r w:rsidRPr="00CE5A3D">
        <w:rPr>
          <w:rFonts w:cs="Arial"/>
          <w:szCs w:val="24"/>
        </w:rPr>
        <w:t>type of collateral, if any, held by the ISO to secure the defaulting Transmission Customer's obligations to the ISO.</w:t>
      </w:r>
    </w:p>
    <w:p w:rsidR="009475FA" w:rsidRPr="00CE5A3D" w:rsidRDefault="00BA70F1">
      <w:pPr>
        <w:pStyle w:val="Heading3"/>
      </w:pPr>
      <w:bookmarkStart w:id="35" w:name="_DV_M28"/>
      <w:bookmarkStart w:id="36" w:name="_Toc261444408"/>
      <w:bookmarkEnd w:id="35"/>
      <w:r w:rsidRPr="00CE5A3D">
        <w:t>2.7.6</w:t>
      </w:r>
      <w:r w:rsidRPr="00CE5A3D">
        <w:tab/>
        <w:t>Stranded Costs</w:t>
      </w:r>
      <w:bookmarkEnd w:id="36"/>
    </w:p>
    <w:p w:rsidR="009475FA" w:rsidRDefault="00BA70F1">
      <w:pPr>
        <w:pStyle w:val="Bodypara"/>
        <w:rPr>
          <w:sz w:val="20"/>
        </w:rPr>
      </w:pPr>
      <w:r>
        <w:t xml:space="preserve">The Transmission Owners other than NYPA may seek to recover stranded costs from the Transmission Customer pursuant to </w:t>
      </w:r>
      <w:r>
        <w:t>this Tariff in accordance with the terms, conditions and procedures set forth in Commission Order No. 888.  However, the Transmission Owners must separately file any proposal to recover stranded costs under Section 205 of the FPA.  This provision shall not</w:t>
      </w:r>
      <w:r>
        <w:t xml:space="preserve"> supersede or otherwise affect a Transmission Owner’s right to recover stranded costs under other authority.  To the extent that LIPA’s rates for service are established by LIPA’s Board of Trustees pursuant to Article 5, Title 1</w:t>
      </w:r>
      <w:r>
        <w:noBreakHyphen/>
        <w:t>A of the New York Public Au</w:t>
      </w:r>
      <w:r>
        <w:t>thorities Law, Sections 1020</w:t>
      </w:r>
      <w:r>
        <w:noBreakHyphen/>
        <w:t>f(u) and 1020</w:t>
      </w:r>
      <w:r>
        <w:noBreakHyphen/>
        <w:t>s and are not subject to Commission and/or PSC jurisdiction, LIPA’s recovery of stranded costs will not be subject to the foregoing requirements.</w:t>
      </w:r>
    </w:p>
    <w:p w:rsidR="009475FA" w:rsidRDefault="00BA70F1" w:rsidP="00DE0208">
      <w:pPr>
        <w:pStyle w:val="Bodypara"/>
      </w:pPr>
      <w:r>
        <w:t xml:space="preserve">Upon filing of a proposal to recover stranded costs under the FPA, </w:t>
      </w:r>
      <w:r>
        <w:t>the Transmission Owner shall immediately provide the ISO with a copy of the appropriate rate schedule which will be incorporated as a new Stranded Service and Point</w:t>
      </w:r>
      <w:r>
        <w:noBreakHyphen/>
        <w:t>to</w:t>
      </w:r>
      <w:r>
        <w:noBreakHyphen/>
        <w:t>Point Service Customers and remit the collected amounts to the applicable Transmission O</w:t>
      </w:r>
      <w:r>
        <w:t>wner(s).  Any SIRC rate schedule developed by LIPA under this Tariff will be effective upon receipt by the ISO, subject to any applicable laws and orders.</w:t>
      </w:r>
    </w:p>
    <w:sectPr w:rsidR="009475FA" w:rsidSect="002073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70F1">
      <w:r>
        <w:separator/>
      </w:r>
    </w:p>
  </w:endnote>
  <w:endnote w:type="continuationSeparator" w:id="0">
    <w:p w:rsidR="00000000" w:rsidRDefault="00BA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2E" w:rsidRDefault="00BA70F1">
    <w:pPr>
      <w:jc w:val="right"/>
      <w:rPr>
        <w:rFonts w:ascii="Arial" w:eastAsia="Arial" w:hAnsi="Arial" w:cs="Arial"/>
        <w:color w:val="000000"/>
        <w:sz w:val="16"/>
      </w:rPr>
    </w:pPr>
    <w:r>
      <w:rPr>
        <w:rFonts w:ascii="Arial" w:eastAsia="Arial" w:hAnsi="Arial" w:cs="Arial"/>
        <w:color w:val="000000"/>
        <w:sz w:val="16"/>
      </w:rPr>
      <w:t>Effective Date: 4/1/2016 - Docket</w:t>
    </w:r>
    <w:r>
      <w:rPr>
        <w:rFonts w:ascii="Arial" w:eastAsia="Arial" w:hAnsi="Arial" w:cs="Arial"/>
        <w:color w:val="000000"/>
        <w:sz w:val="16"/>
      </w:rPr>
      <w:t xml:space="preserve">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2E" w:rsidRDefault="00BA70F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2E" w:rsidRDefault="00BA70F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70F1">
      <w:r>
        <w:separator/>
      </w:r>
    </w:p>
  </w:footnote>
  <w:footnote w:type="continuationSeparator" w:id="0">
    <w:p w:rsidR="00000000" w:rsidRDefault="00BA7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2E" w:rsidRDefault="00BA70F1">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2E" w:rsidRDefault="00BA70F1">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2E" w:rsidRDefault="00BA70F1">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C5EC6CE">
      <w:start w:val="1"/>
      <w:numFmt w:val="bullet"/>
      <w:pStyle w:val="Bulletpara"/>
      <w:lvlText w:val=""/>
      <w:lvlJc w:val="left"/>
      <w:pPr>
        <w:tabs>
          <w:tab w:val="num" w:pos="720"/>
        </w:tabs>
        <w:ind w:left="720" w:hanging="360"/>
      </w:pPr>
      <w:rPr>
        <w:rFonts w:ascii="Symbol" w:hAnsi="Symbol" w:hint="default"/>
      </w:rPr>
    </w:lvl>
    <w:lvl w:ilvl="1" w:tplc="7F8A385C" w:tentative="1">
      <w:start w:val="1"/>
      <w:numFmt w:val="bullet"/>
      <w:lvlText w:val="o"/>
      <w:lvlJc w:val="left"/>
      <w:pPr>
        <w:tabs>
          <w:tab w:val="num" w:pos="1440"/>
        </w:tabs>
        <w:ind w:left="1440" w:hanging="360"/>
      </w:pPr>
      <w:rPr>
        <w:rFonts w:ascii="Courier New" w:hAnsi="Courier New" w:cs="Courier New" w:hint="default"/>
      </w:rPr>
    </w:lvl>
    <w:lvl w:ilvl="2" w:tplc="8632B8E6" w:tentative="1">
      <w:start w:val="1"/>
      <w:numFmt w:val="bullet"/>
      <w:lvlText w:val=""/>
      <w:lvlJc w:val="left"/>
      <w:pPr>
        <w:tabs>
          <w:tab w:val="num" w:pos="2160"/>
        </w:tabs>
        <w:ind w:left="2160" w:hanging="360"/>
      </w:pPr>
      <w:rPr>
        <w:rFonts w:ascii="Wingdings" w:hAnsi="Wingdings" w:hint="default"/>
      </w:rPr>
    </w:lvl>
    <w:lvl w:ilvl="3" w:tplc="EAC2A2E8" w:tentative="1">
      <w:start w:val="1"/>
      <w:numFmt w:val="bullet"/>
      <w:lvlText w:val=""/>
      <w:lvlJc w:val="left"/>
      <w:pPr>
        <w:tabs>
          <w:tab w:val="num" w:pos="2880"/>
        </w:tabs>
        <w:ind w:left="2880" w:hanging="360"/>
      </w:pPr>
      <w:rPr>
        <w:rFonts w:ascii="Symbol" w:hAnsi="Symbol" w:hint="default"/>
      </w:rPr>
    </w:lvl>
    <w:lvl w:ilvl="4" w:tplc="22AA4CF0" w:tentative="1">
      <w:start w:val="1"/>
      <w:numFmt w:val="bullet"/>
      <w:lvlText w:val="o"/>
      <w:lvlJc w:val="left"/>
      <w:pPr>
        <w:tabs>
          <w:tab w:val="num" w:pos="3600"/>
        </w:tabs>
        <w:ind w:left="3600" w:hanging="360"/>
      </w:pPr>
      <w:rPr>
        <w:rFonts w:ascii="Courier New" w:hAnsi="Courier New" w:cs="Courier New" w:hint="default"/>
      </w:rPr>
    </w:lvl>
    <w:lvl w:ilvl="5" w:tplc="F9ACF81C" w:tentative="1">
      <w:start w:val="1"/>
      <w:numFmt w:val="bullet"/>
      <w:lvlText w:val=""/>
      <w:lvlJc w:val="left"/>
      <w:pPr>
        <w:tabs>
          <w:tab w:val="num" w:pos="4320"/>
        </w:tabs>
        <w:ind w:left="4320" w:hanging="360"/>
      </w:pPr>
      <w:rPr>
        <w:rFonts w:ascii="Wingdings" w:hAnsi="Wingdings" w:hint="default"/>
      </w:rPr>
    </w:lvl>
    <w:lvl w:ilvl="6" w:tplc="DFFC4356" w:tentative="1">
      <w:start w:val="1"/>
      <w:numFmt w:val="bullet"/>
      <w:lvlText w:val=""/>
      <w:lvlJc w:val="left"/>
      <w:pPr>
        <w:tabs>
          <w:tab w:val="num" w:pos="5040"/>
        </w:tabs>
        <w:ind w:left="5040" w:hanging="360"/>
      </w:pPr>
      <w:rPr>
        <w:rFonts w:ascii="Symbol" w:hAnsi="Symbol" w:hint="default"/>
      </w:rPr>
    </w:lvl>
    <w:lvl w:ilvl="7" w:tplc="8B86258A" w:tentative="1">
      <w:start w:val="1"/>
      <w:numFmt w:val="bullet"/>
      <w:lvlText w:val="o"/>
      <w:lvlJc w:val="left"/>
      <w:pPr>
        <w:tabs>
          <w:tab w:val="num" w:pos="5760"/>
        </w:tabs>
        <w:ind w:left="5760" w:hanging="360"/>
      </w:pPr>
      <w:rPr>
        <w:rFonts w:ascii="Courier New" w:hAnsi="Courier New" w:cs="Courier New" w:hint="default"/>
      </w:rPr>
    </w:lvl>
    <w:lvl w:ilvl="8" w:tplc="6D1685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5CA65D2">
      <w:start w:val="1"/>
      <w:numFmt w:val="bullet"/>
      <w:lvlText w:val="­"/>
      <w:lvlJc w:val="left"/>
      <w:pPr>
        <w:tabs>
          <w:tab w:val="num" w:pos="720"/>
        </w:tabs>
        <w:ind w:left="720" w:hanging="360"/>
      </w:pPr>
      <w:rPr>
        <w:rFonts w:ascii="Courier New" w:hAnsi="Courier New" w:hint="default"/>
      </w:rPr>
    </w:lvl>
    <w:lvl w:ilvl="1" w:tplc="C4EAD032" w:tentative="1">
      <w:start w:val="1"/>
      <w:numFmt w:val="bullet"/>
      <w:lvlText w:val="o"/>
      <w:lvlJc w:val="left"/>
      <w:pPr>
        <w:tabs>
          <w:tab w:val="num" w:pos="1440"/>
        </w:tabs>
        <w:ind w:left="1440" w:hanging="360"/>
      </w:pPr>
      <w:rPr>
        <w:rFonts w:ascii="Courier New" w:hAnsi="Courier New" w:cs="Courier New" w:hint="default"/>
      </w:rPr>
    </w:lvl>
    <w:lvl w:ilvl="2" w:tplc="888283C8" w:tentative="1">
      <w:start w:val="1"/>
      <w:numFmt w:val="bullet"/>
      <w:lvlText w:val=""/>
      <w:lvlJc w:val="left"/>
      <w:pPr>
        <w:tabs>
          <w:tab w:val="num" w:pos="2160"/>
        </w:tabs>
        <w:ind w:left="2160" w:hanging="360"/>
      </w:pPr>
      <w:rPr>
        <w:rFonts w:ascii="Wingdings" w:hAnsi="Wingdings" w:hint="default"/>
      </w:rPr>
    </w:lvl>
    <w:lvl w:ilvl="3" w:tplc="0ABADFE0" w:tentative="1">
      <w:start w:val="1"/>
      <w:numFmt w:val="bullet"/>
      <w:lvlText w:val=""/>
      <w:lvlJc w:val="left"/>
      <w:pPr>
        <w:tabs>
          <w:tab w:val="num" w:pos="2880"/>
        </w:tabs>
        <w:ind w:left="2880" w:hanging="360"/>
      </w:pPr>
      <w:rPr>
        <w:rFonts w:ascii="Symbol" w:hAnsi="Symbol" w:hint="default"/>
      </w:rPr>
    </w:lvl>
    <w:lvl w:ilvl="4" w:tplc="46E4F2C4" w:tentative="1">
      <w:start w:val="1"/>
      <w:numFmt w:val="bullet"/>
      <w:lvlText w:val="o"/>
      <w:lvlJc w:val="left"/>
      <w:pPr>
        <w:tabs>
          <w:tab w:val="num" w:pos="3600"/>
        </w:tabs>
        <w:ind w:left="3600" w:hanging="360"/>
      </w:pPr>
      <w:rPr>
        <w:rFonts w:ascii="Courier New" w:hAnsi="Courier New" w:cs="Courier New" w:hint="default"/>
      </w:rPr>
    </w:lvl>
    <w:lvl w:ilvl="5" w:tplc="D2463F30" w:tentative="1">
      <w:start w:val="1"/>
      <w:numFmt w:val="bullet"/>
      <w:lvlText w:val=""/>
      <w:lvlJc w:val="left"/>
      <w:pPr>
        <w:tabs>
          <w:tab w:val="num" w:pos="4320"/>
        </w:tabs>
        <w:ind w:left="4320" w:hanging="360"/>
      </w:pPr>
      <w:rPr>
        <w:rFonts w:ascii="Wingdings" w:hAnsi="Wingdings" w:hint="default"/>
      </w:rPr>
    </w:lvl>
    <w:lvl w:ilvl="6" w:tplc="92B22462" w:tentative="1">
      <w:start w:val="1"/>
      <w:numFmt w:val="bullet"/>
      <w:lvlText w:val=""/>
      <w:lvlJc w:val="left"/>
      <w:pPr>
        <w:tabs>
          <w:tab w:val="num" w:pos="5040"/>
        </w:tabs>
        <w:ind w:left="5040" w:hanging="360"/>
      </w:pPr>
      <w:rPr>
        <w:rFonts w:ascii="Symbol" w:hAnsi="Symbol" w:hint="default"/>
      </w:rPr>
    </w:lvl>
    <w:lvl w:ilvl="7" w:tplc="2EF02104" w:tentative="1">
      <w:start w:val="1"/>
      <w:numFmt w:val="bullet"/>
      <w:lvlText w:val="o"/>
      <w:lvlJc w:val="left"/>
      <w:pPr>
        <w:tabs>
          <w:tab w:val="num" w:pos="5760"/>
        </w:tabs>
        <w:ind w:left="5760" w:hanging="360"/>
      </w:pPr>
      <w:rPr>
        <w:rFonts w:ascii="Courier New" w:hAnsi="Courier New" w:cs="Courier New" w:hint="default"/>
      </w:rPr>
    </w:lvl>
    <w:lvl w:ilvl="8" w:tplc="FFBA485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C32D64A">
      <w:start w:val="1"/>
      <w:numFmt w:val="lowerRoman"/>
      <w:lvlText w:val="(%1)"/>
      <w:lvlJc w:val="left"/>
      <w:pPr>
        <w:tabs>
          <w:tab w:val="num" w:pos="2448"/>
        </w:tabs>
        <w:ind w:left="2448" w:hanging="648"/>
      </w:pPr>
      <w:rPr>
        <w:rFonts w:hint="default"/>
        <w:b w:val="0"/>
        <w:i w:val="0"/>
        <w:u w:val="none"/>
      </w:rPr>
    </w:lvl>
    <w:lvl w:ilvl="1" w:tplc="5F9C7CBA" w:tentative="1">
      <w:start w:val="1"/>
      <w:numFmt w:val="lowerLetter"/>
      <w:lvlText w:val="%2."/>
      <w:lvlJc w:val="left"/>
      <w:pPr>
        <w:tabs>
          <w:tab w:val="num" w:pos="1440"/>
        </w:tabs>
        <w:ind w:left="1440" w:hanging="360"/>
      </w:pPr>
    </w:lvl>
    <w:lvl w:ilvl="2" w:tplc="70C6D548" w:tentative="1">
      <w:start w:val="1"/>
      <w:numFmt w:val="lowerRoman"/>
      <w:lvlText w:val="%3."/>
      <w:lvlJc w:val="right"/>
      <w:pPr>
        <w:tabs>
          <w:tab w:val="num" w:pos="2160"/>
        </w:tabs>
        <w:ind w:left="2160" w:hanging="180"/>
      </w:pPr>
    </w:lvl>
    <w:lvl w:ilvl="3" w:tplc="D60C030C" w:tentative="1">
      <w:start w:val="1"/>
      <w:numFmt w:val="decimal"/>
      <w:lvlText w:val="%4."/>
      <w:lvlJc w:val="left"/>
      <w:pPr>
        <w:tabs>
          <w:tab w:val="num" w:pos="2880"/>
        </w:tabs>
        <w:ind w:left="2880" w:hanging="360"/>
      </w:pPr>
    </w:lvl>
    <w:lvl w:ilvl="4" w:tplc="200E2D12" w:tentative="1">
      <w:start w:val="1"/>
      <w:numFmt w:val="lowerLetter"/>
      <w:lvlText w:val="%5."/>
      <w:lvlJc w:val="left"/>
      <w:pPr>
        <w:tabs>
          <w:tab w:val="num" w:pos="3600"/>
        </w:tabs>
        <w:ind w:left="3600" w:hanging="360"/>
      </w:pPr>
    </w:lvl>
    <w:lvl w:ilvl="5" w:tplc="8CDEC868" w:tentative="1">
      <w:start w:val="1"/>
      <w:numFmt w:val="lowerRoman"/>
      <w:lvlText w:val="%6."/>
      <w:lvlJc w:val="right"/>
      <w:pPr>
        <w:tabs>
          <w:tab w:val="num" w:pos="4320"/>
        </w:tabs>
        <w:ind w:left="4320" w:hanging="180"/>
      </w:pPr>
    </w:lvl>
    <w:lvl w:ilvl="6" w:tplc="C1568534" w:tentative="1">
      <w:start w:val="1"/>
      <w:numFmt w:val="decimal"/>
      <w:lvlText w:val="%7."/>
      <w:lvlJc w:val="left"/>
      <w:pPr>
        <w:tabs>
          <w:tab w:val="num" w:pos="5040"/>
        </w:tabs>
        <w:ind w:left="5040" w:hanging="360"/>
      </w:pPr>
    </w:lvl>
    <w:lvl w:ilvl="7" w:tplc="87680DB2" w:tentative="1">
      <w:start w:val="1"/>
      <w:numFmt w:val="lowerLetter"/>
      <w:lvlText w:val="%8."/>
      <w:lvlJc w:val="left"/>
      <w:pPr>
        <w:tabs>
          <w:tab w:val="num" w:pos="5760"/>
        </w:tabs>
        <w:ind w:left="5760" w:hanging="360"/>
      </w:pPr>
    </w:lvl>
    <w:lvl w:ilvl="8" w:tplc="DEDEA88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698C960">
      <w:start w:val="1"/>
      <w:numFmt w:val="bullet"/>
      <w:lvlText w:val=""/>
      <w:lvlJc w:val="left"/>
      <w:pPr>
        <w:tabs>
          <w:tab w:val="num" w:pos="5760"/>
        </w:tabs>
        <w:ind w:left="5760" w:hanging="360"/>
      </w:pPr>
      <w:rPr>
        <w:rFonts w:ascii="Symbol" w:hAnsi="Symbol" w:hint="default"/>
        <w:color w:val="auto"/>
        <w:u w:val="none"/>
      </w:rPr>
    </w:lvl>
    <w:lvl w:ilvl="1" w:tplc="0C80C6EA" w:tentative="1">
      <w:start w:val="1"/>
      <w:numFmt w:val="bullet"/>
      <w:lvlText w:val="o"/>
      <w:lvlJc w:val="left"/>
      <w:pPr>
        <w:tabs>
          <w:tab w:val="num" w:pos="3600"/>
        </w:tabs>
        <w:ind w:left="3600" w:hanging="360"/>
      </w:pPr>
      <w:rPr>
        <w:rFonts w:ascii="Courier New" w:hAnsi="Courier New" w:hint="default"/>
      </w:rPr>
    </w:lvl>
    <w:lvl w:ilvl="2" w:tplc="99FE1DAC" w:tentative="1">
      <w:start w:val="1"/>
      <w:numFmt w:val="bullet"/>
      <w:lvlText w:val=""/>
      <w:lvlJc w:val="left"/>
      <w:pPr>
        <w:tabs>
          <w:tab w:val="num" w:pos="4320"/>
        </w:tabs>
        <w:ind w:left="4320" w:hanging="360"/>
      </w:pPr>
      <w:rPr>
        <w:rFonts w:ascii="Wingdings" w:hAnsi="Wingdings" w:hint="default"/>
      </w:rPr>
    </w:lvl>
    <w:lvl w:ilvl="3" w:tplc="B324220C">
      <w:start w:val="1"/>
      <w:numFmt w:val="bullet"/>
      <w:lvlText w:val=""/>
      <w:lvlJc w:val="left"/>
      <w:pPr>
        <w:tabs>
          <w:tab w:val="num" w:pos="5040"/>
        </w:tabs>
        <w:ind w:left="5040" w:hanging="360"/>
      </w:pPr>
      <w:rPr>
        <w:rFonts w:ascii="Symbol" w:hAnsi="Symbol" w:hint="default"/>
      </w:rPr>
    </w:lvl>
    <w:lvl w:ilvl="4" w:tplc="7F928D32" w:tentative="1">
      <w:start w:val="1"/>
      <w:numFmt w:val="bullet"/>
      <w:lvlText w:val="o"/>
      <w:lvlJc w:val="left"/>
      <w:pPr>
        <w:tabs>
          <w:tab w:val="num" w:pos="5760"/>
        </w:tabs>
        <w:ind w:left="5760" w:hanging="360"/>
      </w:pPr>
      <w:rPr>
        <w:rFonts w:ascii="Courier New" w:hAnsi="Courier New" w:hint="default"/>
      </w:rPr>
    </w:lvl>
    <w:lvl w:ilvl="5" w:tplc="30209286" w:tentative="1">
      <w:start w:val="1"/>
      <w:numFmt w:val="bullet"/>
      <w:lvlText w:val=""/>
      <w:lvlJc w:val="left"/>
      <w:pPr>
        <w:tabs>
          <w:tab w:val="num" w:pos="6480"/>
        </w:tabs>
        <w:ind w:left="6480" w:hanging="360"/>
      </w:pPr>
      <w:rPr>
        <w:rFonts w:ascii="Wingdings" w:hAnsi="Wingdings" w:hint="default"/>
      </w:rPr>
    </w:lvl>
    <w:lvl w:ilvl="6" w:tplc="B90EBE02" w:tentative="1">
      <w:start w:val="1"/>
      <w:numFmt w:val="bullet"/>
      <w:lvlText w:val=""/>
      <w:lvlJc w:val="left"/>
      <w:pPr>
        <w:tabs>
          <w:tab w:val="num" w:pos="7200"/>
        </w:tabs>
        <w:ind w:left="7200" w:hanging="360"/>
      </w:pPr>
      <w:rPr>
        <w:rFonts w:ascii="Symbol" w:hAnsi="Symbol" w:hint="default"/>
      </w:rPr>
    </w:lvl>
    <w:lvl w:ilvl="7" w:tplc="F52ACBF4" w:tentative="1">
      <w:start w:val="1"/>
      <w:numFmt w:val="bullet"/>
      <w:lvlText w:val="o"/>
      <w:lvlJc w:val="left"/>
      <w:pPr>
        <w:tabs>
          <w:tab w:val="num" w:pos="7920"/>
        </w:tabs>
        <w:ind w:left="7920" w:hanging="360"/>
      </w:pPr>
      <w:rPr>
        <w:rFonts w:ascii="Courier New" w:hAnsi="Courier New" w:hint="default"/>
      </w:rPr>
    </w:lvl>
    <w:lvl w:ilvl="8" w:tplc="FEF6D6F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2E"/>
    <w:rsid w:val="006D5D2E"/>
    <w:rsid w:val="00BA70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1">
    <w:name w:val="TOC Heading1"/>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6135</Words>
  <Characters>34975</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2018-07-18T16:02:00Z</dcterms:created>
  <dcterms:modified xsi:type="dcterms:W3CDTF">2018-07-18T16:02:00Z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