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3D2" w:rsidRPr="00F25F03" w:rsidRDefault="00577B0F" w:rsidP="00DA23BC">
      <w:pPr>
        <w:pStyle w:val="Heading2"/>
        <w:ind w:left="0" w:firstLine="0"/>
      </w:pPr>
      <w:bookmarkStart w:id="0" w:name="_Toc261444435"/>
      <w:bookmarkStart w:id="1" w:name="_GoBack"/>
      <w:bookmarkEnd w:id="1"/>
      <w:r w:rsidRPr="00F25F03">
        <w:t>2.17</w:t>
      </w:r>
      <w:r w:rsidRPr="00F25F03">
        <w:tab/>
      </w:r>
      <w:r w:rsidRPr="00F25F03">
        <w:t>Incorporation of Certain Business Practice Standards</w:t>
      </w:r>
      <w:bookmarkEnd w:id="0"/>
    </w:p>
    <w:p w:rsidR="0030525B" w:rsidRPr="00F25F03" w:rsidRDefault="00577B0F">
      <w:pPr>
        <w:widowControl/>
        <w:tabs>
          <w:tab w:val="left" w:pos="1440"/>
          <w:tab w:val="right" w:pos="9360"/>
        </w:tabs>
        <w:spacing w:line="480" w:lineRule="auto"/>
        <w:ind w:firstLine="720"/>
        <w:rPr>
          <w:szCs w:val="24"/>
        </w:rPr>
      </w:pPr>
      <w:r w:rsidRPr="00F25F03">
        <w:rPr>
          <w:szCs w:val="24"/>
        </w:rPr>
        <w:t>Pursuant to Commission Order No. 676-</w:t>
      </w:r>
      <w:r w:rsidRPr="00F25F03">
        <w:rPr>
          <w:szCs w:val="24"/>
        </w:rPr>
        <w:t>I</w:t>
      </w:r>
      <w:r w:rsidRPr="00F25F03">
        <w:rPr>
          <w:szCs w:val="24"/>
        </w:rPr>
        <w:t xml:space="preserve">, the ISO incorporates by reference the </w:t>
      </w:r>
      <w:r w:rsidRPr="00F25F03">
        <w:t>following</w:t>
      </w:r>
      <w:r w:rsidRPr="00F25F03">
        <w:rPr>
          <w:szCs w:val="24"/>
        </w:rPr>
        <w:t xml:space="preserve"> business practice </w:t>
      </w:r>
      <w:r w:rsidRPr="00F25F03">
        <w:rPr>
          <w:snapToGrid/>
          <w:szCs w:val="24"/>
        </w:rPr>
        <w:t>standards</w:t>
      </w:r>
      <w:r w:rsidRPr="00F25F03">
        <w:rPr>
          <w:szCs w:val="24"/>
        </w:rPr>
        <w:t xml:space="preserve"> developed by the North American Energy Standards Board’s Wholesale Electric Quadrant</w:t>
      </w:r>
      <w:r w:rsidRPr="00F25F03">
        <w:rPr>
          <w:szCs w:val="24"/>
        </w:rPr>
        <w:t>:</w:t>
      </w:r>
    </w:p>
    <w:p w:rsidR="005B71C0" w:rsidRPr="00F25F03" w:rsidRDefault="00577B0F" w:rsidP="00B159FD">
      <w:pPr>
        <w:pStyle w:val="Bulletpara"/>
        <w:numPr>
          <w:ilvl w:val="0"/>
          <w:numId w:val="0"/>
        </w:numPr>
        <w:ind w:left="360"/>
      </w:pPr>
      <w:r w:rsidRPr="00F25F03">
        <w:rPr>
          <w:snapToGrid/>
        </w:rPr>
        <w:t>(1)</w:t>
      </w:r>
      <w:r w:rsidRPr="00F25F03">
        <w:rPr>
          <w:snapToGrid/>
        </w:rPr>
        <w:tab/>
        <w:t>WEQ–000, Abbreviations, Acronyms, and Definition of Terms</w:t>
      </w:r>
      <w:r w:rsidRPr="00F25F03">
        <w:rPr>
          <w:snapToGrid/>
        </w:rPr>
        <w:t>, standard WEQ-000-2</w:t>
      </w:r>
      <w:r w:rsidRPr="00F25F03">
        <w:rPr>
          <w:snapToGrid/>
        </w:rPr>
        <w:t xml:space="preserve"> (</w:t>
      </w:r>
      <w:r w:rsidRPr="00F25F03">
        <w:rPr>
          <w:snapToGrid/>
        </w:rPr>
        <w:t>[</w:t>
      </w:r>
      <w:r w:rsidRPr="00F25F03">
        <w:rPr>
          <w:snapToGrid/>
        </w:rPr>
        <w:t>WEQ</w:t>
      </w:r>
      <w:r w:rsidRPr="00F25F03">
        <w:rPr>
          <w:snapToGrid/>
        </w:rPr>
        <w:t>]</w:t>
      </w:r>
      <w:r w:rsidRPr="00F25F03">
        <w:rPr>
          <w:snapToGrid/>
        </w:rPr>
        <w:t xml:space="preserve"> Version 003.1, September 30, 2015) including only</w:t>
      </w:r>
      <w:r w:rsidRPr="00F25F03">
        <w:rPr>
          <w:snapToGrid/>
        </w:rPr>
        <w:t>:</w:t>
      </w:r>
      <w:r w:rsidRPr="00F25F03">
        <w:rPr>
          <w:snapToGrid/>
        </w:rPr>
        <w:t xml:space="preserve"> the definitions of Interconne</w:t>
      </w:r>
      <w:r w:rsidRPr="00F25F03">
        <w:rPr>
          <w:snapToGrid/>
        </w:rPr>
        <w:t>ction Time Monitor, Time Error, and Time Error Correction;</w:t>
      </w:r>
    </w:p>
    <w:p w:rsidR="000F115E" w:rsidRPr="00F25F03" w:rsidRDefault="00577B0F" w:rsidP="00B159FD">
      <w:pPr>
        <w:pStyle w:val="Bulletpara"/>
        <w:numPr>
          <w:ilvl w:val="0"/>
          <w:numId w:val="0"/>
        </w:numPr>
        <w:ind w:left="360"/>
      </w:pPr>
      <w:r w:rsidRPr="00F25F03">
        <w:t>(2)</w:t>
      </w:r>
      <w:r w:rsidRPr="00F25F03">
        <w:tab/>
      </w:r>
      <w:r w:rsidRPr="00F25F03">
        <w:t xml:space="preserve">WEQ-000, Abbreviations, Acronyms, and Definition of Terms </w:t>
      </w:r>
      <w:r w:rsidRPr="00F25F03">
        <w:t>(</w:t>
      </w:r>
      <w:r w:rsidRPr="00F25F03">
        <w:t>[</w:t>
      </w:r>
      <w:r w:rsidRPr="00F25F03">
        <w:t>WEQ</w:t>
      </w:r>
      <w:r w:rsidRPr="00F25F03">
        <w:t>]</w:t>
      </w:r>
      <w:r w:rsidRPr="00F25F03">
        <w:t xml:space="preserve"> Version 003</w:t>
      </w:r>
      <w:r w:rsidRPr="00F25F03">
        <w:t>.</w:t>
      </w:r>
      <w:r w:rsidRPr="00F25F03">
        <w:t>2</w:t>
      </w:r>
      <w:r w:rsidRPr="00F25F03">
        <w:t>,</w:t>
      </w:r>
      <w:r w:rsidRPr="00F25F03">
        <w:t xml:space="preserve"> </w:t>
      </w:r>
      <w:r w:rsidRPr="00F25F03">
        <w:t>Dec. 8, 2017 (with minor correction applied July 23, 2019)</w:t>
      </w:r>
      <w:r w:rsidRPr="00F25F03">
        <w:t xml:space="preserve"> and the cybersecurity standard definitions (WEQ Versio</w:t>
      </w:r>
      <w:r w:rsidRPr="00F25F03">
        <w:t>n 003.3, March 30, 2020)</w:t>
      </w:r>
      <w:r w:rsidRPr="00F25F03">
        <w:t>;</w:t>
      </w:r>
    </w:p>
    <w:p w:rsidR="002B7576" w:rsidRPr="00F25F03" w:rsidRDefault="00577B0F" w:rsidP="00E84BFA">
      <w:pPr>
        <w:pStyle w:val="Bulletpara"/>
        <w:numPr>
          <w:ilvl w:val="0"/>
          <w:numId w:val="0"/>
        </w:numPr>
        <w:ind w:left="360"/>
      </w:pPr>
      <w:r w:rsidRPr="00F25F03">
        <w:t xml:space="preserve">(3)     WEQ-001, </w:t>
      </w:r>
      <w:r w:rsidRPr="00F25F03">
        <w:t>Open Access Same-Time Information Systems (OASIS),</w:t>
      </w:r>
      <w:r w:rsidRPr="00F25F03">
        <w:t xml:space="preserve"> [OASIS] Version 2.2 (</w:t>
      </w:r>
      <w:r w:rsidRPr="00F25F03">
        <w:t>[</w:t>
      </w:r>
      <w:r w:rsidRPr="00F25F03">
        <w:t>WEQ</w:t>
      </w:r>
      <w:r w:rsidRPr="00F25F03">
        <w:t>]</w:t>
      </w:r>
      <w:r w:rsidRPr="00F25F03">
        <w:t xml:space="preserve"> Version 003.2, Dec. 8, 2017),</w:t>
      </w:r>
      <w:r w:rsidRPr="00F25F03">
        <w:t xml:space="preserve"> excluding standards WEQ-001-9 preamble text, WEQ-001-10 preamble text</w:t>
      </w:r>
      <w:r w:rsidRPr="00F25F03">
        <w:t xml:space="preserve"> </w:t>
      </w:r>
      <w:r w:rsidRPr="00F25F03">
        <w:t xml:space="preserve">except as provided in section </w:t>
      </w:r>
      <w:r w:rsidRPr="00F25F03">
        <w:t>2.17.1 below;</w:t>
      </w:r>
    </w:p>
    <w:p w:rsidR="000903D2" w:rsidRPr="00F25F03" w:rsidRDefault="00577B0F" w:rsidP="00E84BFA">
      <w:pPr>
        <w:pStyle w:val="Bulletpara"/>
        <w:numPr>
          <w:ilvl w:val="0"/>
          <w:numId w:val="0"/>
        </w:numPr>
        <w:ind w:left="360"/>
      </w:pPr>
      <w:r w:rsidRPr="00F25F03">
        <w:t xml:space="preserve">(6)      </w:t>
      </w:r>
      <w:r w:rsidRPr="00F25F03">
        <w:t xml:space="preserve">WEQ-004, </w:t>
      </w:r>
      <w:r w:rsidRPr="00F25F03">
        <w:t>Coordinate Interchange</w:t>
      </w:r>
      <w:r w:rsidRPr="00F25F03">
        <w:t xml:space="preserve"> </w:t>
      </w:r>
      <w:r w:rsidRPr="00F25F03">
        <w:t>(</w:t>
      </w:r>
      <w:r w:rsidRPr="00F25F03">
        <w:t>[</w:t>
      </w:r>
      <w:r w:rsidRPr="00F25F03">
        <w:t>WEQ</w:t>
      </w:r>
      <w:r w:rsidRPr="00F25F03">
        <w:t>]</w:t>
      </w:r>
      <w:r w:rsidRPr="00F25F03">
        <w:t xml:space="preserve"> Version 003</w:t>
      </w:r>
      <w:r w:rsidRPr="00F25F03">
        <w:t>.</w:t>
      </w:r>
      <w:r w:rsidRPr="00F25F03">
        <w:t>2</w:t>
      </w:r>
      <w:r w:rsidRPr="00F25F03">
        <w:t xml:space="preserve">, </w:t>
      </w:r>
      <w:r w:rsidRPr="00F25F03">
        <w:t>Dec. 8, 2017</w:t>
      </w:r>
      <w:r w:rsidRPr="00F25F03">
        <w:t>)</w:t>
      </w:r>
      <w:r w:rsidRPr="00F25F03">
        <w:t xml:space="preserve">, except as provided in </w:t>
      </w:r>
      <w:r w:rsidRPr="00F25F03">
        <w:t xml:space="preserve">section </w:t>
      </w:r>
      <w:r w:rsidRPr="00F25F03">
        <w:t>2.17.1 below;</w:t>
      </w:r>
    </w:p>
    <w:p w:rsidR="000903D2" w:rsidRPr="00F25F03" w:rsidRDefault="00577B0F" w:rsidP="00B159FD">
      <w:pPr>
        <w:pStyle w:val="Bulletpara"/>
        <w:numPr>
          <w:ilvl w:val="0"/>
          <w:numId w:val="0"/>
        </w:numPr>
        <w:ind w:left="360"/>
      </w:pPr>
      <w:r w:rsidRPr="00F25F03">
        <w:t>(7)</w:t>
      </w:r>
      <w:r w:rsidRPr="00F25F03">
        <w:tab/>
      </w:r>
      <w:r w:rsidRPr="00F25F03">
        <w:t xml:space="preserve">WEQ-005, </w:t>
      </w:r>
      <w:r w:rsidRPr="00F25F03">
        <w:t>Area Control Error (ACE) Equation Special Cases</w:t>
      </w:r>
      <w:r w:rsidRPr="00F25F03">
        <w:t xml:space="preserve"> </w:t>
      </w:r>
      <w:r w:rsidRPr="00F25F03">
        <w:t>(</w:t>
      </w:r>
      <w:r w:rsidRPr="00F25F03">
        <w:t>[</w:t>
      </w:r>
      <w:r w:rsidRPr="00F25F03">
        <w:t>WEQ</w:t>
      </w:r>
      <w:r w:rsidRPr="00F25F03">
        <w:t>]</w:t>
      </w:r>
      <w:r w:rsidRPr="00F25F03">
        <w:t xml:space="preserve"> </w:t>
      </w:r>
      <w:r w:rsidRPr="00F25F03">
        <w:t>Version 00</w:t>
      </w:r>
      <w:r w:rsidRPr="00F25F03">
        <w:t>3</w:t>
      </w:r>
      <w:r w:rsidRPr="00F25F03">
        <w:t>.</w:t>
      </w:r>
      <w:r w:rsidRPr="00F25F03">
        <w:t>2</w:t>
      </w:r>
      <w:r w:rsidRPr="00F25F03">
        <w:t>,</w:t>
      </w:r>
      <w:r w:rsidRPr="00F25F03">
        <w:t xml:space="preserve"> Dec. 8, 2017</w:t>
      </w:r>
      <w:r w:rsidRPr="00F25F03">
        <w:t>)</w:t>
      </w:r>
      <w:r w:rsidRPr="00F25F03">
        <w:t>;</w:t>
      </w:r>
    </w:p>
    <w:p w:rsidR="000903D2" w:rsidRPr="00F25F03" w:rsidRDefault="00577B0F" w:rsidP="00B159FD">
      <w:pPr>
        <w:pStyle w:val="Bulletpara"/>
        <w:numPr>
          <w:ilvl w:val="0"/>
          <w:numId w:val="0"/>
        </w:numPr>
        <w:ind w:left="720" w:hanging="360"/>
      </w:pPr>
      <w:r w:rsidRPr="00F25F03">
        <w:t>(8)</w:t>
      </w:r>
      <w:r w:rsidRPr="00F25F03">
        <w:tab/>
      </w:r>
      <w:r w:rsidRPr="00F25F03">
        <w:tab/>
      </w:r>
      <w:r w:rsidRPr="00F25F03">
        <w:t xml:space="preserve">WEQ-006, </w:t>
      </w:r>
      <w:r w:rsidRPr="00F25F03">
        <w:t>Manual T</w:t>
      </w:r>
      <w:r w:rsidRPr="00F25F03">
        <w:t xml:space="preserve">ime Error Correction </w:t>
      </w:r>
      <w:r w:rsidRPr="00F25F03">
        <w:t>(</w:t>
      </w:r>
      <w:r w:rsidRPr="00F25F03">
        <w:t>[</w:t>
      </w:r>
      <w:r w:rsidRPr="00F25F03">
        <w:t>WEQ</w:t>
      </w:r>
      <w:r w:rsidRPr="00F25F03">
        <w:t>]</w:t>
      </w:r>
      <w:r w:rsidRPr="00F25F03">
        <w:t xml:space="preserve"> </w:t>
      </w:r>
      <w:r w:rsidRPr="00F25F03">
        <w:t>Version 00</w:t>
      </w:r>
      <w:r w:rsidRPr="00F25F03">
        <w:t>3</w:t>
      </w:r>
      <w:r w:rsidRPr="00F25F03">
        <w:t>.1</w:t>
      </w:r>
      <w:r w:rsidRPr="00F25F03">
        <w:t>,</w:t>
      </w:r>
      <w:r w:rsidRPr="00F25F03">
        <w:t xml:space="preserve"> Sept. 30</w:t>
      </w:r>
      <w:r w:rsidRPr="00F25F03">
        <w:t>,</w:t>
      </w:r>
      <w:r w:rsidRPr="00F25F03">
        <w:t xml:space="preserve"> 2015)</w:t>
      </w:r>
      <w:r w:rsidRPr="00F25F03">
        <w:t xml:space="preserve"> </w:t>
      </w:r>
      <w:r w:rsidRPr="00F25F03">
        <w:t>;</w:t>
      </w:r>
    </w:p>
    <w:p w:rsidR="000903D2" w:rsidRPr="00F25F03" w:rsidRDefault="00577B0F" w:rsidP="00E84BFA">
      <w:pPr>
        <w:pStyle w:val="Bulletpara"/>
        <w:numPr>
          <w:ilvl w:val="0"/>
          <w:numId w:val="0"/>
        </w:numPr>
        <w:ind w:left="720" w:hanging="360"/>
      </w:pPr>
      <w:r w:rsidRPr="00F25F03">
        <w:t xml:space="preserve">(9) </w:t>
      </w:r>
      <w:r w:rsidRPr="00F25F03">
        <w:t xml:space="preserve"> </w:t>
      </w:r>
      <w:r w:rsidRPr="00F25F03">
        <w:tab/>
      </w:r>
      <w:r w:rsidRPr="00F25F03">
        <w:t xml:space="preserve">WEQ-007, </w:t>
      </w:r>
      <w:r w:rsidRPr="00F25F03">
        <w:t xml:space="preserve">Inadvertent Interchange Payback </w:t>
      </w:r>
      <w:r w:rsidRPr="00F25F03">
        <w:t>(</w:t>
      </w:r>
      <w:r w:rsidRPr="00F25F03">
        <w:t>[</w:t>
      </w:r>
      <w:r w:rsidRPr="00F25F03">
        <w:t>WEQ</w:t>
      </w:r>
      <w:r w:rsidRPr="00F25F03">
        <w:t>]</w:t>
      </w:r>
      <w:r w:rsidRPr="00F25F03">
        <w:t xml:space="preserve"> </w:t>
      </w:r>
      <w:r w:rsidRPr="00F25F03">
        <w:t>Version 00</w:t>
      </w:r>
      <w:r w:rsidRPr="00F25F03">
        <w:t>3</w:t>
      </w:r>
      <w:r w:rsidRPr="00F25F03">
        <w:t>.</w:t>
      </w:r>
      <w:r w:rsidRPr="00F25F03">
        <w:t>2</w:t>
      </w:r>
      <w:r w:rsidRPr="00F25F03">
        <w:t>,</w:t>
      </w:r>
      <w:r w:rsidRPr="00F25F03">
        <w:t xml:space="preserve"> Dec. 8, 2017</w:t>
      </w:r>
      <w:r w:rsidRPr="00F25F03">
        <w:t>)</w:t>
      </w:r>
      <w:r w:rsidRPr="00F25F03">
        <w:t>;</w:t>
      </w:r>
    </w:p>
    <w:p w:rsidR="000903D2" w:rsidRPr="00F25F03" w:rsidRDefault="00577B0F" w:rsidP="00E84BFA">
      <w:pPr>
        <w:pStyle w:val="Bulletpara"/>
        <w:numPr>
          <w:ilvl w:val="0"/>
          <w:numId w:val="0"/>
        </w:numPr>
        <w:ind w:left="360"/>
      </w:pPr>
      <w:r w:rsidRPr="00F25F03">
        <w:t xml:space="preserve">(10)   </w:t>
      </w:r>
      <w:r w:rsidRPr="00F25F03">
        <w:t xml:space="preserve">WEQ-008, </w:t>
      </w:r>
      <w:r w:rsidRPr="00F25F03">
        <w:t>Transmission Loading Relief - Eastern Interconnection</w:t>
      </w:r>
      <w:r w:rsidRPr="00F25F03">
        <w:t>,</w:t>
      </w:r>
      <w:r w:rsidRPr="00F25F03">
        <w:t xml:space="preserve"> </w:t>
      </w:r>
      <w:r w:rsidRPr="00F25F03">
        <w:t>([</w:t>
      </w:r>
      <w:r w:rsidRPr="00F25F03">
        <w:t>WEQ</w:t>
      </w:r>
      <w:r w:rsidRPr="00F25F03">
        <w:t>]</w:t>
      </w:r>
      <w:r w:rsidRPr="00F25F03">
        <w:t xml:space="preserve"> </w:t>
      </w:r>
      <w:r w:rsidRPr="00F25F03">
        <w:t>Version 00</w:t>
      </w:r>
      <w:r w:rsidRPr="00F25F03">
        <w:t>3</w:t>
      </w:r>
      <w:r w:rsidRPr="00F25F03">
        <w:t>.</w:t>
      </w:r>
      <w:r w:rsidRPr="00F25F03">
        <w:t>2</w:t>
      </w:r>
      <w:r w:rsidRPr="00F25F03">
        <w:t>,</w:t>
      </w:r>
      <w:r w:rsidRPr="00F25F03">
        <w:t xml:space="preserve"> Dec. 8, 2017</w:t>
      </w:r>
      <w:r w:rsidRPr="00F25F03">
        <w:t>)</w:t>
      </w:r>
      <w:r w:rsidRPr="00F25F03">
        <w:t xml:space="preserve"> </w:t>
      </w:r>
      <w:bookmarkStart w:id="2" w:name="_Hlk97735403"/>
      <w:r w:rsidRPr="00F25F03">
        <w:t xml:space="preserve">and the Parallel Flow Visualization Standards </w:t>
      </w:r>
      <w:r w:rsidRPr="00F25F03">
        <w:t xml:space="preserve"> </w:t>
      </w:r>
      <w:r w:rsidRPr="00F25F03">
        <w:t>(WEQ Version 003.3, March</w:t>
      </w:r>
      <w:r w:rsidRPr="00F25F03">
        <w:t xml:space="preserve"> 30</w:t>
      </w:r>
      <w:r w:rsidRPr="00F25F03">
        <w:t>, 2020)</w:t>
      </w:r>
      <w:bookmarkEnd w:id="2"/>
      <w:r w:rsidRPr="00F25F03">
        <w:t>;</w:t>
      </w:r>
    </w:p>
    <w:p w:rsidR="000903D2" w:rsidRPr="00F25F03" w:rsidRDefault="00577B0F" w:rsidP="00E84BFA">
      <w:pPr>
        <w:pStyle w:val="Bulletpara"/>
        <w:numPr>
          <w:ilvl w:val="0"/>
          <w:numId w:val="0"/>
        </w:numPr>
        <w:ind w:left="720" w:hanging="360"/>
      </w:pPr>
      <w:r w:rsidRPr="00F25F03">
        <w:t xml:space="preserve">(11)    </w:t>
      </w:r>
      <w:r w:rsidRPr="00F25F03">
        <w:t xml:space="preserve">WEQ-011, </w:t>
      </w:r>
      <w:r w:rsidRPr="00F25F03">
        <w:t xml:space="preserve">Gas/Electric Coordination </w:t>
      </w:r>
      <w:r w:rsidRPr="00F25F03">
        <w:t>(</w:t>
      </w:r>
      <w:r w:rsidRPr="00F25F03">
        <w:t>[</w:t>
      </w:r>
      <w:r w:rsidRPr="00F25F03">
        <w:t>WEQ</w:t>
      </w:r>
      <w:r w:rsidRPr="00F25F03">
        <w:t>]</w:t>
      </w:r>
      <w:r w:rsidRPr="00F25F03">
        <w:t xml:space="preserve"> </w:t>
      </w:r>
      <w:r w:rsidRPr="00F25F03">
        <w:t>Version 00</w:t>
      </w:r>
      <w:r w:rsidRPr="00F25F03">
        <w:t>3</w:t>
      </w:r>
      <w:r w:rsidRPr="00F25F03">
        <w:t>.</w:t>
      </w:r>
      <w:r w:rsidRPr="00F25F03">
        <w:t>2</w:t>
      </w:r>
      <w:r w:rsidRPr="00F25F03">
        <w:t xml:space="preserve">, </w:t>
      </w:r>
      <w:r w:rsidRPr="00F25F03">
        <w:t>Dec. 8, 2017</w:t>
      </w:r>
      <w:r w:rsidRPr="00F25F03">
        <w:t>)</w:t>
      </w:r>
      <w:r w:rsidRPr="00F25F03">
        <w:t>;</w:t>
      </w:r>
    </w:p>
    <w:p w:rsidR="000903D2" w:rsidRPr="00F25F03" w:rsidRDefault="00577B0F" w:rsidP="00E84BFA">
      <w:pPr>
        <w:pStyle w:val="Bulletpara"/>
        <w:numPr>
          <w:ilvl w:val="0"/>
          <w:numId w:val="0"/>
        </w:numPr>
        <w:ind w:left="720" w:hanging="360"/>
      </w:pPr>
      <w:r w:rsidRPr="00F25F03">
        <w:t xml:space="preserve">(12)    </w:t>
      </w:r>
      <w:r w:rsidRPr="00F25F03">
        <w:t xml:space="preserve">WEQ-012 </w:t>
      </w:r>
      <w:r w:rsidRPr="00F25F03">
        <w:t xml:space="preserve">Public Key Infrastructure (PKI) </w:t>
      </w:r>
      <w:r w:rsidRPr="00F25F03">
        <w:t>(</w:t>
      </w:r>
      <w:r w:rsidRPr="00F25F03">
        <w:t>[</w:t>
      </w:r>
      <w:r w:rsidRPr="00F25F03">
        <w:t>WEQ</w:t>
      </w:r>
      <w:r w:rsidRPr="00F25F03">
        <w:t>]</w:t>
      </w:r>
      <w:r w:rsidRPr="00F25F03">
        <w:t xml:space="preserve"> </w:t>
      </w:r>
      <w:r w:rsidRPr="00F25F03">
        <w:t>Version 00</w:t>
      </w:r>
      <w:r w:rsidRPr="00F25F03">
        <w:t>3</w:t>
      </w:r>
      <w:r w:rsidRPr="00F25F03">
        <w:t>.</w:t>
      </w:r>
      <w:r w:rsidRPr="00F25F03">
        <w:t>2</w:t>
      </w:r>
      <w:r w:rsidRPr="00F25F03">
        <w:t xml:space="preserve">, </w:t>
      </w:r>
      <w:r w:rsidRPr="00F25F03">
        <w:t>Dec. 8, 2017</w:t>
      </w:r>
      <w:r w:rsidRPr="00F25F03">
        <w:t>)</w:t>
      </w:r>
      <w:r w:rsidRPr="00F25F03">
        <w:t>;</w:t>
      </w:r>
    </w:p>
    <w:p w:rsidR="000903D2" w:rsidRPr="00F25F03" w:rsidRDefault="00577B0F" w:rsidP="00E84BFA">
      <w:pPr>
        <w:pStyle w:val="Bulletpara"/>
        <w:numPr>
          <w:ilvl w:val="0"/>
          <w:numId w:val="0"/>
        </w:numPr>
        <w:ind w:left="360"/>
      </w:pPr>
      <w:r w:rsidRPr="00F25F03">
        <w:t xml:space="preserve">(14)    </w:t>
      </w:r>
      <w:r w:rsidRPr="00F25F03">
        <w:t xml:space="preserve">WEQ-015, </w:t>
      </w:r>
      <w:r w:rsidRPr="00F25F03">
        <w:t>Measurement and Verification of Wholesale Electricity Demand Response</w:t>
      </w:r>
      <w:r w:rsidRPr="00F25F03">
        <w:t xml:space="preserve"> </w:t>
      </w:r>
      <w:r w:rsidRPr="00F25F03">
        <w:t>(</w:t>
      </w:r>
      <w:r w:rsidRPr="00F25F03">
        <w:t>[</w:t>
      </w:r>
      <w:r w:rsidRPr="00F25F03">
        <w:t>WEQ</w:t>
      </w:r>
      <w:r w:rsidRPr="00F25F03">
        <w:t>]</w:t>
      </w:r>
      <w:r w:rsidRPr="00F25F03">
        <w:t xml:space="preserve"> Version 003</w:t>
      </w:r>
      <w:r w:rsidRPr="00F25F03">
        <w:t>.</w:t>
      </w:r>
      <w:r w:rsidRPr="00F25F03">
        <w:t>2</w:t>
      </w:r>
      <w:r w:rsidRPr="00F25F03">
        <w:t xml:space="preserve">, </w:t>
      </w:r>
      <w:r w:rsidRPr="00F25F03">
        <w:t>Dec. 8, 2017</w:t>
      </w:r>
      <w:r w:rsidRPr="00F25F03">
        <w:t>)</w:t>
      </w:r>
      <w:r w:rsidRPr="00F25F03">
        <w:t xml:space="preserve">; </w:t>
      </w:r>
    </w:p>
    <w:p w:rsidR="000903D2" w:rsidRPr="00F25F03" w:rsidRDefault="00577B0F" w:rsidP="00E84BFA">
      <w:pPr>
        <w:pStyle w:val="Bulletpara"/>
        <w:numPr>
          <w:ilvl w:val="0"/>
          <w:numId w:val="0"/>
        </w:numPr>
        <w:ind w:left="360"/>
      </w:pPr>
      <w:r w:rsidRPr="00F25F03">
        <w:t xml:space="preserve">(15)    </w:t>
      </w:r>
      <w:r w:rsidRPr="00F25F03">
        <w:t xml:space="preserve">WEQ-021, </w:t>
      </w:r>
      <w:r w:rsidRPr="00F25F03">
        <w:t>Measurement and Verification of</w:t>
      </w:r>
      <w:r w:rsidRPr="00F25F03">
        <w:t xml:space="preserve"> Energy Efficiency Products </w:t>
      </w:r>
      <w:r w:rsidRPr="00F25F03">
        <w:t>(</w:t>
      </w:r>
      <w:r w:rsidRPr="00F25F03">
        <w:t>[</w:t>
      </w:r>
      <w:r w:rsidRPr="00F25F03">
        <w:t>WEQ</w:t>
      </w:r>
      <w:r w:rsidRPr="00F25F03">
        <w:t>]</w:t>
      </w:r>
      <w:r w:rsidRPr="00F25F03">
        <w:t xml:space="preserve"> Version</w:t>
      </w:r>
      <w:r w:rsidRPr="00F25F03">
        <w:t xml:space="preserve"> </w:t>
      </w:r>
      <w:r w:rsidRPr="00F25F03">
        <w:t>003</w:t>
      </w:r>
      <w:r w:rsidRPr="00F25F03">
        <w:t>.</w:t>
      </w:r>
      <w:r w:rsidRPr="00F25F03">
        <w:t>2</w:t>
      </w:r>
      <w:r w:rsidRPr="00F25F03">
        <w:t xml:space="preserve">, </w:t>
      </w:r>
      <w:r w:rsidRPr="00F25F03">
        <w:t>Dec. 8, 2017</w:t>
      </w:r>
      <w:r w:rsidRPr="00F25F03">
        <w:t>);</w:t>
      </w:r>
      <w:r w:rsidRPr="00F25F03">
        <w:t xml:space="preserve"> and</w:t>
      </w:r>
    </w:p>
    <w:p w:rsidR="006C168F" w:rsidRPr="00F25F03" w:rsidRDefault="00577B0F" w:rsidP="00E84BFA">
      <w:pPr>
        <w:pStyle w:val="Bulletpara"/>
        <w:numPr>
          <w:ilvl w:val="0"/>
          <w:numId w:val="0"/>
        </w:numPr>
        <w:ind w:left="720" w:hanging="360"/>
      </w:pPr>
      <w:r w:rsidRPr="00F25F03">
        <w:t>(16)    WEQ-02</w:t>
      </w:r>
      <w:r w:rsidRPr="00F25F03">
        <w:t>2, Electric Industry Registry (</w:t>
      </w:r>
      <w:r w:rsidRPr="00F25F03">
        <w:t>[</w:t>
      </w:r>
      <w:r w:rsidRPr="00F25F03">
        <w:t>WEQ</w:t>
      </w:r>
      <w:r w:rsidRPr="00F25F03">
        <w:t>]</w:t>
      </w:r>
      <w:r w:rsidRPr="00F25F03">
        <w:t xml:space="preserve"> Version 003.</w:t>
      </w:r>
      <w:r w:rsidRPr="00F25F03">
        <w:t>2</w:t>
      </w:r>
      <w:r w:rsidRPr="00F25F03">
        <w:t xml:space="preserve">, </w:t>
      </w:r>
      <w:r w:rsidRPr="00F25F03">
        <w:t>Dec. 8, 2017</w:t>
      </w:r>
      <w:r w:rsidRPr="00F25F03">
        <w:t>)</w:t>
      </w:r>
      <w:r w:rsidRPr="00F25F03">
        <w:t>.</w:t>
      </w:r>
    </w:p>
    <w:p w:rsidR="00D36B69" w:rsidRPr="00F25F03" w:rsidRDefault="00577B0F" w:rsidP="00577B0F">
      <w:pPr>
        <w:pStyle w:val="Heading3"/>
        <w:numPr>
          <w:ilvl w:val="2"/>
          <w:numId w:val="2"/>
        </w:numPr>
      </w:pPr>
      <w:bookmarkStart w:id="3" w:name="_Toc261444436"/>
      <w:r w:rsidRPr="00F25F03">
        <w:t>The ISO is not required to comply with the following Standards:</w:t>
      </w:r>
      <w:bookmarkEnd w:id="3"/>
    </w:p>
    <w:p w:rsidR="00ED5E88" w:rsidRPr="00F25F03" w:rsidRDefault="00577B0F" w:rsidP="00B159FD">
      <w:pPr>
        <w:pStyle w:val="Bulletpara"/>
        <w:numPr>
          <w:ilvl w:val="0"/>
          <w:numId w:val="0"/>
        </w:numPr>
        <w:ind w:left="360"/>
      </w:pPr>
      <w:r w:rsidRPr="00F25F03">
        <w:t>(3)</w:t>
      </w:r>
      <w:r w:rsidRPr="00F25F03">
        <w:tab/>
      </w:r>
      <w:r w:rsidRPr="00F25F03">
        <w:t xml:space="preserve">WEQ-001 </w:t>
      </w:r>
      <w:r w:rsidRPr="00F25F03">
        <w:t>Open Access Same-Time Information Systems (OASIS),</w:t>
      </w:r>
      <w:r w:rsidRPr="00F25F03">
        <w:t xml:space="preserve"> </w:t>
      </w:r>
      <w:r w:rsidRPr="00F25F03">
        <w:t>[</w:t>
      </w:r>
      <w:r w:rsidRPr="00F25F03">
        <w:t>OASIS</w:t>
      </w:r>
      <w:r w:rsidRPr="00F25F03">
        <w:t>]</w:t>
      </w:r>
      <w:r w:rsidRPr="00F25F03">
        <w:t xml:space="preserve"> Version</w:t>
      </w:r>
      <w:r w:rsidRPr="00F25F03">
        <w:t xml:space="preserve"> </w:t>
      </w:r>
      <w:r w:rsidRPr="00F25F03">
        <w:t>2.</w:t>
      </w:r>
      <w:r w:rsidRPr="00F25F03">
        <w:t xml:space="preserve">2 </w:t>
      </w:r>
      <w:r w:rsidRPr="00F25F03">
        <w:t>(</w:t>
      </w:r>
      <w:r w:rsidRPr="00F25F03">
        <w:t>[</w:t>
      </w:r>
      <w:r w:rsidRPr="00F25F03">
        <w:t>WEQ</w:t>
      </w:r>
      <w:r w:rsidRPr="00F25F03">
        <w:t>]</w:t>
      </w:r>
      <w:r w:rsidRPr="00F25F03">
        <w:t xml:space="preserve"> Version 003</w:t>
      </w:r>
      <w:r w:rsidRPr="00F25F03">
        <w:t xml:space="preserve">.2, </w:t>
      </w:r>
      <w:bookmarkStart w:id="4" w:name="_Hlk99987204"/>
      <w:r w:rsidRPr="00F25F03">
        <w:t>Dec. 8, 2017</w:t>
      </w:r>
      <w:bookmarkEnd w:id="4"/>
      <w:r w:rsidRPr="00F25F03">
        <w:t>)</w:t>
      </w:r>
      <w:r w:rsidRPr="00F25F03">
        <w:t xml:space="preserve">, </w:t>
      </w:r>
      <w:r w:rsidRPr="00F25F03">
        <w:t>excluding standards WEQ-001-9 preamble text, WEQ-001-10 preamble text</w:t>
      </w:r>
      <w:r w:rsidRPr="00F25F03">
        <w:t xml:space="preserve">: Standards </w:t>
      </w:r>
      <w:r w:rsidRPr="00F25F03">
        <w:t xml:space="preserve">001-2, 001-3, 001-4, 001-5, 001-6, 001-7, 001-8, 001-9, 001-10, 001-011, 001-012, 001-13.1.2, 001-13.1.3 (c), 001-014, 001-015, 001-016, </w:t>
      </w:r>
      <w:r w:rsidRPr="00F25F03">
        <w:lastRenderedPageBreak/>
        <w:t>001-017, 001-020, 001-021, 001-022,</w:t>
      </w:r>
      <w:r w:rsidRPr="00F25F03">
        <w:t xml:space="preserve"> </w:t>
      </w:r>
      <w:r w:rsidRPr="00F25F03">
        <w:t>00</w:t>
      </w:r>
      <w:r w:rsidRPr="00F25F03">
        <w:t>1-23,</w:t>
      </w:r>
      <w:r w:rsidRPr="00F25F03">
        <w:t xml:space="preserve"> </w:t>
      </w:r>
      <w:r w:rsidRPr="00F25F03">
        <w:t xml:space="preserve">001-24, 001-25, </w:t>
      </w:r>
      <w:r w:rsidRPr="00F25F03">
        <w:t>001-101 through 001-107.3.1</w:t>
      </w:r>
      <w:r w:rsidRPr="00F25F03">
        <w:t>,</w:t>
      </w:r>
      <w:r w:rsidRPr="00F25F03">
        <w:t xml:space="preserve"> 001-Appendix A,</w:t>
      </w:r>
      <w:r w:rsidRPr="00F25F03">
        <w:t xml:space="preserve"> and</w:t>
      </w:r>
      <w:r w:rsidRPr="00F25F03">
        <w:t xml:space="preserve"> 001-Appendix B</w:t>
      </w:r>
      <w:r w:rsidRPr="00F25F03">
        <w:t xml:space="preserve">, </w:t>
      </w:r>
      <w:r w:rsidRPr="00F25F03">
        <w:rPr>
          <w:color w:val="000000"/>
        </w:rPr>
        <w:t>pursuant to</w:t>
      </w:r>
      <w:r w:rsidRPr="00F25F03">
        <w:rPr>
          <w:color w:val="000000"/>
        </w:rPr>
        <w:t> </w:t>
      </w:r>
      <w:bookmarkStart w:id="5" w:name="_Hlk99987267"/>
      <w:r w:rsidRPr="00F25F03">
        <w:rPr>
          <w:i/>
          <w:iCs/>
          <w:color w:val="000000"/>
        </w:rPr>
        <w:t>New York Independent System Operator, Inc.</w:t>
      </w:r>
      <w:r w:rsidRPr="00F25F03">
        <w:rPr>
          <w:color w:val="000000"/>
        </w:rPr>
        <w:t xml:space="preserve">, </w:t>
      </w:r>
      <w:r w:rsidRPr="00F25F03">
        <w:t>178 FERC ¶ 61,165 (March 7, 2022)</w:t>
      </w:r>
      <w:bookmarkEnd w:id="5"/>
      <w:r w:rsidRPr="00F25F03">
        <w:t xml:space="preserve"> and WEQ-001, Open Access Same-Time Information Systems (OASIS) cybersecurity st</w:t>
      </w:r>
      <w:r w:rsidRPr="00F25F03">
        <w:t>andards (WEQ Version 003.3, March 30, 2020), pursuant to</w:t>
      </w:r>
      <w:r w:rsidRPr="00F25F03">
        <w:t xml:space="preserve"> </w:t>
      </w:r>
      <w:r w:rsidRPr="00F25F03">
        <w:rPr>
          <w:i/>
          <w:iCs/>
          <w:color w:val="000000"/>
        </w:rPr>
        <w:t>New York Independent System Operator, Inc.</w:t>
      </w:r>
      <w:r w:rsidRPr="00F25F03">
        <w:rPr>
          <w:color w:val="000000"/>
        </w:rPr>
        <w:t xml:space="preserve">, </w:t>
      </w:r>
      <w:r w:rsidRPr="00F25F03">
        <w:t>182 FERC ¶ 61,121 (February 23, 2023)</w:t>
      </w:r>
      <w:r w:rsidRPr="00F25F03">
        <w:t>;</w:t>
      </w:r>
    </w:p>
    <w:p w:rsidR="00852FFF" w:rsidRPr="00F25F03" w:rsidRDefault="00577B0F" w:rsidP="00035460">
      <w:pPr>
        <w:pStyle w:val="Bulletpara"/>
        <w:numPr>
          <w:ilvl w:val="0"/>
          <w:numId w:val="0"/>
        </w:numPr>
        <w:ind w:left="360"/>
      </w:pPr>
      <w:r w:rsidRPr="00F25F03">
        <w:rPr>
          <w:spacing w:val="-3"/>
        </w:rPr>
        <w:t xml:space="preserve">(4)     </w:t>
      </w:r>
      <w:r w:rsidRPr="00F25F03">
        <w:rPr>
          <w:spacing w:val="-3"/>
        </w:rPr>
        <w:t>W</w:t>
      </w:r>
      <w:r w:rsidRPr="00F25F03">
        <w:rPr>
          <w:spacing w:val="2"/>
        </w:rPr>
        <w:t>E</w:t>
      </w:r>
      <w:r w:rsidRPr="00F25F03">
        <w:t>Q-002,</w:t>
      </w:r>
      <w:r w:rsidRPr="00F25F03">
        <w:rPr>
          <w:spacing w:val="-9"/>
        </w:rPr>
        <w:t xml:space="preserve"> </w:t>
      </w:r>
      <w:r w:rsidRPr="00F25F03">
        <w:t>Open</w:t>
      </w:r>
      <w:r w:rsidRPr="00F25F03">
        <w:rPr>
          <w:spacing w:val="-12"/>
        </w:rPr>
        <w:t xml:space="preserve"> </w:t>
      </w:r>
      <w:r w:rsidRPr="00F25F03">
        <w:rPr>
          <w:spacing w:val="2"/>
        </w:rPr>
        <w:t>A</w:t>
      </w:r>
      <w:r w:rsidRPr="00F25F03">
        <w:t>cc</w:t>
      </w:r>
      <w:r w:rsidRPr="00F25F03">
        <w:rPr>
          <w:spacing w:val="2"/>
        </w:rPr>
        <w:t>e</w:t>
      </w:r>
      <w:r w:rsidRPr="00F25F03">
        <w:t>ss</w:t>
      </w:r>
      <w:r w:rsidRPr="00F25F03">
        <w:rPr>
          <w:spacing w:val="-11"/>
        </w:rPr>
        <w:t xml:space="preserve"> </w:t>
      </w:r>
      <w:r w:rsidRPr="00F25F03">
        <w:t>S</w:t>
      </w:r>
      <w:r w:rsidRPr="00F25F03">
        <w:rPr>
          <w:spacing w:val="2"/>
        </w:rPr>
        <w:t>a</w:t>
      </w:r>
      <w:r w:rsidRPr="00F25F03">
        <w:rPr>
          <w:spacing w:val="-3"/>
        </w:rPr>
        <w:t>m</w:t>
      </w:r>
      <w:r w:rsidRPr="00F25F03">
        <w:t>e-T</w:t>
      </w:r>
      <w:r w:rsidRPr="00F25F03">
        <w:rPr>
          <w:spacing w:val="2"/>
        </w:rPr>
        <w:t>i</w:t>
      </w:r>
      <w:r w:rsidRPr="00F25F03">
        <w:t>me</w:t>
      </w:r>
      <w:r w:rsidRPr="00F25F03">
        <w:rPr>
          <w:spacing w:val="-12"/>
        </w:rPr>
        <w:t xml:space="preserve"> </w:t>
      </w:r>
      <w:r w:rsidRPr="00F25F03">
        <w:t>In</w:t>
      </w:r>
      <w:r w:rsidRPr="00F25F03">
        <w:rPr>
          <w:spacing w:val="2"/>
        </w:rPr>
        <w:t>f</w:t>
      </w:r>
      <w:r w:rsidRPr="00F25F03">
        <w:t>o</w:t>
      </w:r>
      <w:r w:rsidRPr="00F25F03">
        <w:rPr>
          <w:spacing w:val="2"/>
        </w:rPr>
        <w:t>r</w:t>
      </w:r>
      <w:r w:rsidRPr="00F25F03">
        <w:rPr>
          <w:spacing w:val="-3"/>
        </w:rPr>
        <w:t>m</w:t>
      </w:r>
      <w:r w:rsidRPr="00F25F03">
        <w:t>a</w:t>
      </w:r>
      <w:r w:rsidRPr="00F25F03">
        <w:rPr>
          <w:spacing w:val="2"/>
        </w:rPr>
        <w:t>t</w:t>
      </w:r>
      <w:r w:rsidRPr="00F25F03">
        <w:t>ion</w:t>
      </w:r>
      <w:r w:rsidRPr="00F25F03">
        <w:rPr>
          <w:spacing w:val="-11"/>
        </w:rPr>
        <w:t xml:space="preserve"> </w:t>
      </w:r>
      <w:r w:rsidRPr="00F25F03">
        <w:rPr>
          <w:spacing w:val="4"/>
        </w:rPr>
        <w:t>S</w:t>
      </w:r>
      <w:r w:rsidRPr="00F25F03">
        <w:rPr>
          <w:spacing w:val="-6"/>
        </w:rPr>
        <w:t>y</w:t>
      </w:r>
      <w:r w:rsidRPr="00F25F03">
        <w:t>st</w:t>
      </w:r>
      <w:r w:rsidRPr="00F25F03">
        <w:rPr>
          <w:spacing w:val="2"/>
        </w:rPr>
        <w:t>e</w:t>
      </w:r>
      <w:r w:rsidRPr="00F25F03">
        <w:t>m</w:t>
      </w:r>
      <w:r w:rsidRPr="00F25F03">
        <w:rPr>
          <w:spacing w:val="-12"/>
        </w:rPr>
        <w:t xml:space="preserve"> </w:t>
      </w:r>
      <w:r w:rsidRPr="00F25F03">
        <w:t>(OA</w:t>
      </w:r>
      <w:r w:rsidRPr="00F25F03">
        <w:rPr>
          <w:spacing w:val="2"/>
        </w:rPr>
        <w:t>S</w:t>
      </w:r>
      <w:r w:rsidRPr="00F25F03">
        <w:t>I</w:t>
      </w:r>
      <w:r w:rsidRPr="00F25F03">
        <w:rPr>
          <w:spacing w:val="-1"/>
        </w:rPr>
        <w:t>S</w:t>
      </w:r>
      <w:r w:rsidRPr="00F25F03">
        <w:t>)</w:t>
      </w:r>
      <w:r w:rsidRPr="00F25F03">
        <w:rPr>
          <w:spacing w:val="-12"/>
        </w:rPr>
        <w:t xml:space="preserve"> </w:t>
      </w:r>
      <w:r w:rsidRPr="00F25F03">
        <w:rPr>
          <w:spacing w:val="2"/>
        </w:rPr>
        <w:t>B</w:t>
      </w:r>
      <w:r w:rsidRPr="00F25F03">
        <w:t>usiness</w:t>
      </w:r>
      <w:r w:rsidRPr="00F25F03">
        <w:rPr>
          <w:w w:val="99"/>
        </w:rPr>
        <w:t xml:space="preserve"> </w:t>
      </w:r>
      <w:r w:rsidRPr="00F25F03">
        <w:t>Practice</w:t>
      </w:r>
      <w:r w:rsidRPr="00F25F03">
        <w:rPr>
          <w:spacing w:val="-11"/>
        </w:rPr>
        <w:t xml:space="preserve"> </w:t>
      </w:r>
      <w:r w:rsidRPr="00F25F03">
        <w:t>St</w:t>
      </w:r>
      <w:r w:rsidRPr="00F25F03">
        <w:rPr>
          <w:spacing w:val="2"/>
        </w:rPr>
        <w:t>a</w:t>
      </w:r>
      <w:r w:rsidRPr="00F25F03">
        <w:t>ndards</w:t>
      </w:r>
      <w:r w:rsidRPr="00F25F03">
        <w:rPr>
          <w:spacing w:val="-11"/>
        </w:rPr>
        <w:t xml:space="preserve"> </w:t>
      </w:r>
      <w:r w:rsidRPr="00F25F03">
        <w:rPr>
          <w:spacing w:val="2"/>
        </w:rPr>
        <w:t>a</w:t>
      </w:r>
      <w:r w:rsidRPr="00F25F03">
        <w:t>nd</w:t>
      </w:r>
      <w:r w:rsidRPr="00F25F03">
        <w:rPr>
          <w:spacing w:val="-8"/>
        </w:rPr>
        <w:t xml:space="preserve"> </w:t>
      </w:r>
      <w:r w:rsidRPr="00F25F03">
        <w:t>C</w:t>
      </w:r>
      <w:r w:rsidRPr="00F25F03">
        <w:rPr>
          <w:spacing w:val="2"/>
        </w:rPr>
        <w:t>o</w:t>
      </w:r>
      <w:r w:rsidRPr="00F25F03">
        <w:t>m</w:t>
      </w:r>
      <w:r w:rsidRPr="00F25F03">
        <w:rPr>
          <w:spacing w:val="-3"/>
        </w:rPr>
        <w:t>m</w:t>
      </w:r>
      <w:r w:rsidRPr="00F25F03">
        <w:t>un</w:t>
      </w:r>
      <w:r w:rsidRPr="00F25F03">
        <w:rPr>
          <w:spacing w:val="2"/>
        </w:rPr>
        <w:t>i</w:t>
      </w:r>
      <w:r w:rsidRPr="00F25F03">
        <w:t>cation</w:t>
      </w:r>
      <w:r w:rsidRPr="00F25F03">
        <w:rPr>
          <w:spacing w:val="-11"/>
        </w:rPr>
        <w:t xml:space="preserve"> </w:t>
      </w:r>
      <w:r w:rsidRPr="00F25F03">
        <w:rPr>
          <w:spacing w:val="2"/>
        </w:rPr>
        <w:t>P</w:t>
      </w:r>
      <w:r w:rsidRPr="00F25F03">
        <w:t>roto</w:t>
      </w:r>
      <w:r w:rsidRPr="00F25F03">
        <w:rPr>
          <w:spacing w:val="2"/>
        </w:rPr>
        <w:t>c</w:t>
      </w:r>
      <w:r w:rsidRPr="00F25F03">
        <w:t>ols</w:t>
      </w:r>
      <w:r w:rsidRPr="00F25F03">
        <w:rPr>
          <w:spacing w:val="-10"/>
        </w:rPr>
        <w:t xml:space="preserve"> </w:t>
      </w:r>
      <w:r w:rsidRPr="00F25F03">
        <w:t>(S&amp;</w:t>
      </w:r>
      <w:r w:rsidRPr="00F25F03">
        <w:rPr>
          <w:spacing w:val="2"/>
        </w:rPr>
        <w:t>C</w:t>
      </w:r>
      <w:r w:rsidRPr="00F25F03">
        <w:rPr>
          <w:spacing w:val="-1"/>
        </w:rPr>
        <w:t>P</w:t>
      </w:r>
      <w:r w:rsidRPr="00F25F03">
        <w:t>),</w:t>
      </w:r>
      <w:r w:rsidRPr="00F25F03">
        <w:rPr>
          <w:spacing w:val="-11"/>
        </w:rPr>
        <w:t xml:space="preserve"> </w:t>
      </w:r>
      <w:r w:rsidRPr="00F25F03">
        <w:rPr>
          <w:spacing w:val="-11"/>
        </w:rPr>
        <w:t>[</w:t>
      </w:r>
      <w:r w:rsidRPr="00F25F03">
        <w:t>O</w:t>
      </w:r>
      <w:r w:rsidRPr="00F25F03">
        <w:rPr>
          <w:spacing w:val="2"/>
        </w:rPr>
        <w:t>A</w:t>
      </w:r>
      <w:r w:rsidRPr="00F25F03">
        <w:t>SIS</w:t>
      </w:r>
      <w:r w:rsidRPr="00F25F03">
        <w:t>]</w:t>
      </w:r>
      <w:r w:rsidRPr="00F25F03">
        <w:rPr>
          <w:spacing w:val="-10"/>
        </w:rPr>
        <w:t xml:space="preserve"> </w:t>
      </w:r>
      <w:r w:rsidRPr="00F25F03">
        <w:t>V</w:t>
      </w:r>
      <w:r w:rsidRPr="00F25F03">
        <w:rPr>
          <w:spacing w:val="2"/>
        </w:rPr>
        <w:t>e</w:t>
      </w:r>
      <w:r w:rsidRPr="00F25F03">
        <w:t>rsion</w:t>
      </w:r>
      <w:r w:rsidRPr="00F25F03">
        <w:rPr>
          <w:spacing w:val="-11"/>
        </w:rPr>
        <w:t xml:space="preserve"> </w:t>
      </w:r>
      <w:r w:rsidRPr="00F25F03">
        <w:t>2.</w:t>
      </w:r>
      <w:r w:rsidRPr="00F25F03">
        <w:t>2</w:t>
      </w:r>
      <w:r w:rsidRPr="00F25F03">
        <w:rPr>
          <w:w w:val="99"/>
        </w:rPr>
        <w:t xml:space="preserve"> </w:t>
      </w:r>
      <w:r w:rsidRPr="00F25F03">
        <w:rPr>
          <w:w w:val="99"/>
        </w:rPr>
        <w:t>(</w:t>
      </w:r>
      <w:r w:rsidRPr="00F25F03">
        <w:rPr>
          <w:w w:val="99"/>
        </w:rPr>
        <w:t>[</w:t>
      </w:r>
      <w:r w:rsidRPr="00F25F03">
        <w:rPr>
          <w:spacing w:val="-3"/>
        </w:rPr>
        <w:t>W</w:t>
      </w:r>
      <w:r w:rsidRPr="00F25F03">
        <w:rPr>
          <w:spacing w:val="2"/>
        </w:rPr>
        <w:t>E</w:t>
      </w:r>
      <w:r w:rsidRPr="00F25F03">
        <w:t>Q</w:t>
      </w:r>
      <w:r w:rsidRPr="00F25F03">
        <w:t>]</w:t>
      </w:r>
      <w:r w:rsidRPr="00F25F03">
        <w:rPr>
          <w:spacing w:val="-8"/>
        </w:rPr>
        <w:t xml:space="preserve"> </w:t>
      </w:r>
      <w:r w:rsidRPr="00F25F03">
        <w:t>Vers</w:t>
      </w:r>
      <w:r w:rsidRPr="00F25F03">
        <w:rPr>
          <w:spacing w:val="2"/>
        </w:rPr>
        <w:t>i</w:t>
      </w:r>
      <w:r w:rsidRPr="00F25F03">
        <w:t>on</w:t>
      </w:r>
      <w:r w:rsidRPr="00F25F03">
        <w:rPr>
          <w:spacing w:val="-8"/>
        </w:rPr>
        <w:t xml:space="preserve"> </w:t>
      </w:r>
      <w:r w:rsidRPr="00F25F03">
        <w:t>003</w:t>
      </w:r>
      <w:r w:rsidRPr="00F25F03">
        <w:t>.2</w:t>
      </w:r>
      <w:r w:rsidRPr="00F25F03">
        <w:t>, Dec. 8, 2017</w:t>
      </w:r>
      <w:r w:rsidRPr="00F25F03">
        <w:t>)</w:t>
      </w:r>
      <w:r w:rsidRPr="00F25F03">
        <w:t xml:space="preserve">, </w:t>
      </w:r>
      <w:r w:rsidRPr="00F25F03">
        <w:rPr>
          <w:color w:val="000000"/>
        </w:rPr>
        <w:t>pursuant to</w:t>
      </w:r>
      <w:r w:rsidRPr="00F25F03">
        <w:rPr>
          <w:i/>
          <w:iCs/>
          <w:color w:val="000000"/>
        </w:rPr>
        <w:t xml:space="preserve"> </w:t>
      </w:r>
      <w:r w:rsidRPr="00F25F03">
        <w:rPr>
          <w:i/>
          <w:iCs/>
          <w:color w:val="000000"/>
        </w:rPr>
        <w:t>New York Independent System Operator, Inc.</w:t>
      </w:r>
      <w:r w:rsidRPr="00F25F03">
        <w:rPr>
          <w:color w:val="000000"/>
        </w:rPr>
        <w:t xml:space="preserve">, </w:t>
      </w:r>
      <w:r w:rsidRPr="00F25F03">
        <w:t>178 FERC ¶ 61,165 (March 7, 2022)</w:t>
      </w:r>
      <w:r w:rsidRPr="00F25F03">
        <w:t xml:space="preserve"> </w:t>
      </w:r>
      <w:r w:rsidRPr="00F25F03">
        <w:rPr>
          <w:color w:val="000000"/>
        </w:rPr>
        <w:t xml:space="preserve">and the cybersecurity standards (WEQ Version 003.3, March 30, 2020), pursuant to </w:t>
      </w:r>
      <w:r w:rsidRPr="00F25F03">
        <w:rPr>
          <w:i/>
          <w:iCs/>
          <w:color w:val="000000"/>
        </w:rPr>
        <w:t xml:space="preserve">New York </w:t>
      </w:r>
      <w:r w:rsidRPr="00F25F03">
        <w:rPr>
          <w:i/>
          <w:iCs/>
          <w:color w:val="000000"/>
        </w:rPr>
        <w:t>Independent System Operator, Inc.</w:t>
      </w:r>
      <w:r w:rsidRPr="00F25F03">
        <w:rPr>
          <w:color w:val="000000"/>
        </w:rPr>
        <w:t xml:space="preserve">, </w:t>
      </w:r>
      <w:r w:rsidRPr="00F25F03">
        <w:t>182 FERC ¶ 61,121 (February 23, 2023)</w:t>
      </w:r>
      <w:r w:rsidRPr="00F25F03">
        <w:rPr>
          <w:szCs w:val="26"/>
        </w:rPr>
        <w:t>;</w:t>
      </w:r>
    </w:p>
    <w:p w:rsidR="000903D2" w:rsidRPr="00F25F03" w:rsidRDefault="00577B0F" w:rsidP="00035460">
      <w:pPr>
        <w:pStyle w:val="Bulletpara"/>
        <w:numPr>
          <w:ilvl w:val="0"/>
          <w:numId w:val="0"/>
        </w:numPr>
        <w:tabs>
          <w:tab w:val="clear" w:pos="900"/>
        </w:tabs>
        <w:ind w:left="360"/>
      </w:pPr>
      <w:r w:rsidRPr="00F25F03">
        <w:t>(5)</w:t>
      </w:r>
      <w:r w:rsidRPr="00F25F03">
        <w:t xml:space="preserve">   </w:t>
      </w:r>
      <w:r w:rsidRPr="00F25F03">
        <w:t xml:space="preserve"> </w:t>
      </w:r>
      <w:r w:rsidRPr="00F25F03">
        <w:t xml:space="preserve">WEQ-003, </w:t>
      </w:r>
      <w:r w:rsidRPr="00F25F03">
        <w:t>Open Access Same-Time Information Systems (OASIS) Data Dictionary</w:t>
      </w:r>
      <w:r w:rsidRPr="00F25F03">
        <w:t xml:space="preserve"> Business Practice Standards</w:t>
      </w:r>
      <w:r w:rsidRPr="00F25F03">
        <w:t>,</w:t>
      </w:r>
      <w:r w:rsidRPr="00F25F03">
        <w:t xml:space="preserve"> </w:t>
      </w:r>
      <w:r w:rsidRPr="00F25F03">
        <w:t>[</w:t>
      </w:r>
      <w:r w:rsidRPr="00F25F03">
        <w:t>OASIS</w:t>
      </w:r>
      <w:r w:rsidRPr="00F25F03">
        <w:t>]</w:t>
      </w:r>
      <w:r w:rsidRPr="00F25F03">
        <w:t xml:space="preserve"> Version</w:t>
      </w:r>
      <w:r w:rsidRPr="00F25F03">
        <w:t xml:space="preserve"> 2.</w:t>
      </w:r>
      <w:r w:rsidRPr="00F25F03">
        <w:t>2</w:t>
      </w:r>
      <w:r w:rsidRPr="00F25F03">
        <w:t xml:space="preserve"> </w:t>
      </w:r>
      <w:r w:rsidRPr="00F25F03">
        <w:t>(</w:t>
      </w:r>
      <w:r w:rsidRPr="00F25F03">
        <w:t>[</w:t>
      </w:r>
      <w:r w:rsidRPr="00F25F03">
        <w:t>WEQ</w:t>
      </w:r>
      <w:r w:rsidRPr="00F25F03">
        <w:t>]</w:t>
      </w:r>
      <w:r w:rsidRPr="00F25F03">
        <w:t xml:space="preserve"> Version </w:t>
      </w:r>
      <w:r w:rsidRPr="00F25F03">
        <w:t>003</w:t>
      </w:r>
      <w:r w:rsidRPr="00F25F03">
        <w:t xml:space="preserve">.2, </w:t>
      </w:r>
      <w:r w:rsidRPr="00F25F03">
        <w:t>Dec. 8, 2017</w:t>
      </w:r>
      <w:r w:rsidRPr="00F25F03">
        <w:t>)</w:t>
      </w:r>
      <w:r w:rsidRPr="00F25F03">
        <w:t xml:space="preserve"> (with minor cor</w:t>
      </w:r>
      <w:r w:rsidRPr="00F25F03">
        <w:t>rections applied July 23, 2019)</w:t>
      </w:r>
      <w:r w:rsidRPr="00F25F03">
        <w:t xml:space="preserve">, </w:t>
      </w:r>
      <w:r w:rsidRPr="00F25F03">
        <w:rPr>
          <w:color w:val="000000"/>
        </w:rPr>
        <w:t>pursuant to</w:t>
      </w:r>
      <w:r w:rsidRPr="00F25F03">
        <w:rPr>
          <w:i/>
          <w:iCs/>
          <w:color w:val="000000"/>
        </w:rPr>
        <w:t xml:space="preserve"> </w:t>
      </w:r>
      <w:r w:rsidRPr="00F25F03">
        <w:rPr>
          <w:i/>
          <w:iCs/>
          <w:color w:val="000000"/>
        </w:rPr>
        <w:t>New York Independent System Operator, Inc.</w:t>
      </w:r>
      <w:r w:rsidRPr="00F25F03">
        <w:rPr>
          <w:color w:val="000000"/>
        </w:rPr>
        <w:t xml:space="preserve">, </w:t>
      </w:r>
      <w:r w:rsidRPr="00F25F03">
        <w:t>178 FERC ¶ 61,165 (March 7, 2022)</w:t>
      </w:r>
      <w:r w:rsidRPr="00F25F03">
        <w:t>;</w:t>
      </w:r>
    </w:p>
    <w:p w:rsidR="000903D2" w:rsidRPr="00F25F03" w:rsidRDefault="00577B0F" w:rsidP="00035460">
      <w:pPr>
        <w:pStyle w:val="Bulletpara"/>
        <w:numPr>
          <w:ilvl w:val="0"/>
          <w:numId w:val="0"/>
        </w:numPr>
        <w:tabs>
          <w:tab w:val="clear" w:pos="900"/>
        </w:tabs>
        <w:ind w:left="360"/>
      </w:pPr>
      <w:r w:rsidRPr="00F25F03">
        <w:t>(6)</w:t>
      </w:r>
      <w:r w:rsidRPr="00F25F03">
        <w:t xml:space="preserve">    </w:t>
      </w:r>
      <w:r w:rsidRPr="00F25F03">
        <w:t xml:space="preserve">WEQ-004, </w:t>
      </w:r>
      <w:r w:rsidRPr="00F25F03">
        <w:t xml:space="preserve">Coordinate Interchange </w:t>
      </w:r>
      <w:r w:rsidRPr="00F25F03">
        <w:t>(</w:t>
      </w:r>
      <w:r w:rsidRPr="00F25F03">
        <w:t>[</w:t>
      </w:r>
      <w:r w:rsidRPr="00F25F03">
        <w:t>WEQ</w:t>
      </w:r>
      <w:r w:rsidRPr="00F25F03">
        <w:t>]</w:t>
      </w:r>
      <w:r w:rsidRPr="00F25F03">
        <w:t xml:space="preserve"> Version 003</w:t>
      </w:r>
      <w:r w:rsidRPr="00F25F03">
        <w:t xml:space="preserve">.2, </w:t>
      </w:r>
      <w:r w:rsidRPr="00F25F03">
        <w:t>Dec. 8, 2017</w:t>
      </w:r>
      <w:r w:rsidRPr="00F25F03">
        <w:t>)</w:t>
      </w:r>
      <w:r w:rsidRPr="00F25F03">
        <w:t xml:space="preserve">: Standards 004-3, 004-18, and 004-Appendix A and </w:t>
      </w:r>
      <w:r w:rsidRPr="00F25F03">
        <w:t>004-Appendix C</w:t>
      </w:r>
      <w:r w:rsidRPr="00F25F03">
        <w:t xml:space="preserve">, </w:t>
      </w:r>
      <w:r w:rsidRPr="00F25F03">
        <w:rPr>
          <w:color w:val="000000"/>
        </w:rPr>
        <w:t>pursuant to</w:t>
      </w:r>
      <w:r w:rsidRPr="00F25F03">
        <w:rPr>
          <w:i/>
          <w:iCs/>
          <w:color w:val="000000"/>
        </w:rPr>
        <w:t xml:space="preserve"> </w:t>
      </w:r>
      <w:r w:rsidRPr="00F25F03">
        <w:rPr>
          <w:i/>
          <w:iCs/>
          <w:color w:val="000000"/>
        </w:rPr>
        <w:t>New York Independent System Operator, Inc.</w:t>
      </w:r>
      <w:r w:rsidRPr="00F25F03">
        <w:rPr>
          <w:color w:val="000000"/>
        </w:rPr>
        <w:t xml:space="preserve">, </w:t>
      </w:r>
      <w:r w:rsidRPr="00F25F03">
        <w:t>178 FERC ¶ 61,165 (March 7, 2022)</w:t>
      </w:r>
      <w:r w:rsidRPr="00F25F03">
        <w:t>;</w:t>
      </w:r>
      <w:r w:rsidRPr="00F25F03">
        <w:t xml:space="preserve"> </w:t>
      </w:r>
    </w:p>
    <w:p w:rsidR="000903D2" w:rsidRPr="00F25F03" w:rsidRDefault="00577B0F" w:rsidP="00B159FD">
      <w:pPr>
        <w:pStyle w:val="Bulletpara"/>
        <w:numPr>
          <w:ilvl w:val="0"/>
          <w:numId w:val="0"/>
        </w:numPr>
        <w:tabs>
          <w:tab w:val="clear" w:pos="900"/>
        </w:tabs>
        <w:ind w:left="360"/>
      </w:pPr>
      <w:r w:rsidRPr="00F25F03">
        <w:t xml:space="preserve">(13)  </w:t>
      </w:r>
      <w:r w:rsidRPr="00F25F03">
        <w:t xml:space="preserve">WEQ-013, </w:t>
      </w:r>
      <w:r w:rsidRPr="00F25F03">
        <w:t xml:space="preserve">Open Access Same-Time Information Systems (OASIS) Implementation Guide, </w:t>
      </w:r>
      <w:r w:rsidRPr="00F25F03">
        <w:t>[</w:t>
      </w:r>
      <w:r w:rsidRPr="00F25F03">
        <w:t>OASIS</w:t>
      </w:r>
      <w:r w:rsidRPr="00F25F03">
        <w:t>]</w:t>
      </w:r>
      <w:r w:rsidRPr="00F25F03">
        <w:t xml:space="preserve"> </w:t>
      </w:r>
      <w:r w:rsidRPr="00F25F03">
        <w:t>Version</w:t>
      </w:r>
      <w:r w:rsidRPr="00F25F03">
        <w:t xml:space="preserve"> 2.</w:t>
      </w:r>
      <w:r w:rsidRPr="00F25F03">
        <w:t>2</w:t>
      </w:r>
      <w:r w:rsidRPr="00F25F03">
        <w:t xml:space="preserve"> (</w:t>
      </w:r>
      <w:r w:rsidRPr="00F25F03">
        <w:t>[</w:t>
      </w:r>
      <w:r w:rsidRPr="00F25F03">
        <w:t>WEQ</w:t>
      </w:r>
      <w:r w:rsidRPr="00F25F03">
        <w:t>]</w:t>
      </w:r>
      <w:r w:rsidRPr="00F25F03">
        <w:t xml:space="preserve"> Version 00</w:t>
      </w:r>
      <w:r w:rsidRPr="00F25F03">
        <w:t>3</w:t>
      </w:r>
      <w:r w:rsidRPr="00F25F03">
        <w:t xml:space="preserve">.2, </w:t>
      </w:r>
      <w:r w:rsidRPr="00F25F03">
        <w:t>Dec. 8, 2017</w:t>
      </w:r>
      <w:r w:rsidRPr="00F25F03">
        <w:t>)</w:t>
      </w:r>
      <w:r w:rsidRPr="00F25F03">
        <w:t xml:space="preserve">, </w:t>
      </w:r>
      <w:r w:rsidRPr="00F25F03">
        <w:rPr>
          <w:color w:val="000000"/>
        </w:rPr>
        <w:t>pursuant to</w:t>
      </w:r>
      <w:r w:rsidRPr="00F25F03">
        <w:rPr>
          <w:i/>
          <w:iCs/>
          <w:color w:val="000000"/>
        </w:rPr>
        <w:t xml:space="preserve"> </w:t>
      </w:r>
      <w:bookmarkStart w:id="6" w:name="_Hlk99987798"/>
      <w:r w:rsidRPr="00F25F03">
        <w:rPr>
          <w:i/>
          <w:iCs/>
          <w:color w:val="000000"/>
        </w:rPr>
        <w:t>New York Independent System Operator, Inc.</w:t>
      </w:r>
      <w:r w:rsidRPr="00F25F03">
        <w:rPr>
          <w:color w:val="000000"/>
        </w:rPr>
        <w:t xml:space="preserve">, </w:t>
      </w:r>
      <w:r w:rsidRPr="00F25F03">
        <w:t>178 FERC ¶ 61,165 (March 7, 2022)</w:t>
      </w:r>
      <w:bookmarkEnd w:id="6"/>
      <w:r w:rsidRPr="00F25F03">
        <w:t>;</w:t>
      </w:r>
      <w:r w:rsidRPr="00F25F03">
        <w:t xml:space="preserve"> </w:t>
      </w:r>
      <w:r w:rsidRPr="00F25F03">
        <w:t>and</w:t>
      </w:r>
    </w:p>
    <w:p w:rsidR="002F5D7C" w:rsidRDefault="00577B0F" w:rsidP="00B159FD">
      <w:pPr>
        <w:pStyle w:val="Bulletpara"/>
        <w:numPr>
          <w:ilvl w:val="0"/>
          <w:numId w:val="0"/>
        </w:numPr>
        <w:ind w:left="360"/>
      </w:pPr>
      <w:r w:rsidRPr="00F25F03">
        <w:t>(1</w:t>
      </w:r>
      <w:r w:rsidRPr="00F25F03">
        <w:t xml:space="preserve">7)  </w:t>
      </w:r>
      <w:r w:rsidRPr="00F25F03">
        <w:t>WEQ-023, Modeling (</w:t>
      </w:r>
      <w:r w:rsidRPr="00F25F03">
        <w:t>[</w:t>
      </w:r>
      <w:r w:rsidRPr="00F25F03">
        <w:t>WEQ</w:t>
      </w:r>
      <w:r w:rsidRPr="00F25F03">
        <w:t>]</w:t>
      </w:r>
      <w:r w:rsidRPr="00F25F03">
        <w:t xml:space="preserve"> Version 003.2, </w:t>
      </w:r>
      <w:r w:rsidRPr="00F25F03">
        <w:t>Dec. 8, 2017), including only:</w:t>
      </w:r>
      <w:r w:rsidRPr="00F25F03">
        <w:t xml:space="preserve"> </w:t>
      </w:r>
      <w:r w:rsidRPr="00F25F03">
        <w:t>s</w:t>
      </w:r>
      <w:r w:rsidRPr="00F25F03">
        <w:t xml:space="preserve">tandards </w:t>
      </w:r>
      <w:r w:rsidRPr="00F25F03">
        <w:rPr>
          <w:sz w:val="26"/>
          <w:szCs w:val="26"/>
        </w:rPr>
        <w:t>WEQ-023-5; WEQ-023-5.1; WEQ-023-5.1.1; WEQ-023-5.1.2; WEQ-023-5.1.2.1; WEQ</w:t>
      </w:r>
      <w:r w:rsidRPr="00F25F03">
        <w:rPr>
          <w:sz w:val="26"/>
          <w:szCs w:val="26"/>
        </w:rPr>
        <w:t xml:space="preserve">-023-5.1.2.2; WEQ-023-5.1.2.3; WEQ-023-5.1.3; WEQ-023-5.2; WEQ-023-6; WEQ-023-6.1; WEQ-023-6.1.1; WEQ-023-6.1.2; and WEQ-023-A </w:t>
      </w:r>
      <w:r w:rsidRPr="00F25F03">
        <w:t>Appendix A</w:t>
      </w:r>
      <w:r w:rsidRPr="00F25F03">
        <w:t xml:space="preserve">, </w:t>
      </w:r>
      <w:r w:rsidRPr="00F25F03">
        <w:rPr>
          <w:color w:val="000000"/>
        </w:rPr>
        <w:t>pursuant to</w:t>
      </w:r>
      <w:r w:rsidRPr="00F25F03">
        <w:rPr>
          <w:i/>
          <w:iCs/>
          <w:color w:val="000000"/>
        </w:rPr>
        <w:t xml:space="preserve"> </w:t>
      </w:r>
      <w:bookmarkStart w:id="7" w:name="_Hlk99987908"/>
      <w:r w:rsidRPr="00F25F03">
        <w:rPr>
          <w:i/>
          <w:iCs/>
          <w:color w:val="000000"/>
        </w:rPr>
        <w:t>New York Independent System Operator, Inc.</w:t>
      </w:r>
      <w:r w:rsidRPr="00F25F03">
        <w:rPr>
          <w:color w:val="000000"/>
        </w:rPr>
        <w:t xml:space="preserve">, </w:t>
      </w:r>
      <w:r w:rsidRPr="00F25F03">
        <w:t>178 FERC ¶ 61,165 (March 7, 2022)</w:t>
      </w:r>
      <w:r w:rsidRPr="00F25F03">
        <w:t>.</w:t>
      </w:r>
    </w:p>
    <w:bookmarkEnd w:id="7"/>
    <w:p w:rsidR="002F5D7C" w:rsidRPr="000B489E" w:rsidRDefault="00577B0F" w:rsidP="002F5D7C">
      <w:pPr>
        <w:pStyle w:val="Bulletpara"/>
        <w:numPr>
          <w:ilvl w:val="0"/>
          <w:numId w:val="0"/>
        </w:numPr>
        <w:ind w:left="900"/>
      </w:pPr>
    </w:p>
    <w:p w:rsidR="00FC042B" w:rsidRPr="000B489E" w:rsidRDefault="00577B0F" w:rsidP="00DC1E33">
      <w:pPr>
        <w:tabs>
          <w:tab w:val="right" w:pos="9360"/>
        </w:tabs>
      </w:pPr>
    </w:p>
    <w:sectPr w:rsidR="00FC042B" w:rsidRPr="000B489E" w:rsidSect="000903D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40" w:right="1440" w:bottom="1440" w:left="1440" w:header="720" w:footer="720" w:gutter="0"/>
      <w:paperSrc w:first="15" w:other="15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577B0F">
      <w:r>
        <w:separator/>
      </w:r>
    </w:p>
  </w:endnote>
  <w:endnote w:type="continuationSeparator" w:id="0">
    <w:p w:rsidR="00000000" w:rsidRDefault="00577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019D" w:rsidRDefault="00577B0F">
    <w:pPr>
      <w:jc w:val="right"/>
    </w:pPr>
    <w:r>
      <w:rPr>
        <w:rFonts w:ascii="Arial" w:eastAsia="Arial" w:hAnsi="Arial" w:cs="Arial"/>
        <w:color w:val="000000"/>
        <w:sz w:val="16"/>
      </w:rPr>
      <w:t xml:space="preserve">Effective Date: 2/23/2023 - Docket #: ER22-1262-001 -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019D" w:rsidRDefault="00577B0F">
    <w:pPr>
      <w:jc w:val="right"/>
    </w:pPr>
    <w:r>
      <w:rPr>
        <w:rFonts w:ascii="Arial" w:eastAsia="Arial" w:hAnsi="Arial" w:cs="Arial"/>
        <w:color w:val="000000"/>
        <w:sz w:val="16"/>
      </w:rPr>
      <w:t xml:space="preserve">Effective Date: 2/23/2023 - Docket #: ER22-1262-001 -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019D" w:rsidRDefault="00577B0F">
    <w:pPr>
      <w:jc w:val="right"/>
    </w:pPr>
    <w:r>
      <w:rPr>
        <w:rFonts w:ascii="Arial" w:eastAsia="Arial" w:hAnsi="Arial" w:cs="Arial"/>
        <w:color w:val="000000"/>
        <w:sz w:val="16"/>
      </w:rPr>
      <w:t xml:space="preserve">Effective Date: 2/23/2023 - Docket #: ER22-1262-001 -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577B0F">
      <w:r>
        <w:separator/>
      </w:r>
    </w:p>
  </w:footnote>
  <w:footnote w:type="continuationSeparator" w:id="0">
    <w:p w:rsidR="00000000" w:rsidRDefault="00577B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019D" w:rsidRDefault="00577B0F">
    <w:r>
      <w:rPr>
        <w:rFonts w:ascii="Arial" w:eastAsia="Arial" w:hAnsi="Arial" w:cs="Arial"/>
        <w:color w:val="000000"/>
        <w:sz w:val="16"/>
      </w:rPr>
      <w:t>NYISO Tariffs --&gt; Open Access Transmission Tariff (OATT) --&gt; 2 OATT Common Service Provisions --&gt; 2.17 OATT Incorporation of Certain Business Practice Standar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019D" w:rsidRDefault="00577B0F">
    <w:r>
      <w:rPr>
        <w:rFonts w:ascii="Arial" w:eastAsia="Arial" w:hAnsi="Arial" w:cs="Arial"/>
        <w:color w:val="000000"/>
        <w:sz w:val="16"/>
      </w:rPr>
      <w:t>NYISO Tariffs --&gt; Open Access Transmission Tariff (</w:t>
    </w:r>
    <w:r>
      <w:rPr>
        <w:rFonts w:ascii="Arial" w:eastAsia="Arial" w:hAnsi="Arial" w:cs="Arial"/>
        <w:color w:val="000000"/>
        <w:sz w:val="16"/>
      </w:rPr>
      <w:t>OATT) --&gt; 2 OATT Common Service Provisions --&gt; 2.17 OATT Incorporation of Certain Business Practice Standar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019D" w:rsidRDefault="00577B0F">
    <w:r>
      <w:rPr>
        <w:rFonts w:ascii="Arial" w:eastAsia="Arial" w:hAnsi="Arial" w:cs="Arial"/>
        <w:color w:val="000000"/>
        <w:sz w:val="16"/>
      </w:rPr>
      <w:t>NYISO Tariffs --</w:t>
    </w:r>
    <w:r>
      <w:rPr>
        <w:rFonts w:ascii="Arial" w:eastAsia="Arial" w:hAnsi="Arial" w:cs="Arial"/>
        <w:color w:val="000000"/>
        <w:sz w:val="16"/>
      </w:rPr>
      <w:t>&gt; Open Access Transmission Tariff (OATT) --&gt; 2 OATT Common Service Provisions --&gt; 2.17 OATT Incorporation of Certain Business Practice Standar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5374A"/>
    <w:multiLevelType w:val="hybridMultilevel"/>
    <w:tmpl w:val="F5EC19CC"/>
    <w:lvl w:ilvl="0" w:tplc="30BC171A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9F2430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62E896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EF4FD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78241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8ECCB5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A638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1C2600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57612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D81847"/>
    <w:multiLevelType w:val="multilevel"/>
    <w:tmpl w:val="424A9F72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7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73D050E3"/>
    <w:multiLevelType w:val="multilevel"/>
    <w:tmpl w:val="FCB42304"/>
    <w:name w:val="zzmpPleading1||Pleading1|2|1|1|0|10|45||0|10|37||1|10|32||1|12|32||1|12|32||1|12|32||1|12|32||1|12|32||1|12|32||"/>
    <w:lvl w:ilvl="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>
      <w:start w:val="1"/>
      <w:numFmt w:val="decimal"/>
      <w:lvlRestart w:val="0"/>
      <w:lvlText w:val="%2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1800"/>
        </w:tabs>
        <w:ind w:left="1584" w:hanging="432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removePersonalInformation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19D"/>
    <w:rsid w:val="00577B0F"/>
    <w:rsid w:val="00900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3D2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rsid w:val="000903D2"/>
    <w:pPr>
      <w:keepNext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0903D2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0903D2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0903D2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0903D2"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0903D2"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0903D2"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0903D2"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0903D2"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03D2"/>
    <w:rPr>
      <w:b/>
      <w:snapToGrid w:val="0"/>
      <w:sz w:val="24"/>
      <w:lang w:val="en-US" w:eastAsia="en-US" w:bidi="ar-SA"/>
    </w:rPr>
  </w:style>
  <w:style w:type="character" w:customStyle="1" w:styleId="Heading3Char">
    <w:name w:val="Heading 3 Char"/>
    <w:link w:val="Heading3"/>
    <w:rsid w:val="000903D2"/>
    <w:rPr>
      <w:b/>
      <w:snapToGrid w:val="0"/>
      <w:sz w:val="24"/>
      <w:lang w:val="en-US" w:eastAsia="en-US" w:bidi="ar-SA"/>
    </w:rPr>
  </w:style>
  <w:style w:type="character" w:styleId="FootnoteReference">
    <w:name w:val="footnote reference"/>
    <w:semiHidden/>
    <w:rsid w:val="000903D2"/>
  </w:style>
  <w:style w:type="paragraph" w:customStyle="1" w:styleId="Definition">
    <w:name w:val="Definition"/>
    <w:basedOn w:val="Normal"/>
    <w:rsid w:val="000903D2"/>
    <w:pPr>
      <w:widowControl/>
      <w:spacing w:before="240" w:after="240"/>
    </w:pPr>
  </w:style>
  <w:style w:type="paragraph" w:customStyle="1" w:styleId="Definitionindent">
    <w:name w:val="Definition indent"/>
    <w:basedOn w:val="Definition"/>
    <w:rsid w:val="000903D2"/>
    <w:pPr>
      <w:spacing w:before="120" w:after="120"/>
      <w:ind w:left="720"/>
    </w:pPr>
  </w:style>
  <w:style w:type="paragraph" w:customStyle="1" w:styleId="Bodypara">
    <w:name w:val="Body para"/>
    <w:basedOn w:val="Normal"/>
    <w:rsid w:val="000903D2"/>
    <w:pPr>
      <w:spacing w:line="480" w:lineRule="auto"/>
      <w:ind w:firstLine="720"/>
    </w:pPr>
  </w:style>
  <w:style w:type="paragraph" w:customStyle="1" w:styleId="alphapara">
    <w:name w:val="alpha para"/>
    <w:basedOn w:val="Bodypara"/>
    <w:rsid w:val="000903D2"/>
    <w:pPr>
      <w:ind w:left="1440" w:hanging="720"/>
    </w:pPr>
  </w:style>
  <w:style w:type="paragraph" w:styleId="Header">
    <w:name w:val="header"/>
    <w:basedOn w:val="Normal"/>
    <w:rsid w:val="000903D2"/>
    <w:pPr>
      <w:widowControl/>
      <w:tabs>
        <w:tab w:val="center" w:pos="4680"/>
        <w:tab w:val="right" w:pos="9360"/>
      </w:tabs>
    </w:pPr>
    <w:rPr>
      <w:snapToGrid/>
      <w:szCs w:val="24"/>
    </w:rPr>
  </w:style>
  <w:style w:type="paragraph" w:styleId="Date">
    <w:name w:val="Date"/>
    <w:basedOn w:val="Normal"/>
    <w:next w:val="Normal"/>
    <w:rsid w:val="000903D2"/>
    <w:pPr>
      <w:widowControl/>
    </w:pPr>
  </w:style>
  <w:style w:type="paragraph" w:customStyle="1" w:styleId="TOCHeading1">
    <w:name w:val="TOC Heading1"/>
    <w:basedOn w:val="Normal"/>
    <w:rsid w:val="000903D2"/>
    <w:pPr>
      <w:spacing w:before="240" w:after="240"/>
    </w:pPr>
    <w:rPr>
      <w:b/>
    </w:rPr>
  </w:style>
  <w:style w:type="paragraph" w:styleId="DocumentMap">
    <w:name w:val="Document Map"/>
    <w:basedOn w:val="Normal"/>
    <w:semiHidden/>
    <w:rsid w:val="000903D2"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semiHidden/>
    <w:rsid w:val="000903D2"/>
    <w:rPr>
      <w:rFonts w:ascii="Tahoma" w:hAnsi="Tahoma" w:cs="Tahoma"/>
      <w:sz w:val="16"/>
      <w:szCs w:val="16"/>
    </w:rPr>
  </w:style>
  <w:style w:type="paragraph" w:customStyle="1" w:styleId="Footers">
    <w:name w:val="Footers"/>
    <w:basedOn w:val="Heading1"/>
    <w:rsid w:val="000903D2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subhead">
    <w:name w:val="subhead"/>
    <w:basedOn w:val="Heading4"/>
    <w:rsid w:val="000903D2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rsid w:val="000903D2"/>
    <w:pPr>
      <w:keepNext/>
      <w:tabs>
        <w:tab w:val="left" w:pos="1440"/>
      </w:tabs>
      <w:spacing w:before="240" w:after="240"/>
      <w:ind w:left="1440" w:hanging="720"/>
    </w:pPr>
    <w:rPr>
      <w:b/>
      <w:szCs w:val="24"/>
    </w:rPr>
  </w:style>
  <w:style w:type="paragraph" w:customStyle="1" w:styleId="romannumeralpara">
    <w:name w:val="roman numeral para"/>
    <w:basedOn w:val="Normal"/>
    <w:rsid w:val="000903D2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rsid w:val="000903D2"/>
    <w:pPr>
      <w:widowControl/>
      <w:numPr>
        <w:numId w:val="1"/>
      </w:numPr>
      <w:tabs>
        <w:tab w:val="left" w:pos="900"/>
      </w:tabs>
      <w:spacing w:before="120" w:after="120"/>
    </w:pPr>
    <w:rPr>
      <w:szCs w:val="24"/>
    </w:rPr>
  </w:style>
  <w:style w:type="paragraph" w:styleId="TOC1">
    <w:name w:val="toc 1"/>
    <w:basedOn w:val="Normal"/>
    <w:next w:val="Normal"/>
    <w:semiHidden/>
    <w:rsid w:val="000903D2"/>
  </w:style>
  <w:style w:type="paragraph" w:customStyle="1" w:styleId="Tarifftitle">
    <w:name w:val="Tariff title"/>
    <w:basedOn w:val="Normal"/>
    <w:rsid w:val="000903D2"/>
    <w:rPr>
      <w:b/>
      <w:sz w:val="28"/>
      <w:szCs w:val="28"/>
    </w:rPr>
  </w:style>
  <w:style w:type="paragraph" w:styleId="TOC2">
    <w:name w:val="toc 2"/>
    <w:basedOn w:val="Normal"/>
    <w:next w:val="Normal"/>
    <w:semiHidden/>
    <w:rsid w:val="000903D2"/>
    <w:pPr>
      <w:ind w:left="240"/>
    </w:pPr>
  </w:style>
  <w:style w:type="character" w:styleId="Hyperlink">
    <w:name w:val="Hyperlink"/>
    <w:rsid w:val="000903D2"/>
    <w:rPr>
      <w:color w:val="0000FF"/>
      <w:u w:val="single"/>
    </w:rPr>
  </w:style>
  <w:style w:type="paragraph" w:styleId="TOC3">
    <w:name w:val="toc 3"/>
    <w:basedOn w:val="Normal"/>
    <w:next w:val="Normal"/>
    <w:semiHidden/>
    <w:rsid w:val="000903D2"/>
    <w:pPr>
      <w:ind w:left="480"/>
    </w:pPr>
  </w:style>
  <w:style w:type="paragraph" w:styleId="TOC4">
    <w:name w:val="toc 4"/>
    <w:basedOn w:val="Normal"/>
    <w:next w:val="Normal"/>
    <w:semiHidden/>
    <w:rsid w:val="000903D2"/>
    <w:pPr>
      <w:ind w:left="720"/>
    </w:pPr>
  </w:style>
  <w:style w:type="paragraph" w:styleId="TOC5">
    <w:name w:val="toc 5"/>
    <w:basedOn w:val="Normal"/>
    <w:next w:val="Normal"/>
    <w:semiHidden/>
    <w:rsid w:val="000903D2"/>
    <w:pPr>
      <w:widowControl/>
      <w:ind w:left="960"/>
    </w:pPr>
    <w:rPr>
      <w:snapToGrid/>
      <w:szCs w:val="24"/>
    </w:rPr>
  </w:style>
  <w:style w:type="paragraph" w:styleId="TOC6">
    <w:name w:val="toc 6"/>
    <w:basedOn w:val="Normal"/>
    <w:next w:val="Normal"/>
    <w:semiHidden/>
    <w:rsid w:val="000903D2"/>
    <w:pPr>
      <w:widowControl/>
      <w:ind w:left="1200"/>
    </w:pPr>
    <w:rPr>
      <w:snapToGrid/>
      <w:szCs w:val="24"/>
    </w:rPr>
  </w:style>
  <w:style w:type="paragraph" w:styleId="TOC7">
    <w:name w:val="toc 7"/>
    <w:basedOn w:val="Normal"/>
    <w:next w:val="Normal"/>
    <w:semiHidden/>
    <w:rsid w:val="000903D2"/>
    <w:pPr>
      <w:widowControl/>
      <w:ind w:left="1440"/>
    </w:pPr>
    <w:rPr>
      <w:snapToGrid/>
      <w:szCs w:val="24"/>
    </w:rPr>
  </w:style>
  <w:style w:type="paragraph" w:styleId="TOC8">
    <w:name w:val="toc 8"/>
    <w:basedOn w:val="Normal"/>
    <w:next w:val="Normal"/>
    <w:semiHidden/>
    <w:rsid w:val="000903D2"/>
    <w:pPr>
      <w:widowControl/>
      <w:ind w:left="1680"/>
    </w:pPr>
    <w:rPr>
      <w:snapToGrid/>
      <w:szCs w:val="24"/>
    </w:rPr>
  </w:style>
  <w:style w:type="paragraph" w:styleId="TOC9">
    <w:name w:val="toc 9"/>
    <w:basedOn w:val="Normal"/>
    <w:next w:val="Normal"/>
    <w:semiHidden/>
    <w:rsid w:val="000903D2"/>
    <w:pPr>
      <w:widowControl/>
      <w:ind w:left="1920"/>
    </w:pPr>
    <w:rPr>
      <w:snapToGrid/>
      <w:szCs w:val="24"/>
    </w:rPr>
  </w:style>
  <w:style w:type="paragraph" w:customStyle="1" w:styleId="a">
    <w:name w:val="_"/>
    <w:basedOn w:val="Normal"/>
    <w:rsid w:val="000903D2"/>
    <w:pPr>
      <w:ind w:left="1800" w:hanging="630"/>
    </w:pPr>
  </w:style>
  <w:style w:type="character" w:styleId="CommentReference">
    <w:name w:val="annotation reference"/>
    <w:semiHidden/>
    <w:rsid w:val="000903D2"/>
    <w:rPr>
      <w:sz w:val="16"/>
      <w:szCs w:val="16"/>
    </w:rPr>
  </w:style>
  <w:style w:type="paragraph" w:styleId="CommentText">
    <w:name w:val="annotation text"/>
    <w:basedOn w:val="Normal"/>
    <w:semiHidden/>
    <w:rsid w:val="000903D2"/>
    <w:rPr>
      <w:sz w:val="20"/>
    </w:rPr>
  </w:style>
  <w:style w:type="paragraph" w:styleId="CommentSubject">
    <w:name w:val="annotation subject"/>
    <w:basedOn w:val="CommentText"/>
    <w:next w:val="CommentText"/>
    <w:semiHidden/>
    <w:rsid w:val="000903D2"/>
    <w:rPr>
      <w:b/>
      <w:bCs/>
    </w:rPr>
  </w:style>
  <w:style w:type="paragraph" w:styleId="Footer">
    <w:name w:val="footer"/>
    <w:basedOn w:val="Normal"/>
    <w:rsid w:val="000903D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903D2"/>
  </w:style>
  <w:style w:type="paragraph" w:styleId="BodyText">
    <w:name w:val="Body Text"/>
    <w:basedOn w:val="Normal"/>
    <w:link w:val="BodyTextChar"/>
    <w:uiPriority w:val="1"/>
    <w:qFormat/>
    <w:rsid w:val="0029137F"/>
    <w:pPr>
      <w:ind w:left="120"/>
    </w:pPr>
    <w:rPr>
      <w:rFonts w:cstheme="minorBidi"/>
      <w:snapToGrid/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rsid w:val="0029137F"/>
    <w:rPr>
      <w:rFonts w:cstheme="minorBidi"/>
      <w:sz w:val="26"/>
      <w:szCs w:val="26"/>
    </w:rPr>
  </w:style>
  <w:style w:type="paragraph" w:styleId="Revision">
    <w:name w:val="Revision"/>
    <w:hidden/>
    <w:uiPriority w:val="99"/>
    <w:semiHidden/>
    <w:rsid w:val="0068415E"/>
    <w:rPr>
      <w:snapToGrid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3D2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rsid w:val="000903D2"/>
    <w:pPr>
      <w:keepNext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0903D2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0903D2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0903D2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0903D2"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0903D2"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0903D2"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0903D2"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0903D2"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03D2"/>
    <w:rPr>
      <w:b/>
      <w:snapToGrid w:val="0"/>
      <w:sz w:val="24"/>
      <w:lang w:val="en-US" w:eastAsia="en-US" w:bidi="ar-SA"/>
    </w:rPr>
  </w:style>
  <w:style w:type="character" w:customStyle="1" w:styleId="Heading3Char">
    <w:name w:val="Heading 3 Char"/>
    <w:link w:val="Heading3"/>
    <w:rsid w:val="000903D2"/>
    <w:rPr>
      <w:b/>
      <w:snapToGrid w:val="0"/>
      <w:sz w:val="24"/>
      <w:lang w:val="en-US" w:eastAsia="en-US" w:bidi="ar-SA"/>
    </w:rPr>
  </w:style>
  <w:style w:type="character" w:styleId="FootnoteReference">
    <w:name w:val="footnote reference"/>
    <w:semiHidden/>
    <w:rsid w:val="000903D2"/>
  </w:style>
  <w:style w:type="paragraph" w:customStyle="1" w:styleId="Definition">
    <w:name w:val="Definition"/>
    <w:basedOn w:val="Normal"/>
    <w:rsid w:val="000903D2"/>
    <w:pPr>
      <w:widowControl/>
      <w:spacing w:before="240" w:after="240"/>
    </w:pPr>
  </w:style>
  <w:style w:type="paragraph" w:customStyle="1" w:styleId="Definitionindent">
    <w:name w:val="Definition indent"/>
    <w:basedOn w:val="Definition"/>
    <w:rsid w:val="000903D2"/>
    <w:pPr>
      <w:spacing w:before="120" w:after="120"/>
      <w:ind w:left="720"/>
    </w:pPr>
  </w:style>
  <w:style w:type="paragraph" w:customStyle="1" w:styleId="Bodypara">
    <w:name w:val="Body para"/>
    <w:basedOn w:val="Normal"/>
    <w:rsid w:val="000903D2"/>
    <w:pPr>
      <w:spacing w:line="480" w:lineRule="auto"/>
      <w:ind w:firstLine="720"/>
    </w:pPr>
  </w:style>
  <w:style w:type="paragraph" w:customStyle="1" w:styleId="alphapara">
    <w:name w:val="alpha para"/>
    <w:basedOn w:val="Bodypara"/>
    <w:rsid w:val="000903D2"/>
    <w:pPr>
      <w:ind w:left="1440" w:hanging="720"/>
    </w:pPr>
  </w:style>
  <w:style w:type="paragraph" w:styleId="Header">
    <w:name w:val="header"/>
    <w:basedOn w:val="Normal"/>
    <w:rsid w:val="000903D2"/>
    <w:pPr>
      <w:widowControl/>
      <w:tabs>
        <w:tab w:val="center" w:pos="4680"/>
        <w:tab w:val="right" w:pos="9360"/>
      </w:tabs>
    </w:pPr>
    <w:rPr>
      <w:snapToGrid/>
      <w:szCs w:val="24"/>
    </w:rPr>
  </w:style>
  <w:style w:type="paragraph" w:styleId="Date">
    <w:name w:val="Date"/>
    <w:basedOn w:val="Normal"/>
    <w:next w:val="Normal"/>
    <w:rsid w:val="000903D2"/>
    <w:pPr>
      <w:widowControl/>
    </w:pPr>
  </w:style>
  <w:style w:type="paragraph" w:customStyle="1" w:styleId="TOCHeading1">
    <w:name w:val="TOC Heading1"/>
    <w:basedOn w:val="Normal"/>
    <w:rsid w:val="000903D2"/>
    <w:pPr>
      <w:spacing w:before="240" w:after="240"/>
    </w:pPr>
    <w:rPr>
      <w:b/>
    </w:rPr>
  </w:style>
  <w:style w:type="paragraph" w:styleId="DocumentMap">
    <w:name w:val="Document Map"/>
    <w:basedOn w:val="Normal"/>
    <w:semiHidden/>
    <w:rsid w:val="000903D2"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semiHidden/>
    <w:rsid w:val="000903D2"/>
    <w:rPr>
      <w:rFonts w:ascii="Tahoma" w:hAnsi="Tahoma" w:cs="Tahoma"/>
      <w:sz w:val="16"/>
      <w:szCs w:val="16"/>
    </w:rPr>
  </w:style>
  <w:style w:type="paragraph" w:customStyle="1" w:styleId="Footers">
    <w:name w:val="Footers"/>
    <w:basedOn w:val="Heading1"/>
    <w:rsid w:val="000903D2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subhead">
    <w:name w:val="subhead"/>
    <w:basedOn w:val="Heading4"/>
    <w:rsid w:val="000903D2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rsid w:val="000903D2"/>
    <w:pPr>
      <w:keepNext/>
      <w:tabs>
        <w:tab w:val="left" w:pos="1440"/>
      </w:tabs>
      <w:spacing w:before="240" w:after="240"/>
      <w:ind w:left="1440" w:hanging="720"/>
    </w:pPr>
    <w:rPr>
      <w:b/>
      <w:szCs w:val="24"/>
    </w:rPr>
  </w:style>
  <w:style w:type="paragraph" w:customStyle="1" w:styleId="romannumeralpara">
    <w:name w:val="roman numeral para"/>
    <w:basedOn w:val="Normal"/>
    <w:rsid w:val="000903D2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rsid w:val="000903D2"/>
    <w:pPr>
      <w:widowControl/>
      <w:numPr>
        <w:numId w:val="1"/>
      </w:numPr>
      <w:tabs>
        <w:tab w:val="left" w:pos="900"/>
      </w:tabs>
      <w:spacing w:before="120" w:after="120"/>
    </w:pPr>
    <w:rPr>
      <w:szCs w:val="24"/>
    </w:rPr>
  </w:style>
  <w:style w:type="paragraph" w:styleId="TOC1">
    <w:name w:val="toc 1"/>
    <w:basedOn w:val="Normal"/>
    <w:next w:val="Normal"/>
    <w:semiHidden/>
    <w:rsid w:val="000903D2"/>
  </w:style>
  <w:style w:type="paragraph" w:customStyle="1" w:styleId="Tarifftitle">
    <w:name w:val="Tariff title"/>
    <w:basedOn w:val="Normal"/>
    <w:rsid w:val="000903D2"/>
    <w:rPr>
      <w:b/>
      <w:sz w:val="28"/>
      <w:szCs w:val="28"/>
    </w:rPr>
  </w:style>
  <w:style w:type="paragraph" w:styleId="TOC2">
    <w:name w:val="toc 2"/>
    <w:basedOn w:val="Normal"/>
    <w:next w:val="Normal"/>
    <w:semiHidden/>
    <w:rsid w:val="000903D2"/>
    <w:pPr>
      <w:ind w:left="240"/>
    </w:pPr>
  </w:style>
  <w:style w:type="character" w:styleId="Hyperlink">
    <w:name w:val="Hyperlink"/>
    <w:rsid w:val="000903D2"/>
    <w:rPr>
      <w:color w:val="0000FF"/>
      <w:u w:val="single"/>
    </w:rPr>
  </w:style>
  <w:style w:type="paragraph" w:styleId="TOC3">
    <w:name w:val="toc 3"/>
    <w:basedOn w:val="Normal"/>
    <w:next w:val="Normal"/>
    <w:semiHidden/>
    <w:rsid w:val="000903D2"/>
    <w:pPr>
      <w:ind w:left="480"/>
    </w:pPr>
  </w:style>
  <w:style w:type="paragraph" w:styleId="TOC4">
    <w:name w:val="toc 4"/>
    <w:basedOn w:val="Normal"/>
    <w:next w:val="Normal"/>
    <w:semiHidden/>
    <w:rsid w:val="000903D2"/>
    <w:pPr>
      <w:ind w:left="720"/>
    </w:pPr>
  </w:style>
  <w:style w:type="paragraph" w:styleId="TOC5">
    <w:name w:val="toc 5"/>
    <w:basedOn w:val="Normal"/>
    <w:next w:val="Normal"/>
    <w:semiHidden/>
    <w:rsid w:val="000903D2"/>
    <w:pPr>
      <w:widowControl/>
      <w:ind w:left="960"/>
    </w:pPr>
    <w:rPr>
      <w:snapToGrid/>
      <w:szCs w:val="24"/>
    </w:rPr>
  </w:style>
  <w:style w:type="paragraph" w:styleId="TOC6">
    <w:name w:val="toc 6"/>
    <w:basedOn w:val="Normal"/>
    <w:next w:val="Normal"/>
    <w:semiHidden/>
    <w:rsid w:val="000903D2"/>
    <w:pPr>
      <w:widowControl/>
      <w:ind w:left="1200"/>
    </w:pPr>
    <w:rPr>
      <w:snapToGrid/>
      <w:szCs w:val="24"/>
    </w:rPr>
  </w:style>
  <w:style w:type="paragraph" w:styleId="TOC7">
    <w:name w:val="toc 7"/>
    <w:basedOn w:val="Normal"/>
    <w:next w:val="Normal"/>
    <w:semiHidden/>
    <w:rsid w:val="000903D2"/>
    <w:pPr>
      <w:widowControl/>
      <w:ind w:left="1440"/>
    </w:pPr>
    <w:rPr>
      <w:snapToGrid/>
      <w:szCs w:val="24"/>
    </w:rPr>
  </w:style>
  <w:style w:type="paragraph" w:styleId="TOC8">
    <w:name w:val="toc 8"/>
    <w:basedOn w:val="Normal"/>
    <w:next w:val="Normal"/>
    <w:semiHidden/>
    <w:rsid w:val="000903D2"/>
    <w:pPr>
      <w:widowControl/>
      <w:ind w:left="1680"/>
    </w:pPr>
    <w:rPr>
      <w:snapToGrid/>
      <w:szCs w:val="24"/>
    </w:rPr>
  </w:style>
  <w:style w:type="paragraph" w:styleId="TOC9">
    <w:name w:val="toc 9"/>
    <w:basedOn w:val="Normal"/>
    <w:next w:val="Normal"/>
    <w:semiHidden/>
    <w:rsid w:val="000903D2"/>
    <w:pPr>
      <w:widowControl/>
      <w:ind w:left="1920"/>
    </w:pPr>
    <w:rPr>
      <w:snapToGrid/>
      <w:szCs w:val="24"/>
    </w:rPr>
  </w:style>
  <w:style w:type="paragraph" w:customStyle="1" w:styleId="a">
    <w:name w:val="_"/>
    <w:basedOn w:val="Normal"/>
    <w:rsid w:val="000903D2"/>
    <w:pPr>
      <w:ind w:left="1800" w:hanging="630"/>
    </w:pPr>
  </w:style>
  <w:style w:type="character" w:styleId="CommentReference">
    <w:name w:val="annotation reference"/>
    <w:semiHidden/>
    <w:rsid w:val="000903D2"/>
    <w:rPr>
      <w:sz w:val="16"/>
      <w:szCs w:val="16"/>
    </w:rPr>
  </w:style>
  <w:style w:type="paragraph" w:styleId="CommentText">
    <w:name w:val="annotation text"/>
    <w:basedOn w:val="Normal"/>
    <w:semiHidden/>
    <w:rsid w:val="000903D2"/>
    <w:rPr>
      <w:sz w:val="20"/>
    </w:rPr>
  </w:style>
  <w:style w:type="paragraph" w:styleId="CommentSubject">
    <w:name w:val="annotation subject"/>
    <w:basedOn w:val="CommentText"/>
    <w:next w:val="CommentText"/>
    <w:semiHidden/>
    <w:rsid w:val="000903D2"/>
    <w:rPr>
      <w:b/>
      <w:bCs/>
    </w:rPr>
  </w:style>
  <w:style w:type="paragraph" w:styleId="Footer">
    <w:name w:val="footer"/>
    <w:basedOn w:val="Normal"/>
    <w:rsid w:val="000903D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903D2"/>
  </w:style>
  <w:style w:type="paragraph" w:styleId="BodyText">
    <w:name w:val="Body Text"/>
    <w:basedOn w:val="Normal"/>
    <w:link w:val="BodyTextChar"/>
    <w:uiPriority w:val="1"/>
    <w:qFormat/>
    <w:rsid w:val="0029137F"/>
    <w:pPr>
      <w:ind w:left="120"/>
    </w:pPr>
    <w:rPr>
      <w:rFonts w:cstheme="minorBidi"/>
      <w:snapToGrid/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rsid w:val="0029137F"/>
    <w:rPr>
      <w:rFonts w:cstheme="minorBidi"/>
      <w:sz w:val="26"/>
      <w:szCs w:val="26"/>
    </w:rPr>
  </w:style>
  <w:style w:type="paragraph" w:styleId="Revision">
    <w:name w:val="Revision"/>
    <w:hidden/>
    <w:uiPriority w:val="99"/>
    <w:semiHidden/>
    <w:rsid w:val="0068415E"/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4FB523-56B6-4D72-9868-B2F1494FF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666</Words>
  <Characters>3797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2013-05-08T20:40:00Z</cp:lastPrinted>
  <dcterms:created xsi:type="dcterms:W3CDTF">2023-12-27T22:05:00Z</dcterms:created>
  <dcterms:modified xsi:type="dcterms:W3CDTF">2023-12-27T22:05:00Z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bf193d9-c1cf-45e0-8fa7-a9bc86b7f5dd_ActionId">
    <vt:lpwstr>9cdff73c-8e53-41c8-88ed-a745ff578dff</vt:lpwstr>
  </property>
  <property fmtid="{D5CDD505-2E9C-101B-9397-08002B2CF9AE}" pid="3" name="MSIP_Label_5bf193d9-c1cf-45e0-8fa7-a9bc86b7f5dd_ContentBits">
    <vt:lpwstr>0</vt:lpwstr>
  </property>
  <property fmtid="{D5CDD505-2E9C-101B-9397-08002B2CF9AE}" pid="4" name="MSIP_Label_5bf193d9-c1cf-45e0-8fa7-a9bc86b7f5dd_Enabled">
    <vt:lpwstr>true</vt:lpwstr>
  </property>
  <property fmtid="{D5CDD505-2E9C-101B-9397-08002B2CF9AE}" pid="5" name="MSIP_Label_5bf193d9-c1cf-45e0-8fa7-a9bc86b7f5dd_Method">
    <vt:lpwstr>Privileged</vt:lpwstr>
  </property>
  <property fmtid="{D5CDD505-2E9C-101B-9397-08002B2CF9AE}" pid="6" name="MSIP_Label_5bf193d9-c1cf-45e0-8fa7-a9bc86b7f5dd_Name">
    <vt:lpwstr>NYISO Proprietary Information</vt:lpwstr>
  </property>
  <property fmtid="{D5CDD505-2E9C-101B-9397-08002B2CF9AE}" pid="7" name="MSIP_Label_5bf193d9-c1cf-45e0-8fa7-a9bc86b7f5dd_SetDate">
    <vt:lpwstr>2023-03-21T20:50:46Z</vt:lpwstr>
  </property>
  <property fmtid="{D5CDD505-2E9C-101B-9397-08002B2CF9AE}" pid="8" name="MSIP_Label_5bf193d9-c1cf-45e0-8fa7-a9bc86b7f5dd_SiteId">
    <vt:lpwstr>7658602a-f7b9-4209-bc62-d2bfc30dea0d</vt:lpwstr>
  </property>
  <property fmtid="{D5CDD505-2E9C-101B-9397-08002B2CF9AE}" pid="9" name="SWDocID">
    <vt:lpwstr>55430.000064 EMF_US 38063496v1</vt:lpwstr>
  </property>
  <property fmtid="{D5CDD505-2E9C-101B-9397-08002B2CF9AE}" pid="10" name="_AdHocReviewCycleID">
    <vt:i4>1499484901</vt:i4>
  </property>
  <property fmtid="{D5CDD505-2E9C-101B-9397-08002B2CF9AE}" pid="11" name="_NewReviewCycle">
    <vt:lpwstr/>
  </property>
  <property fmtid="{D5CDD505-2E9C-101B-9397-08002B2CF9AE}" pid="12" name="_ReviewingToolsShownOnce">
    <vt:lpwstr/>
  </property>
</Properties>
</file>