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 w:rsidR="00EC2250" w:rsidP="00EC2250">
      <w:pPr>
        <w:pStyle w:val="Heading2"/>
      </w:pPr>
      <w:bookmarkStart w:id="0" w:name="_Toc261444356"/>
      <w:r>
        <w:t>2</w:t>
      </w:r>
      <w:r w:rsidRPr="00FF3018">
        <w:t>.</w:t>
      </w:r>
      <w:r>
        <w:t>3</w:t>
      </w:r>
      <w:r w:rsidRPr="00FF3018">
        <w:tab/>
        <w:t>Ancillary Services</w:t>
      </w:r>
      <w:bookmarkEnd w:id="0"/>
    </w:p>
    <w:p w:rsidR="00EC2250" w:rsidP="00EC2250">
      <w:pPr>
        <w:pStyle w:val="Bodypara"/>
      </w:pPr>
      <w:r>
        <w:t xml:space="preserve">Ancillary Services are needed with Transmission Service to maintain reliability within and among the Control Areas affected by the Transmission Service.  The ISO </w:t>
      </w:r>
    </w:p>
    <w:p w:rsidR="00EC2250" w:rsidP="00EC225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480" w:lineRule="auto"/>
      </w:pPr>
      <w:r>
        <w:t>provide</w:t>
      </w:r>
      <w:r>
        <w:t xml:space="preserve">s </w:t>
      </w:r>
      <w:r>
        <w:t>the following Ancillary Services:  (i) Scheduling, Sy</w:t>
      </w:r>
      <w:r>
        <w:t>stem Con</w:t>
      </w:r>
      <w:r>
        <w:t>trol and Dispatch, (ii) </w:t>
      </w:r>
      <w:r>
        <w:t xml:space="preserve">Voltage Support Service, (iii) </w:t>
      </w:r>
      <w:r>
        <w:t xml:space="preserve">Regulation Service, (iv) </w:t>
      </w:r>
      <w:r>
        <w:t>Energy Imbalance</w:t>
      </w:r>
      <w:r>
        <w:t>; (v) Operating Reserves Service</w:t>
      </w:r>
      <w:r>
        <w:t>,</w:t>
      </w:r>
      <w:r>
        <w:t xml:space="preserve"> and (v</w:t>
      </w:r>
      <w:r>
        <w:t>i</w:t>
      </w:r>
      <w:r>
        <w:t xml:space="preserve">) Black Start Service.  </w:t>
      </w:r>
    </w:p>
    <w:p w:rsidR="00EC2250" w:rsidP="00EC2250">
      <w:pPr>
        <w:pStyle w:val="Bodypara"/>
      </w:pPr>
      <w:r>
        <w:t>The specific Ancillary Services, prices and/or compensation methods are described on the sched</w:t>
      </w:r>
      <w:r>
        <w:t>ules that are attached to and made a part of this Tariff.    Sections 2.3.1 through 2.3.6 below list the six Ancillary Services.</w:t>
      </w:r>
    </w:p>
    <w:p w:rsidR="00EC2250" w:rsidP="00EC2250">
      <w:pPr>
        <w:pStyle w:val="Heading3"/>
      </w:pPr>
      <w:bookmarkStart w:id="1" w:name="_Toc261444357"/>
      <w:r>
        <w:t>2.3.1</w:t>
      </w:r>
      <w:r>
        <w:tab/>
        <w:t>Scheduling, System Control and Dispatch Service:</w:t>
      </w:r>
      <w:bookmarkEnd w:id="1"/>
      <w:r>
        <w:t xml:space="preserve">  </w:t>
      </w:r>
    </w:p>
    <w:p w:rsidR="00EC2250" w:rsidP="00EC2250">
      <w:pPr>
        <w:pStyle w:val="Bodypara"/>
      </w:pPr>
      <w:r>
        <w:t>The costs for Scheduling, System Control, and Dispatch Service are inc</w:t>
      </w:r>
      <w:r>
        <w:t>luded among those costs recovered through Schedule 1.</w:t>
      </w:r>
    </w:p>
    <w:p w:rsidR="00EC2250" w:rsidP="00EC2250">
      <w:pPr>
        <w:pStyle w:val="Heading3"/>
      </w:pPr>
      <w:bookmarkStart w:id="2" w:name="_Toc261444358"/>
      <w:r>
        <w:t>2.3</w:t>
      </w:r>
      <w:r w:rsidRPr="008A3DD5">
        <w:t>.2</w:t>
      </w:r>
      <w:r w:rsidRPr="008A3DD5">
        <w:tab/>
        <w:t>Voltage Support Service:</w:t>
      </w:r>
      <w:bookmarkEnd w:id="2"/>
      <w:r w:rsidRPr="008A3DD5">
        <w:t xml:space="preserve">  </w:t>
      </w:r>
    </w:p>
    <w:p w:rsidR="00EC2250" w:rsidP="00EC2250">
      <w:pPr>
        <w:pStyle w:val="Bodypara"/>
      </w:pPr>
      <w:r w:rsidRPr="008A3DD5">
        <w:t>The rates and/or methodology are described in</w:t>
      </w:r>
      <w:r>
        <w:t xml:space="preserve"> Schedule 2.</w:t>
      </w:r>
    </w:p>
    <w:p w:rsidR="00EC2250" w:rsidP="00EC2250">
      <w:pPr>
        <w:pStyle w:val="Heading3"/>
      </w:pPr>
      <w:bookmarkStart w:id="3" w:name="_Toc261444359"/>
      <w:r>
        <w:t>2.3</w:t>
      </w:r>
      <w:r w:rsidRPr="008A3DD5">
        <w:t>.</w:t>
      </w:r>
      <w:r>
        <w:t>3</w:t>
      </w:r>
      <w:r>
        <w:tab/>
        <w:t>Regulation Service:</w:t>
      </w:r>
      <w:bookmarkEnd w:id="3"/>
      <w:r>
        <w:t xml:space="preserve">  </w:t>
      </w:r>
    </w:p>
    <w:p w:rsidR="00EC2250" w:rsidP="00EC2250">
      <w:pPr>
        <w:pStyle w:val="Bodypara"/>
      </w:pPr>
      <w:r>
        <w:t>The rates and/or methodology are described in Schedule 3.</w:t>
      </w:r>
    </w:p>
    <w:p w:rsidR="00EC2250" w:rsidP="00EC2250">
      <w:pPr>
        <w:pStyle w:val="Heading3"/>
      </w:pPr>
      <w:bookmarkStart w:id="4" w:name="_Toc261444360"/>
      <w:r>
        <w:t>2.3</w:t>
      </w:r>
      <w:r w:rsidRPr="008A3DD5">
        <w:t>.</w:t>
      </w:r>
      <w:r>
        <w:t>4</w:t>
      </w:r>
      <w:r>
        <w:tab/>
        <w:t>Energy Imbalance Se</w:t>
      </w:r>
      <w:r>
        <w:t>rvice:</w:t>
      </w:r>
      <w:bookmarkEnd w:id="4"/>
      <w:r>
        <w:t xml:space="preserve">  </w:t>
      </w:r>
    </w:p>
    <w:p w:rsidR="00EC2250" w:rsidP="00EC2250">
      <w:pPr>
        <w:pStyle w:val="Bodypara"/>
      </w:pPr>
      <w:r>
        <w:t>The rates and/or methodology are described in Schedule 4.</w:t>
      </w:r>
    </w:p>
    <w:p w:rsidR="00EC2250" w:rsidP="00EC2250">
      <w:pPr>
        <w:pStyle w:val="Heading3"/>
      </w:pPr>
      <w:bookmarkStart w:id="5" w:name="_Toc261444361"/>
      <w:r>
        <w:t>2.3</w:t>
      </w:r>
      <w:r w:rsidRPr="008A3DD5">
        <w:t>.</w:t>
      </w:r>
      <w:r>
        <w:t>5</w:t>
      </w:r>
      <w:r>
        <w:tab/>
        <w:t>Operating Reserve Service:</w:t>
      </w:r>
      <w:bookmarkEnd w:id="5"/>
      <w:r>
        <w:t xml:space="preserve">  </w:t>
      </w:r>
    </w:p>
    <w:p w:rsidR="00EC2250" w:rsidP="00EC2250">
      <w:pPr>
        <w:pStyle w:val="Bodypara"/>
      </w:pPr>
      <w:r>
        <w:t>The rates and/or methodology are described in Schedule 5.</w:t>
      </w:r>
    </w:p>
    <w:p w:rsidR="00EC2250" w:rsidP="00EC2250">
      <w:pPr>
        <w:pStyle w:val="Heading3"/>
      </w:pPr>
      <w:bookmarkStart w:id="6" w:name="_Toc261444362"/>
      <w:r>
        <w:t>2.3</w:t>
      </w:r>
      <w:r w:rsidRPr="008A3DD5">
        <w:t>.</w:t>
      </w:r>
      <w:r>
        <w:t>6</w:t>
      </w:r>
      <w:r>
        <w:tab/>
        <w:t>ISO Black Start Capability:</w:t>
      </w:r>
      <w:bookmarkEnd w:id="6"/>
      <w:r>
        <w:t xml:space="preserve">  </w:t>
      </w:r>
    </w:p>
    <w:p w:rsidR="00EC2250" w:rsidP="00EC2250">
      <w:pPr>
        <w:pStyle w:val="Bodypara"/>
      </w:pPr>
      <w:r>
        <w:t>The rates and/or methodology are described in Schedule 6.</w:t>
      </w:r>
    </w:p>
    <w:sectPr w:rsidSect="00EC225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endnotePr>
        <w:numFmt w:val="decimal"/>
      </w:endnotePr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10/7/2011 - Docket #: ER11-4257-000 -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10/7/2011 - Docket #: ER11-4257-000 -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10/7/2011 - Docket #: ER11-4257-000 -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2 OATT Common Service Provisions --&gt; 2.3 OATT Ancillary Services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2 OATT Common Service Provisions --&gt; 2.3 OATT Ancillary Services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2 OATT Common Service Provisions --&gt; 2.3 OATT Ancillary Services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hideSpellingErrors/>
  <w:hideGrammaticalErrors/>
  <w:zoom w:percent="100"/>
  <w:removePersonalInformation/>
  <w:embedSystemFonts/>
  <w:bordersDoNotSurroundHeader/>
  <w:bordersDoNotSurroundFooter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wpJustification/>
    <w:noTabHangInd/>
    <w:subFontBySize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0880"/>
    <w:rsid w:val="008A3DD5"/>
    <w:rsid w:val="00972195"/>
    <w:rsid w:val="00EC2250"/>
    <w:rsid w:val="00FF3018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</w:style>
  <w:style w:type="paragraph" w:customStyle="1" w:styleId="Definition">
    <w:name w:val="Definition"/>
    <w:basedOn w:val="Normal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pPr>
      <w:widowControl/>
    </w:pPr>
  </w:style>
  <w:style w:type="paragraph" w:customStyle="1" w:styleId="TOCheading">
    <w:name w:val="TOC heading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1601-01-01T00:00:00Z</cp:lastPrinted>
  <dcterms:created xsi:type="dcterms:W3CDTF">2016-09-04T00:28:00Z</dcterms:created>
  <dcterms:modified xsi:type="dcterms:W3CDTF">2016-09-04T00:28:00Z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55430.000072 EMF_US 32431670v1</vt:lpwstr>
  </property>
</Properties>
</file>