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A47751"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A47751"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A47751"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A47751"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A47751"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A47751" w:rsidP="00BE013F">
      <w:pPr>
        <w:pStyle w:val="alphapara"/>
      </w:pPr>
      <w:r w:rsidRPr="009D5A79">
        <w:t>14.1.1.3</w:t>
      </w:r>
      <w:r w:rsidRPr="009D5A79">
        <w:tab/>
        <w:t xml:space="preserve">to serve Load within the NYCA; except, the Wholesale TSC shall not apply to: </w:t>
      </w:r>
    </w:p>
    <w:p w:rsidR="004C2F99" w:rsidRPr="009D5A79" w:rsidRDefault="00A47751"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A47751"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A47751"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A47751"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A47751"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A47751" w:rsidP="00BE013F">
      <w:pPr>
        <w:pStyle w:val="Bodypara"/>
      </w:pPr>
      <w:r w:rsidRPr="00EA3055">
        <w:t>Sections 14.1.2-14.1.6 do not apply to the development of the NYPA TSC, which is described in Section 14.1.7.</w:t>
      </w:r>
    </w:p>
    <w:p w:rsidR="004C2F99" w:rsidRPr="00EA3055" w:rsidRDefault="00A47751"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A47751"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A47751"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A47751">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A47751"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A47751"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A47751"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A47751"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A47751"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A47751"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A47751"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A47751"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E17A16" w:rsidRPr="008B0FA5" w:rsidRDefault="00A47751"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A47751"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A47751"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t xml:space="preserve"> in the Transmission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w:t>
      </w:r>
      <w:r w:rsidRPr="00E17A16">
        <w:t>ch applicable TCC sold in a Direct Sale divided by the duration of that TCC (in months).</w:t>
      </w:r>
    </w:p>
    <w:p w:rsidR="004C2F99" w:rsidRPr="00046966" w:rsidRDefault="00A47751"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include</w:t>
      </w:r>
      <w:r w:rsidRPr="00EA3055">
        <w:t>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A47751" w:rsidP="00BE013F">
      <w:pPr>
        <w:pStyle w:val="Bodypara"/>
      </w:pPr>
      <w:r w:rsidRPr="00046966">
        <w:t>Revenue from TCCs associated with Residual Transmission Capacity includes payments fo</w:t>
      </w:r>
      <w:r w:rsidRPr="00046966">
        <w:t>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des</w:t>
      </w:r>
      <w:r w:rsidRPr="00046966">
        <w:t>cribed in Attachment N).</w:t>
      </w:r>
    </w:p>
    <w:p w:rsidR="00BE013F" w:rsidRDefault="00A47751" w:rsidP="00BE013F">
      <w:pPr>
        <w:pStyle w:val="Bodypara"/>
      </w:pPr>
      <w:r>
        <w:t>SR</w:t>
      </w:r>
      <w:r>
        <w:rPr>
          <w:vertAlign w:val="subscript"/>
        </w:rPr>
        <w:t>3</w:t>
      </w:r>
      <w:r>
        <w:t xml:space="preserve"> shall equal the Transmission Owner’s share of revenues from the award and renewal of Historic Fixed Price TCCs</w:t>
      </w:r>
      <w:r w:rsidRPr="00320F96">
        <w:t xml:space="preserve"> (including extensions of Historic Fixed Price TCCs awarded pursuant to Section 19.2.1.4 of Attachment M of the OATT)</w:t>
      </w:r>
      <w:r>
        <w:t>, as determined pursuant to Section 20.4 of Attachment N.  The share of revenues allocated to a Transmission Owner pursuant to Section 20.4 of Attachment N shall be adjusted after each Centralized TCC Auction and divided equally across the months for which</w:t>
      </w:r>
      <w:r>
        <w:t xml:space="preserve"> the Historic Fixed Price TCCs </w:t>
      </w:r>
      <w:r w:rsidRPr="00320F96">
        <w:t>(including extensions of Historic Fixed Price TCCs awarded pursuant to Section 19.2.1.4 of Attachment M of the OATT)</w:t>
      </w:r>
      <w:r>
        <w:t xml:space="preserve"> </w:t>
      </w:r>
      <w:r>
        <w:t>that were awarded or renewed prior to the relevant Centralized TCC Auction are valid.  Notwithstanding anyth</w:t>
      </w:r>
      <w:r>
        <w:t>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w:t>
      </w:r>
      <w:r>
        <w:t>evenues (or any portion thereof) equally across the six months of the first Capability Period following the effective date of this provision provided that the NYISO has informed the Transmission Owner of its respective share of such revenues (or any portio</w:t>
      </w:r>
      <w:r>
        <w:t>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w:t>
      </w:r>
      <w:r>
        <w:t>of the Capability Period that follows the first Capability Period following the effective date of this provision.</w:t>
      </w:r>
      <w:r w:rsidRPr="00BE013F">
        <w:t xml:space="preserve"> </w:t>
      </w:r>
      <w:r w:rsidRPr="004C7F80">
        <w:t xml:space="preserve"> </w:t>
      </w:r>
    </w:p>
    <w:p w:rsidR="004127C4" w:rsidRPr="00046966" w:rsidRDefault="00A47751" w:rsidP="00BE013F">
      <w:pPr>
        <w:pStyle w:val="Bodypara"/>
      </w:pPr>
      <w:r>
        <w:t>SR</w:t>
      </w:r>
      <w:r>
        <w:rPr>
          <w:vertAlign w:val="subscript"/>
        </w:rPr>
        <w:t>4</w:t>
      </w:r>
      <w:r>
        <w:t xml:space="preserve"> shall equal the Transmission Owner’s share of revenues from the initial award and renewal of Non-Historic Fixed Price TCCs, as determine</w:t>
      </w:r>
      <w:r>
        <w:t>d pursuant to Section 20.5 of Attachment N.  The share of revenues allocated to a Transmission Owner pursuant to Section 20.5 of Attachment N shall be adjusted after each Centralized TCC Auction and divided equally across the months for which the Non-Histo</w:t>
      </w:r>
      <w:r>
        <w:t>ric Fixed Price TCCs that were initially awarded or renewed as part of the relevant Centralized TCC Auction are valid.  Notwithstanding anything to the contrary herein, with respect to the Transmission Owner’s share of any revenues for Non-Historic Fixed P</w:t>
      </w:r>
      <w:r>
        <w:t>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w:t>
      </w:r>
      <w:r>
        <w:t>ng the effective date of this provision provided that the NYISO has informed the Transmission Owner of its respective share of such revenues (or any portion thereof) at least two weeks prior to the start of such Capability Period, otherwise such revenues (</w:t>
      </w:r>
      <w:r>
        <w:t>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w:t>
      </w:r>
      <w:r>
        <w:t>ive date of this provision.</w:t>
      </w:r>
    </w:p>
    <w:p w:rsidR="004C2F99" w:rsidRPr="00046966" w:rsidRDefault="00A47751"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A47751" w:rsidP="00BE013F">
      <w:pPr>
        <w:pStyle w:val="Bodypara"/>
      </w:pPr>
      <w:r w:rsidRPr="00046966">
        <w:t>The WR component will equal the sum of: (1) TSC revenues received from new external transactions (Wheels Through and Export Transactions); (2) transmission revenues received under grandfa</w:t>
      </w:r>
      <w:r w:rsidRPr="00046966">
        <w:t>thered OATT agreements and actual revenues under Schedule 1 to the grandfathered OATT agreements, but not under Schedules 2 through 6 to the grandfathered OATT agreements; and (3) any revenues related to pre-OATT grandfathered arrangements if the transmiss</w:t>
      </w:r>
      <w:r w:rsidRPr="00046966">
        <w:t>ion owner increased its OATT revenue requirement to derive its RR component to reflect the fact that revenues related to such transactions are at risk due to options available to the customers resulting from the current restructuring, and the customer reta</w:t>
      </w:r>
      <w:r w:rsidRPr="00046966">
        <w:t xml:space="preserve">ins its grandfathered arrangement. </w:t>
      </w:r>
    </w:p>
    <w:p w:rsidR="004C2F99" w:rsidRPr="00046966" w:rsidRDefault="00A47751"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A47751"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Pr>
          <w:rFonts w:ascii="Times New Roman" w:hAnsi="Times New Roman"/>
          <w:sz w:val="24"/>
          <w:szCs w:val="24"/>
        </w:rPr>
        <w:tab/>
      </w:r>
      <w:r w:rsidRPr="00046966">
        <w:rPr>
          <w:rFonts w:ascii="Times New Roman" w:hAnsi="Times New Roman"/>
          <w:sz w:val="24"/>
          <w:szCs w:val="24"/>
        </w:rPr>
        <w:t>Treatment of Schedule 1 Associated with Gr</w:t>
      </w:r>
      <w:r w:rsidRPr="00046966">
        <w:rPr>
          <w:rFonts w:ascii="Times New Roman" w:hAnsi="Times New Roman"/>
          <w:sz w:val="24"/>
          <w:szCs w:val="24"/>
        </w:rPr>
        <w:t>andfathered OATT Service</w:t>
      </w:r>
      <w:bookmarkEnd w:id="6"/>
    </w:p>
    <w:p w:rsidR="00EB2942" w:rsidRDefault="00A47751" w:rsidP="00BE013F">
      <w:pPr>
        <w:pStyle w:val="Bodypara"/>
      </w:pPr>
      <w:r w:rsidRPr="00046966">
        <w:t xml:space="preserve">All customers under grandfathered OATT service agreements must continue to pay the Schedule 1 charge applicable under the individual OATT, absent a settlement to the contrary.  The revenues received from Schedule 1 charges paid by </w:t>
      </w:r>
      <w:r w:rsidRPr="00046966">
        <w:t>grandfathered OATT customers will be treated as revenue credit in the WR component as part of the wheeling revenue associated with OATT reservations extending beyond the start-up of the ISO.</w:t>
      </w:r>
    </w:p>
    <w:p w:rsidR="004C2F99" w:rsidRPr="00046966" w:rsidRDefault="00A47751" w:rsidP="00BE013F">
      <w:pPr>
        <w:pStyle w:val="Bodypara"/>
      </w:pPr>
      <w:r>
        <w:t>14.1.2.1.3</w:t>
      </w:r>
      <w:r>
        <w:tab/>
        <w:t>Elements of the Reserved Component</w:t>
      </w:r>
      <w:r w:rsidRPr="00046966">
        <w:t xml:space="preserve"> </w:t>
      </w:r>
    </w:p>
    <w:p w:rsidR="004C2F99" w:rsidRPr="00EB2942" w:rsidRDefault="00A47751"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r>
      <w:r w:rsidRPr="00EB2942">
        <w:rPr>
          <w:rFonts w:ascii="Times New Roman" w:hAnsi="Times New Roman"/>
          <w:sz w:val="24"/>
          <w:szCs w:val="24"/>
        </w:rPr>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A47751"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A47751" w:rsidP="00BE013F">
      <w:pPr>
        <w:pStyle w:val="Bodypara"/>
      </w:pPr>
      <w:r w:rsidRPr="00046966">
        <w:t>Reserved</w:t>
      </w:r>
      <w:r w:rsidRPr="00046966">
        <w:rPr>
          <w:vertAlign w:val="subscript"/>
        </w:rPr>
        <w:t>2</w:t>
      </w:r>
      <w:r w:rsidRPr="00046966">
        <w:t xml:space="preserve"> will equal t</w:t>
      </w:r>
      <w:r w:rsidRPr="00046966">
        <w:t xml:space="preserve">he Transmission Owner's Congestion payments for a month received pursuant to Section 20.2.3 of Attachment N of this Tariff for the Transmission Owner’s RCRR TCCs.  </w:t>
      </w:r>
    </w:p>
    <w:p w:rsidR="00EB2942" w:rsidRDefault="00A47751" w:rsidP="00BE013F">
      <w:pPr>
        <w:pStyle w:val="Bodypara"/>
      </w:pPr>
      <w:r w:rsidRPr="00046966">
        <w:t>Reserved</w:t>
      </w:r>
      <w:r w:rsidRPr="00046966">
        <w:rPr>
          <w:vertAlign w:val="subscript"/>
        </w:rPr>
        <w:t>3</w:t>
      </w:r>
      <w:r w:rsidRPr="00046966">
        <w:t xml:space="preserve"> will equal the value that a Transmission Owner receives for the sale of its ETCNL</w:t>
      </w:r>
      <w:r w:rsidRPr="00046966">
        <w:t xml:space="preserve">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A47751" w:rsidP="00BE013F">
      <w:pPr>
        <w:pStyle w:val="Bodypara"/>
      </w:pPr>
      <w:r w:rsidRPr="00046966">
        <w:t>Reserved</w:t>
      </w:r>
      <w:r w:rsidRPr="00046966">
        <w:rPr>
          <w:vertAlign w:val="subscript"/>
        </w:rPr>
        <w:t>4</w:t>
      </w:r>
      <w:r w:rsidRPr="00046966">
        <w:t xml:space="preserve"> will equal the value that a Transmission Owner receives for the sale of its RCRR TCCs in a month, with the value </w:t>
      </w:r>
      <w:r w:rsidRPr="00046966">
        <w:t>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A47751" w:rsidP="00BE013F">
      <w:pPr>
        <w:pStyle w:val="Bodypara"/>
      </w:pPr>
      <w:r w:rsidRPr="00046966">
        <w:t>The RR, SR and CRR will not include expenses for the Transmission Owner's purchase of TCCs or revenues from the sale of said TCCs or from the collection of Cong</w:t>
      </w:r>
      <w:r w:rsidRPr="00046966">
        <w:t>estion Rents for said TCCs.  The ECR, CRR, WR, and Reserved shall be updated prior to the start of each month based on actual data for the calendar month prior to the month in which the adjustment is made (e.g., January actual data will be used in February</w:t>
      </w:r>
      <w:r w:rsidRPr="00046966">
        <w:t xml:space="preserve"> to calculate the TSC effective in March).  The TSC shall not apply to the scheduled quantities physically Curtailed by the ISO.</w:t>
      </w:r>
    </w:p>
    <w:p w:rsidR="004C2F99" w:rsidRPr="00046966" w:rsidRDefault="00A47751" w:rsidP="00BE013F">
      <w:pPr>
        <w:pStyle w:val="Bodypara"/>
      </w:pPr>
      <w:r w:rsidRPr="00046966">
        <w:t>Each Member System is responsible for calculating: (1) the RR component of its TSC charge; (2) the CCC component of its TSC cha</w:t>
      </w:r>
      <w:r w:rsidRPr="00046966">
        <w:t xml:space="preserve">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A47751"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operation; (3) the</w:t>
      </w:r>
      <w:r w:rsidRPr="00046966">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t xml:space="preserve">arties.  </w:t>
      </w:r>
    </w:p>
    <w:p w:rsidR="004C2F99" w:rsidRPr="00046966" w:rsidRDefault="00A47751"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under Sectio</w:t>
      </w:r>
      <w:r w:rsidRPr="00046966">
        <w:t>n 205.</w:t>
      </w:r>
    </w:p>
    <w:p w:rsidR="004C2F99" w:rsidRPr="00046966" w:rsidRDefault="00A47751"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A47751"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A47751"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A47751"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A47751"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A47751"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A47751"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A47751"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A47751"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 xml:space="preserve">he monthly Wholesale TSCs for each of the Transmission Districts shall be posted on the OASIS by the ISO no later than the </w:t>
      </w:r>
      <w:r w:rsidRPr="00EC4874">
        <w:t>fifteenth of each month or as soon thereafter as is reasonably possible but in no event later than the 20th of the month to become effective on the first of the next calendar month.</w:t>
      </w:r>
    </w:p>
    <w:p w:rsidR="004C2F99" w:rsidRPr="008F5C8B" w:rsidRDefault="00A47751"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A47751" w:rsidP="00BE013F">
      <w:pPr>
        <w:pStyle w:val="Bodypara"/>
      </w:pPr>
      <w:r w:rsidRPr="00EC4874">
        <w:t>The Annual Transmission Revenue Require</w:t>
      </w:r>
      <w:r w:rsidRPr="00EC4874">
        <w:t xml:space="preserve">ments (“RR”); Scheduling, System Control and Dispatch Costs (“CCC”), Billing Units (“BU”) and Rates of the Transmission Owners, except NYPA, for the purpose of calculating the respective Transmission District-based Wholesale </w:t>
      </w:r>
      <w:r>
        <w:t>TSC are shown in Table 1 below.</w:t>
      </w:r>
    </w:p>
    <w:p w:rsidR="004C2F99" w:rsidRPr="008F5C8B" w:rsidRDefault="00A47751" w:rsidP="003F540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r>
      <w:r w:rsidRPr="008F5C8B">
        <w:rPr>
          <w:rFonts w:ascii="Times New Roman" w:hAnsi="Times New Roman"/>
          <w:sz w:val="24"/>
          <w:szCs w:val="24"/>
        </w:rPr>
        <w:t>Wholesale T</w:t>
      </w:r>
      <w:r>
        <w:rPr>
          <w:rFonts w:ascii="Times New Roman" w:hAnsi="Times New Roman"/>
          <w:sz w:val="24"/>
          <w:szCs w:val="24"/>
        </w:rPr>
        <w:t>SC</w:t>
      </w:r>
      <w:r w:rsidRPr="008F5C8B">
        <w:rPr>
          <w:rFonts w:ascii="Times New Roman" w:hAnsi="Times New Roman"/>
          <w:sz w:val="24"/>
          <w:szCs w:val="24"/>
        </w:rPr>
        <w:t xml:space="preserve">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41333A"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A47751"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47751"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A47751"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47751"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A47751" w:rsidP="00154971">
            <w:pPr>
              <w:pStyle w:val="Header"/>
              <w:tabs>
                <w:tab w:val="clear" w:pos="9360"/>
              </w:tabs>
              <w:spacing w:after="0" w:line="240" w:lineRule="auto"/>
              <w:rPr>
                <w:b/>
                <w:sz w:val="24"/>
              </w:rPr>
            </w:pPr>
            <w:r w:rsidRPr="00154971">
              <w:rPr>
                <w:b/>
                <w:sz w:val="24"/>
              </w:rPr>
              <w:t>Rate $/MWh1</w:t>
            </w:r>
          </w:p>
        </w:tc>
      </w:tr>
      <w:tr w:rsidR="0041333A"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p>
          <w:p w:rsidR="004C2F99" w:rsidRPr="008F5C8B" w:rsidRDefault="00A47751"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p>
          <w:p w:rsidR="004C2F99" w:rsidRPr="008F5C8B" w:rsidRDefault="00A47751"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p>
          <w:p w:rsidR="004C2F99" w:rsidRPr="008F5C8B" w:rsidRDefault="00A47751"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47751" w:rsidP="00154971">
            <w:pPr>
              <w:spacing w:after="0" w:line="240" w:lineRule="auto"/>
              <w:rPr>
                <w:sz w:val="24"/>
                <w:szCs w:val="24"/>
              </w:rPr>
            </w:pPr>
          </w:p>
          <w:p w:rsidR="004C2F99" w:rsidRPr="008F5C8B" w:rsidRDefault="00A47751">
            <w:pPr>
              <w:spacing w:after="0" w:line="240" w:lineRule="auto"/>
              <w:rPr>
                <w:sz w:val="24"/>
                <w:szCs w:val="24"/>
              </w:rPr>
            </w:pPr>
            <w:r w:rsidRPr="008F5C8B">
              <w:rPr>
                <w:sz w:val="24"/>
                <w:szCs w:val="24"/>
              </w:rPr>
              <w:t>$</w:t>
            </w:r>
            <w:r>
              <w:rPr>
                <w:sz w:val="24"/>
                <w:szCs w:val="24"/>
              </w:rPr>
              <w:t>3.5220</w:t>
            </w:r>
          </w:p>
        </w:tc>
      </w:tr>
      <w:tr w:rsidR="0041333A"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p>
          <w:p w:rsidR="004C2F99" w:rsidRPr="008F5C8B" w:rsidRDefault="00A47751"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p>
          <w:p w:rsidR="004C2F99" w:rsidRPr="008F5C8B" w:rsidRDefault="00A47751"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p>
          <w:p w:rsidR="004C2F99" w:rsidRPr="008F5C8B" w:rsidRDefault="00A47751"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47751" w:rsidP="00154971">
            <w:pPr>
              <w:spacing w:after="0" w:line="240" w:lineRule="auto"/>
              <w:rPr>
                <w:sz w:val="24"/>
                <w:szCs w:val="24"/>
              </w:rPr>
            </w:pPr>
          </w:p>
          <w:p w:rsidR="004C2F99" w:rsidRPr="008F5C8B" w:rsidRDefault="00A47751" w:rsidP="00154971">
            <w:pPr>
              <w:spacing w:after="0" w:line="240" w:lineRule="auto"/>
              <w:rPr>
                <w:sz w:val="24"/>
                <w:szCs w:val="24"/>
              </w:rPr>
            </w:pPr>
            <w:r w:rsidRPr="008F5C8B">
              <w:rPr>
                <w:sz w:val="24"/>
                <w:szCs w:val="24"/>
              </w:rPr>
              <w:t>$8.1405</w:t>
            </w:r>
          </w:p>
        </w:tc>
      </w:tr>
      <w:tr w:rsidR="0041333A"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47751"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47751" w:rsidP="00154971">
            <w:pPr>
              <w:spacing w:after="0" w:line="240" w:lineRule="auto"/>
              <w:rPr>
                <w:sz w:val="24"/>
                <w:szCs w:val="24"/>
              </w:rPr>
            </w:pPr>
            <w:r w:rsidRPr="008F5C8B">
              <w:rPr>
                <w:sz w:val="24"/>
                <w:szCs w:val="24"/>
              </w:rPr>
              <w:t>$5.2891</w:t>
            </w:r>
          </w:p>
        </w:tc>
      </w:tr>
      <w:tr w:rsidR="0041333A"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47751" w:rsidP="00154971">
            <w:pPr>
              <w:spacing w:after="0" w:line="240" w:lineRule="auto"/>
              <w:rPr>
                <w:sz w:val="24"/>
                <w:szCs w:val="24"/>
              </w:rPr>
            </w:pPr>
          </w:p>
          <w:p w:rsidR="004C2F99" w:rsidRPr="00154971" w:rsidRDefault="00A47751"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A47751" w:rsidP="00154971">
            <w:pPr>
              <w:spacing w:after="0" w:line="240" w:lineRule="auto"/>
              <w:rPr>
                <w:sz w:val="24"/>
                <w:szCs w:val="24"/>
              </w:rPr>
            </w:pPr>
          </w:p>
          <w:p w:rsidR="004C2F99" w:rsidRPr="00154971" w:rsidRDefault="00A47751"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47751" w:rsidP="00154971">
            <w:pPr>
              <w:spacing w:after="0" w:line="240" w:lineRule="auto"/>
              <w:rPr>
                <w:sz w:val="24"/>
                <w:szCs w:val="24"/>
              </w:rPr>
            </w:pPr>
          </w:p>
          <w:p w:rsidR="004C2F99" w:rsidRPr="008F5C8B" w:rsidRDefault="00A47751"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47751" w:rsidP="00154971">
            <w:pPr>
              <w:spacing w:after="0" w:line="240" w:lineRule="auto"/>
              <w:rPr>
                <w:sz w:val="24"/>
                <w:szCs w:val="24"/>
              </w:rPr>
            </w:pPr>
          </w:p>
          <w:p w:rsidR="004C2F99" w:rsidRPr="008F5C8B" w:rsidRDefault="00A47751"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41333A"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47751" w:rsidP="004C2F99">
            <w:pPr>
              <w:spacing w:after="0" w:line="240" w:lineRule="auto"/>
              <w:rPr>
                <w:sz w:val="24"/>
                <w:szCs w:val="24"/>
                <w:vertAlign w:val="superscript"/>
              </w:rPr>
            </w:pPr>
            <w:r w:rsidRPr="008F5C8B">
              <w:rPr>
                <w:sz w:val="24"/>
                <w:szCs w:val="24"/>
              </w:rPr>
              <w:t>Niagara Mohawk Power</w:t>
            </w:r>
            <w:r w:rsidRPr="008F5C8B">
              <w:rPr>
                <w:sz w:val="24"/>
                <w:szCs w:val="24"/>
              </w:rPr>
              <w:t xml:space="preserve">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A47751" w:rsidP="00154971">
            <w:pPr>
              <w:pStyle w:val="Header"/>
              <w:tabs>
                <w:tab w:val="clear" w:pos="9360"/>
              </w:tabs>
              <w:spacing w:after="0" w:line="240" w:lineRule="auto"/>
              <w:rPr>
                <w:sz w:val="24"/>
              </w:rPr>
            </w:pPr>
            <w:r w:rsidRPr="00834A8A">
              <w:rPr>
                <w:sz w:val="24"/>
              </w:rPr>
              <w:t>See Attachment H, Section 14.1.9</w:t>
            </w:r>
          </w:p>
        </w:tc>
      </w:tr>
      <w:tr w:rsidR="0041333A"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47751"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47751" w:rsidP="004C2F99">
            <w:pPr>
              <w:spacing w:after="0" w:line="240" w:lineRule="auto"/>
              <w:rPr>
                <w:sz w:val="24"/>
                <w:szCs w:val="24"/>
              </w:rPr>
            </w:pPr>
          </w:p>
          <w:p w:rsidR="004C2F99" w:rsidRPr="008F5C8B"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41333A"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A47751"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A47751" w:rsidP="004C2F99">
            <w:pPr>
              <w:spacing w:after="0" w:line="240" w:lineRule="auto"/>
              <w:rPr>
                <w:sz w:val="24"/>
                <w:szCs w:val="24"/>
              </w:rPr>
            </w:pPr>
          </w:p>
          <w:p w:rsidR="004C2F99" w:rsidRPr="008F5C8B" w:rsidRDefault="00A47751"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A47751" w:rsidP="004C2F99">
            <w:pPr>
              <w:spacing w:after="0" w:line="240" w:lineRule="auto"/>
              <w:rPr>
                <w:sz w:val="24"/>
                <w:szCs w:val="24"/>
              </w:rPr>
            </w:pPr>
          </w:p>
          <w:p w:rsidR="004C2F99" w:rsidRPr="008F5C8B"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A47751" w:rsidP="004C2F99">
            <w:pPr>
              <w:spacing w:after="0" w:line="240" w:lineRule="auto"/>
              <w:rPr>
                <w:sz w:val="24"/>
                <w:szCs w:val="24"/>
              </w:rPr>
            </w:pPr>
          </w:p>
          <w:p w:rsidR="004C2F99" w:rsidRPr="008F5C8B" w:rsidRDefault="00A4775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A47751" w:rsidP="004C2F99">
            <w:pPr>
              <w:spacing w:after="0" w:line="240" w:lineRule="auto"/>
              <w:rPr>
                <w:sz w:val="24"/>
                <w:szCs w:val="24"/>
              </w:rPr>
            </w:pPr>
          </w:p>
          <w:p w:rsidR="004C2F99" w:rsidRPr="008F5C8B" w:rsidRDefault="00A47751"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A47751"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A47751" w:rsidP="004C2F99">
      <w:pPr>
        <w:rPr>
          <w:sz w:val="20"/>
        </w:rPr>
      </w:pPr>
      <w:r>
        <w:rPr>
          <w:sz w:val="28"/>
          <w:szCs w:val="28"/>
          <w:vertAlign w:val="superscript"/>
        </w:rPr>
        <w:t>2</w:t>
      </w:r>
      <w:r>
        <w:rPr>
          <w:sz w:val="20"/>
        </w:rPr>
        <w:t>NYSEG’s RR, BU and unit Rate prior to adjustment pursuant</w:t>
      </w:r>
      <w:r>
        <w:rPr>
          <w:sz w:val="20"/>
        </w:rPr>
        <w:t xml:space="preserve"> to Attachment H, are subject to retroactive modification pursuant to the provisions of the Settlement Agreement approved by the Commission in its March 26, 2004 order issued in Docket No. EL04-56-000.  For any Transmission Customer that “opts out” of the </w:t>
      </w:r>
      <w:r>
        <w:rPr>
          <w:sz w:val="20"/>
        </w:rPr>
        <w:t>Settlement Agreement as described in paragraph 1.E thereof, the applicable NYSEG “RR” shall be $100,541,739; the “BU” shall be 13,741,901 MWh; and, the “Rate” prior to adjustment pursuant to Attachment H, shall be $7.4235 effective as of March 1, 2004.</w:t>
      </w:r>
    </w:p>
    <w:p w:rsidR="004C2F99" w:rsidRPr="00EC4874" w:rsidRDefault="00A47751" w:rsidP="004C2F99">
      <w:pPr>
        <w:pStyle w:val="Heading3"/>
        <w:spacing w:line="240" w:lineRule="auto"/>
        <w:rPr>
          <w:szCs w:val="24"/>
        </w:rPr>
      </w:pPr>
      <w:bookmarkStart w:id="9" w:name="_Toc263255402"/>
      <w:r w:rsidRPr="00EC4874">
        <w:rPr>
          <w:szCs w:val="24"/>
        </w:rPr>
        <w:t>14.</w:t>
      </w:r>
      <w:r w:rsidRPr="00EC4874">
        <w:rPr>
          <w:szCs w:val="24"/>
        </w:rPr>
        <w:t xml:space="preserve">1.5 </w:t>
      </w:r>
      <w:r w:rsidRPr="00EC4874">
        <w:rPr>
          <w:szCs w:val="24"/>
        </w:rPr>
        <w:tab/>
        <w:t>Treatment of Gross Receipts Tax</w:t>
      </w:r>
      <w:bookmarkEnd w:id="9"/>
    </w:p>
    <w:p w:rsidR="004C2F99" w:rsidRPr="00EC4874" w:rsidRDefault="00A47751"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A47751" w:rsidP="00BE013F">
      <w:pPr>
        <w:pStyle w:val="Bodypara"/>
      </w:pPr>
      <w:r w:rsidRPr="00EC4874">
        <w:t>Central Hudson’s TSC shall be increased by dividing the following surcharge factors into the total of all applicable rates and charges to reflect the New York State GRT</w:t>
      </w:r>
      <w:r w:rsidRPr="00EC4874">
        <w:t xml:space="preserve"> (0.94922 in the MTA regions and 0.95750 in the non-MTA regions), which is not specifically provided for in the transmission rate, to the extent such tax is imposed on Central Hudson as a result of the transmission service provided to such Customer.  Centr</w:t>
      </w:r>
      <w:r w:rsidRPr="00EC4874">
        <w:t>al Hudson shall make an appropriate filing pursuant to Section 205 of the Federal Power Act to implement any change in the specified tax rate prior to altering the tax rate under this provision.</w:t>
      </w:r>
    </w:p>
    <w:p w:rsidR="004C2F99" w:rsidRPr="00046966" w:rsidRDefault="00A47751"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A47751" w:rsidP="00BE013F">
      <w:pPr>
        <w:pStyle w:val="Bodypara"/>
      </w:pPr>
      <w:r w:rsidRPr="00EC4874">
        <w:t>The GR</w:t>
      </w:r>
      <w:r w:rsidRPr="00EC4874">
        <w:t>T is included in Con Edison's TSC rate.  Con Edison will not charge separately for GRT.</w:t>
      </w:r>
    </w:p>
    <w:p w:rsidR="004C2F99" w:rsidRPr="00046966" w:rsidRDefault="00A47751"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A47751" w:rsidP="00BE013F">
      <w:pPr>
        <w:pStyle w:val="Bodypara"/>
      </w:pPr>
      <w:r w:rsidRPr="00EC4874">
        <w:t>The GRT is included in LIPA's TSC rate.  LIPA will not charge separately for GRT.</w:t>
      </w:r>
    </w:p>
    <w:p w:rsidR="004C2F99" w:rsidRPr="00046966" w:rsidRDefault="00A47751"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A47751" w:rsidP="00BE013F">
      <w:pPr>
        <w:pStyle w:val="Bodypara"/>
      </w:pPr>
      <w:r w:rsidRPr="00EC4874">
        <w:t>The Transmission Cust</w:t>
      </w:r>
      <w:r w:rsidRPr="00EC4874">
        <w:t>omer shall pay an amount sufficient to reimburse NYSEG for any amounts payable by NYSEG as sales, excise, value-added, gross receipts or other applicable taxes with respect to the total amount payable to NYSEG pursuant to the Tariff.  The total of all rate</w:t>
      </w:r>
      <w:r w:rsidRPr="00EC4874">
        <w:t>s and charges will be divided by the appropriate tax factor listed below, depending upon the geographic location of the Transmission Customer’s Point(s) of Delivery</w:t>
      </w:r>
    </w:p>
    <w:p w:rsidR="004C2F99" w:rsidRPr="009B6789" w:rsidRDefault="00A4775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A4775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Not within the </w:t>
      </w:r>
      <w:r w:rsidRPr="009B6789">
        <w:rPr>
          <w:rFonts w:ascii="Times New Roman" w:hAnsi="Times New Roman"/>
          <w:sz w:val="24"/>
          <w:szCs w:val="24"/>
        </w:rPr>
        <w:t>Metropolitan Commuter Transportation District:</w:t>
      </w:r>
      <w:r w:rsidRPr="009B6789">
        <w:rPr>
          <w:rFonts w:ascii="Times New Roman" w:hAnsi="Times New Roman"/>
          <w:sz w:val="24"/>
          <w:szCs w:val="24"/>
        </w:rPr>
        <w:tab/>
        <w:t>0.986823</w:t>
      </w:r>
    </w:p>
    <w:p w:rsidR="004C2F99" w:rsidRPr="00EC4874" w:rsidRDefault="00A47751" w:rsidP="00BE013F">
      <w:pPr>
        <w:pStyle w:val="Bodypara"/>
      </w:pPr>
      <w:r w:rsidRPr="00EC4874">
        <w:t xml:space="preserve">These tax factors incorporate the taxes imposed on the Transmission Provider’s electric revenues pursuant to New York law and represents the Franchise Tax on Gross Earnings, the Gross Income Tax, and </w:t>
      </w:r>
      <w:r w:rsidRPr="00EC4874">
        <w:t>where applicable the Metropolitan Commuter Transportation District Surcharge.</w:t>
      </w:r>
    </w:p>
    <w:p w:rsidR="004C2F99" w:rsidRPr="00EC4874" w:rsidRDefault="00A47751" w:rsidP="00BE013F">
      <w:pPr>
        <w:pStyle w:val="Bodypara"/>
      </w:pPr>
      <w:r w:rsidRPr="00EC4874">
        <w:t>This Provision shall be effective upon commencement of services under the ISO OATT.</w:t>
      </w:r>
    </w:p>
    <w:p w:rsidR="004C2F99" w:rsidRPr="00046966" w:rsidRDefault="00A47751"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A47751" w:rsidP="00BE013F">
      <w:pPr>
        <w:pStyle w:val="Bodypara"/>
      </w:pPr>
      <w:r w:rsidRPr="00EC4874">
        <w:t xml:space="preserve">For the settled Niagara Mohawk TSC rate, the GRT is </w:t>
      </w:r>
      <w:r w:rsidRPr="00EC4874">
        <w:t xml:space="preserve">included in the RR and there will be no separate GRT tax assessed; For the filed Niagara Mohawk TSC rate, GRT initially is included in the RR and there will be no separate GRT assessed; however, this issue with regard to GRT is subject to final Commission </w:t>
      </w:r>
      <w:r w:rsidRPr="00EC4874">
        <w:t>action in Docket No.  OA96-194-000, including all stipulations executed in connection therewith.</w:t>
      </w:r>
    </w:p>
    <w:p w:rsidR="004C2F99" w:rsidRPr="00046966" w:rsidRDefault="00A47751"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A47751" w:rsidP="00BE013F">
      <w:pPr>
        <w:pStyle w:val="Bodypara"/>
      </w:pPr>
      <w:r w:rsidRPr="00EC4874">
        <w:t>The Transmission Customer’s rate will be increased to reflect the gross receipts tax (“GRT”) which is not specific</w:t>
      </w:r>
      <w:r w:rsidRPr="00EC4874">
        <w:t>ally provided for in the transmission rate and ancillary service rates, that a governmental authority may impose on Orange and Rockland as a result of the Transmission Service provided to such Transmission Customer pursuant to Sections 186 and 186-a of the</w:t>
      </w:r>
      <w:r w:rsidRPr="00EC4874">
        <w:t xml:space="preserve"> New York Tax Law.  The current effective GRT rate for the Section 186-a tax is 3.25% from October 1, 1998 through October 31, 1999 and 2.5% on and after January 1, 2000. The maximum locality rate allowable under state law for each locality is specified be</w:t>
      </w:r>
      <w:r w:rsidRPr="00EC4874">
        <w:t>low.   However, if the actual locality rate is less than the maximum locality rate permitted under state law, O&amp;R shall charge the actual tax rate levied by the locality.  The currently effective GRT rate for the Section 186 tax is .75%.</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w:t>
      </w:r>
      <w:r w:rsidRPr="008F5C8B">
        <w:rPr>
          <w:rFonts w:ascii="Times New Roman" w:eastAsia="Times New Roman" w:hAnsi="Times New Roman"/>
          <w:sz w:val="24"/>
          <w:szCs w:val="24"/>
        </w:rPr>
        <w:t>ingburg</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046966" w:rsidRDefault="00A47751"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A47751" w:rsidP="00BE013F">
      <w:pPr>
        <w:pStyle w:val="Bodypara"/>
      </w:pPr>
      <w:r w:rsidRPr="00EC4874">
        <w:t>The Transmission Customer’s rate will be increased to reflect the gross receipts tax which is not specifically provided for in the transmission rate and ancillary service rates, that a governmental authori</w:t>
      </w:r>
      <w:r w:rsidRPr="00EC4874">
        <w:t>ty may impose on RG&amp;E as a result of the Transmission Service provided to such Transmission Customer pursuant to Sections 186 and 186-a of the New York Tax Law.  The currently effective GRT rate for the Section 186-a tax is 3.5% and each locality rate is s</w:t>
      </w:r>
      <w:r w:rsidRPr="00EC4874">
        <w:t>pecified below.  The currently effective GRT rate for the Section 186 tax is .75%.</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A4775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A47751"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A47751" w:rsidP="00BE013F">
      <w:pPr>
        <w:pStyle w:val="Bodypara"/>
      </w:pPr>
      <w:r w:rsidRPr="00EC4874">
        <w:t>Customers who apply for unbundled</w:t>
      </w:r>
      <w:r w:rsidRPr="00EC4874">
        <w:t xml:space="preserve"> Transmission Service in accordance with the provisions of a Transmission Owner’s retail access program filed with the PSC or, in the case of LIPA,</w:t>
      </w:r>
      <w:r>
        <w:t xml:space="preserve"> </w:t>
      </w:r>
      <w:r w:rsidRPr="00EC4874">
        <w:t>approved by the Long Island Power Authority’s Board of Trustees, will be responsible for paying a retail tra</w:t>
      </w:r>
      <w:r w:rsidRPr="00EC4874">
        <w:t>nsmission service charge as detailed in Section 5 of this Tariff.</w:t>
      </w:r>
    </w:p>
    <w:p w:rsidR="004C2F99" w:rsidRPr="008F5C8B" w:rsidRDefault="00A47751"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A47751" w:rsidP="00BE013F">
      <w:pPr>
        <w:pStyle w:val="Bodypara"/>
      </w:pPr>
      <w:r w:rsidRPr="00EC4874">
        <w:t>The NYPA TSC for service to its directly connected Loads (Reynolds Metals, GM-Massena, Town of Massena and the City of Plattsburgh) shall, at the Elig</w:t>
      </w:r>
      <w:r w:rsidRPr="00EC4874">
        <w:t>ible Customer’s option, be (a) $1.30 per kilowatt-month or (b) no more than $3.75 per MWh; not to exceed $60.00 per MW Day applied to peak MWh scheduled any hour each day; not to exceed $300.00 per MW-Week applied to the peak MWh scheduled any hour each we</w:t>
      </w:r>
      <w:r w:rsidRPr="00EC4874">
        <w:t>ek.  The TSC applicable to service over the Vermont intertie and the Ontario-Hydro intertie shall be the same as (b)</w:t>
      </w:r>
      <w:r w:rsidRPr="00DF5EE5">
        <w:t>; provided, however, that the NYPA TSC shall not apply to service over the Vermont intertie provided that the conditions listed in Section 2</w:t>
      </w:r>
      <w:r w:rsidRPr="00DF5EE5">
        <w:t>.7.2.1.4 of this Tariff are satisfied</w:t>
      </w:r>
      <w:r w:rsidRPr="00EC4874">
        <w:t>.  The TSC applicable to service over the Hydro-Quebec intertie shall be no more than $4.62 per MWh; not to exceed $73.85 per MW-Day applied to peak MWh scheduled each day; not to exceed $369.23 per MW-Week applied to t</w:t>
      </w:r>
      <w:r w:rsidRPr="00EC4874">
        <w:t>he peak MWh scheduled any hour each week.  NYPA shall coordinate with the ISO to update its TSC.  Such updates shall be subject to FERC filings.</w:t>
      </w:r>
    </w:p>
    <w:p w:rsidR="004C2F99" w:rsidRPr="008F5C8B" w:rsidRDefault="00A47751"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A47751" w:rsidP="00BE013F">
      <w:pPr>
        <w:pStyle w:val="Bodypara"/>
      </w:pPr>
      <w:r w:rsidRPr="00EC4874">
        <w:t>Each Transmission Owner may advise the ISO of discounts to its TSC applicable during a speci</w:t>
      </w:r>
      <w:r w:rsidRPr="00EC4874">
        <w:t>fied period to all deliveries to a particular Interconnection between the NYCA and another Control Area.  The ISO shall post the discounts on the OASIS for the specified period.</w:t>
      </w:r>
    </w:p>
    <w:p w:rsidR="004C2F99" w:rsidRDefault="00A47751" w:rsidP="00BE013F">
      <w:pPr>
        <w:pStyle w:val="Bodypara"/>
      </w:pPr>
      <w:r w:rsidRPr="00EC4874">
        <w:t>Three principal requirements apply to discounts for Transmission Service as fo</w:t>
      </w:r>
      <w:r w:rsidRPr="00EC4874">
        <w:t>llows: (1) any offer of a discount made by a Transmission Owner must be announced to all Eligible Customers solely by posting on the OASIS; (2) any customer-initiated requests for discounts (including requests for use by a Transmission Owner's wholesale me</w:t>
      </w:r>
      <w:r w:rsidRPr="00EC4874">
        <w:t>rchant or an Affiliate's use) must occur solely by posting on the OASIS; and (3) once a discount is negotiated, details must be immediately posted on the OASIS.  For any discount that the Transmission Owner agrees to and advises the ISO of, the same discou</w:t>
      </w:r>
      <w:r w:rsidRPr="00EC4874">
        <w:t>nted Transmission Service rate will be offered to all Transmission Customers for the same period for all deliveries to a particular Interconnection between the NYCA and another Control Area.  The ISO will post the discounts on the OASIS for the specified p</w:t>
      </w:r>
      <w:r w:rsidRPr="00EC4874">
        <w:t>eriod.</w:t>
      </w:r>
    </w:p>
    <w:p w:rsidR="009A010B" w:rsidRPr="003F5404" w:rsidRDefault="00A47751" w:rsidP="003F5404">
      <w:pPr>
        <w:pStyle w:val="Heading9"/>
        <w:spacing w:before="240" w:after="240" w:line="240" w:lineRule="auto"/>
        <w:ind w:right="634" w:firstLine="0"/>
        <w:jc w:val="center"/>
        <w:rPr>
          <w:rFonts w:ascii="Times New Roman" w:hAnsi="Times New Roman"/>
          <w:sz w:val="24"/>
          <w:szCs w:val="24"/>
        </w:rPr>
      </w:pPr>
      <w:r w:rsidRPr="009A010B">
        <w:rPr>
          <w:rFonts w:ascii="Times New Roman" w:hAnsi="Times New Roman"/>
          <w:sz w:val="24"/>
          <w:szCs w:val="24"/>
        </w:rPr>
        <w:t>TABLE 2</w:t>
      </w:r>
      <w:r>
        <w:rPr>
          <w:rFonts w:ascii="Times New Roman" w:hAnsi="Times New Roman"/>
          <w:sz w:val="24"/>
          <w:szCs w:val="24"/>
        </w:rPr>
        <w:br/>
      </w:r>
      <w:r w:rsidRPr="008F5C8B">
        <w:rPr>
          <w:rFonts w:ascii="Times New Roman" w:hAnsi="Times New Roman"/>
          <w:sz w:val="24"/>
          <w:szCs w:val="24"/>
        </w:rPr>
        <w:t>Applicable Wholesale TSC for Exports from</w:t>
      </w:r>
      <w:r>
        <w:rPr>
          <w:rFonts w:ascii="Times New Roman" w:hAnsi="Times New Roman"/>
          <w:sz w:val="24"/>
          <w:szCs w:val="24"/>
        </w:rPr>
        <w:br/>
      </w:r>
      <w:r w:rsidRPr="008F5C8B">
        <w:rPr>
          <w:rFonts w:ascii="Times New Roman" w:hAnsi="Times New Roman"/>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41333A"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Alps / </w:t>
            </w:r>
            <w:r w:rsidRPr="009B6789">
              <w:rPr>
                <w:rFonts w:eastAsia="Times New Roman"/>
                <w:sz w:val="16"/>
                <w:szCs w:val="24"/>
              </w:rPr>
              <w:t>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Hillside / East </w:t>
            </w:r>
            <w:r w:rsidRPr="009B6789">
              <w:rPr>
                <w:rFonts w:eastAsia="Times New Roman"/>
                <w:sz w:val="16"/>
                <w:szCs w:val="24"/>
              </w:rPr>
              <w:t>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1333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1333A">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A47751"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A47751" w:rsidP="003F5404">
      <w:pPr>
        <w:pStyle w:val="Heading9"/>
        <w:spacing w:before="240" w:after="240" w:line="240" w:lineRule="auto"/>
        <w:ind w:right="634" w:firstLine="0"/>
        <w:jc w:val="center"/>
        <w:rPr>
          <w:rFonts w:ascii="Times New Roman" w:hAnsi="Times New Roman"/>
          <w:sz w:val="24"/>
          <w:szCs w:val="24"/>
        </w:rPr>
      </w:pPr>
      <w:r w:rsidRPr="008F5C8B">
        <w:rPr>
          <w:rFonts w:ascii="Times New Roman" w:hAnsi="Times New Roman"/>
          <w:sz w:val="24"/>
          <w:szCs w:val="24"/>
        </w:rPr>
        <w:t>TABLE 3</w:t>
      </w:r>
      <w:r>
        <w:rPr>
          <w:rFonts w:ascii="Times New Roman" w:hAnsi="Times New Roman"/>
          <w:sz w:val="24"/>
          <w:szCs w:val="24"/>
        </w:rPr>
        <w:br/>
      </w:r>
      <w:r w:rsidRPr="008F5C8B">
        <w:rPr>
          <w:rFonts w:ascii="Times New Roman" w:hAnsi="Times New Roman"/>
          <w:sz w:val="24"/>
          <w:szCs w:val="24"/>
        </w:rPr>
        <w:t>Applicable Wholesale TSC for Municipal Utilities,</w:t>
      </w:r>
      <w:r>
        <w:rPr>
          <w:rFonts w:ascii="Times New Roman" w:hAnsi="Times New Roman"/>
          <w:sz w:val="24"/>
          <w:szCs w:val="24"/>
        </w:rPr>
        <w:br/>
      </w:r>
      <w:r w:rsidRPr="008F5C8B">
        <w:rPr>
          <w:rFonts w:ascii="Times New Roman" w:hAnsi="Times New Roman"/>
          <w:sz w:val="24"/>
          <w:szCs w:val="24"/>
        </w:rPr>
        <w:t>Electric Cooperatives and Loads</w:t>
      </w:r>
    </w:p>
    <w:p w:rsidR="004C2F99" w:rsidRPr="00EC4874" w:rsidRDefault="00A47751" w:rsidP="00BE013F">
      <w:pPr>
        <w:pStyle w:val="Bodypara"/>
      </w:pPr>
      <w:r w:rsidRPr="00EC4874">
        <w:t>Except for those municipal utilities and electric cooperatives that continue to take transmission service</w:t>
      </w:r>
      <w:r>
        <w:t xml:space="preserve"> </w:t>
      </w:r>
      <w:r w:rsidRPr="00EC4874">
        <w:t xml:space="preserve">under an Existing Transmission Agreement, the following Loads shall be obligated to pay the noted Transmission District - based TSC as applicable in </w:t>
      </w:r>
      <w:r w:rsidRPr="00EC4874">
        <w:t>accordance with Section 2.7 of this Tariff.</w:t>
      </w:r>
    </w:p>
    <w:tbl>
      <w:tblPr>
        <w:tblW w:w="9900" w:type="dxa"/>
        <w:tblInd w:w="-26"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41333A" w:rsidTr="00D332FB">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A47751" w:rsidP="00D332FB">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A4775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A4775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A4775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A4775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A4775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sidRPr="009B6789">
              <w:rPr>
                <w:b/>
                <w:sz w:val="20"/>
                <w:szCs w:val="20"/>
              </w:rPr>
              <w:t>TSC Paid</w:t>
            </w:r>
          </w:p>
        </w:tc>
      </w:tr>
      <w:tr w:rsidR="0041333A" w:rsidTr="00D332FB">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spacing w:after="0" w:line="240" w:lineRule="auto"/>
              <w:rPr>
                <w:sz w:val="20"/>
                <w:szCs w:val="20"/>
              </w:rPr>
            </w:pPr>
          </w:p>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A47751"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1333A" w:rsidTr="00D332FB">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spacing w:after="0" w:line="240" w:lineRule="auto"/>
              <w:rPr>
                <w:sz w:val="20"/>
                <w:szCs w:val="20"/>
              </w:rPr>
            </w:pPr>
          </w:p>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spacing w:after="0" w:line="240" w:lineRule="auto"/>
              <w:rPr>
                <w:sz w:val="20"/>
                <w:szCs w:val="20"/>
              </w:rPr>
            </w:pPr>
          </w:p>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1333A"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1333A" w:rsidTr="00D332FB">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A47751">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A4775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 xml:space="preserve">Notes: (1) - Load is treated as an entity </w:t>
      </w:r>
      <w:r>
        <w:t>external to the NYCA.</w:t>
      </w:r>
    </w:p>
    <w:p w:rsidR="004C2F99" w:rsidRPr="008F5C8B" w:rsidRDefault="00A47751"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A47751" w:rsidP="00BE013F">
      <w:pPr>
        <w:pStyle w:val="Bodypara"/>
      </w:pPr>
      <w:r w:rsidRPr="00EC4874">
        <w:t>Niagara Mohawk Power Corporation (“NMPC”) will calculate and update each of its RR, CCC, and BU components annually usi</w:t>
      </w:r>
      <w:r w:rsidRPr="00EC4874">
        <w:t>ng the formulas for each component contained in Attachment 1 and in accordance with the update procedures set forth in Section 14.1.9.4.  With the exception of forecasted information, the cost data used in the Formula Rate will be cost data from NMPC’s ann</w:t>
      </w:r>
      <w:r w:rsidRPr="00EC4874">
        <w:t xml:space="preserve">ual FERC Form 1, NMPC’s Annual Report to the New York State Public Service Commission, or NMPC’s official books of record.  </w:t>
      </w:r>
    </w:p>
    <w:p w:rsidR="004C2F99" w:rsidRPr="00046966" w:rsidRDefault="00A47751"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A47751" w:rsidP="00BE013F">
      <w:pPr>
        <w:pStyle w:val="Bodypara"/>
      </w:pPr>
      <w:r w:rsidRPr="008F5C8B">
        <w:t>Capitalized terms used in this calculation will have the following definitions:</w:t>
      </w:r>
    </w:p>
    <w:p w:rsidR="004C2F99" w:rsidRPr="008F5C8B" w:rsidRDefault="00A47751"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A47751" w:rsidP="00BE013F">
      <w:pPr>
        <w:pStyle w:val="alphapara"/>
      </w:pPr>
      <w:r w:rsidRPr="00046966">
        <w:t>14.1.9.1.1</w:t>
      </w:r>
      <w:r w:rsidRPr="00046966">
        <w:tab/>
      </w:r>
      <w:r w:rsidRPr="00046966">
        <w:t xml:space="preserve">Electric Wages and Salaries Allocation Factor shall be fixed at 0.835.  </w:t>
      </w:r>
    </w:p>
    <w:p w:rsidR="004C2F99" w:rsidRPr="00046966" w:rsidRDefault="00A47751" w:rsidP="00BE013F">
      <w:pPr>
        <w:pStyle w:val="alphapara"/>
      </w:pPr>
      <w:r w:rsidRPr="00046966">
        <w:t>14.1.9.1.2</w:t>
      </w:r>
      <w:r w:rsidRPr="00046966">
        <w:tab/>
        <w:t>Gross Transmission Plant Allocation Factor shall equal the total investment in Transmission Plant in Service, Transmission Related Electric General Plant, Transmission Rela</w:t>
      </w:r>
      <w:r w:rsidRPr="00046966">
        <w:t xml:space="preserve">ted Common Plant and Transmission Related Intangible Plant divided by Gross Electric Plant.  </w:t>
      </w:r>
    </w:p>
    <w:p w:rsidR="004C2F99" w:rsidRPr="00046966" w:rsidRDefault="00A47751" w:rsidP="00BE013F">
      <w:pPr>
        <w:pStyle w:val="alphapara"/>
      </w:pPr>
      <w:r w:rsidRPr="00046966">
        <w:t>14.1.9.1.3</w:t>
      </w:r>
      <w:r w:rsidRPr="00046966">
        <w:tab/>
        <w:t>Transmission Wages and Salaries Allocation Factor shall be fixed at 0.13.</w:t>
      </w:r>
    </w:p>
    <w:p w:rsidR="004C2F99" w:rsidRPr="00046966" w:rsidRDefault="00A47751" w:rsidP="00BE013F">
      <w:pPr>
        <w:pStyle w:val="alphapara"/>
      </w:pPr>
      <w:r w:rsidRPr="00046966">
        <w:t>14.1.9.1.4</w:t>
      </w:r>
      <w:r w:rsidRPr="00046966">
        <w:tab/>
        <w:t xml:space="preserve">Gross Electric Plant Allocation Factor shall equal Gross Electric </w:t>
      </w:r>
      <w:r w:rsidRPr="00046966">
        <w:t>Plant divided by the sum of Total Gas Plant, Total Electric Plant, and total Common Plant.</w:t>
      </w:r>
    </w:p>
    <w:p w:rsidR="004C2F99" w:rsidRPr="008F5C8B" w:rsidRDefault="00A47751"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A47751" w:rsidP="00BE013F">
      <w:pPr>
        <w:pStyle w:val="alphapara"/>
      </w:pPr>
      <w:r w:rsidRPr="00046966">
        <w:t>14.1.9.1.5</w:t>
      </w:r>
      <w:r w:rsidRPr="00046966">
        <w:tab/>
        <w:t>Administrative and General Expense shall equal expenses as recorded in FERC Account Nos. 920-935.  FERC Account No. 926 shall b</w:t>
      </w:r>
      <w:r w:rsidRPr="00046966">
        <w:t>e adjusted by reversing the adjustment to the deferred pension costs booked per the NYPSC Statement of Policy for Accounting and Ratemaking Treatment for Pension and Post-Retirement Benefits Other than Pensions.  In addition, Administrative and General Exp</w:t>
      </w:r>
      <w:r w:rsidRPr="00046966">
        <w:t>enses shall exclude the actual Post-Employment Benefits Other than Pensions (“PBOP”) expenses included in FERC Account No. 926, and shall add back the FERC accepted Post Employment Benefit Other than Pensions of $88,644,000 annually or $7,387,000 per month</w:t>
      </w:r>
      <w:r w:rsidRPr="00046966">
        <w:t xml:space="preserve"> or any other amount subsequently approved by FERC under Section 205 or 206 of the Federal Power Act.  </w:t>
      </w:r>
    </w:p>
    <w:p w:rsidR="004C2F99" w:rsidRPr="00046966" w:rsidRDefault="00A47751" w:rsidP="00BE013F">
      <w:pPr>
        <w:pStyle w:val="alphapara"/>
      </w:pPr>
      <w:r w:rsidRPr="00046966">
        <w:t>14.1.9.1.6</w:t>
      </w:r>
      <w:r w:rsidRPr="00046966">
        <w:tab/>
        <w:t>Amortization of Investment Tax Credits shall equal credits as recorded in FERC Account No. 420, per 18 C.F.R. Parts 101 (Electric) and 201 (G</w:t>
      </w:r>
      <w:r w:rsidRPr="00046966">
        <w:t>as).</w:t>
      </w:r>
    </w:p>
    <w:p w:rsidR="004C2F99" w:rsidRPr="00046966" w:rsidRDefault="00A47751" w:rsidP="00BE013F">
      <w:pPr>
        <w:pStyle w:val="alphapara"/>
      </w:pPr>
      <w:r w:rsidRPr="00046966">
        <w:t>14.1.9.1.7</w:t>
      </w:r>
      <w:r w:rsidRPr="00046966">
        <w:tab/>
        <w:t>Amortization of Debt Discount Expense shall equal expenses as recorded in FERC Account No. 428.</w:t>
      </w:r>
    </w:p>
    <w:p w:rsidR="004C2F99" w:rsidRPr="00046966" w:rsidRDefault="00A47751" w:rsidP="00BE013F">
      <w:pPr>
        <w:pStyle w:val="alphapara"/>
      </w:pPr>
      <w:r w:rsidRPr="00046966">
        <w:t>14.1.9.1.8</w:t>
      </w:r>
      <w:r w:rsidRPr="00046966">
        <w:tab/>
        <w:t xml:space="preserve">Amortization of Loss on Reacquired Debt shall equal expenses as recorded in FERC Account No. 428.1. </w:t>
      </w:r>
    </w:p>
    <w:p w:rsidR="004C2F99" w:rsidRPr="00046966" w:rsidRDefault="00A47751" w:rsidP="00BE013F">
      <w:pPr>
        <w:pStyle w:val="alphapara"/>
      </w:pPr>
      <w:r w:rsidRPr="00046966">
        <w:t>14.1.9.1.9</w:t>
      </w:r>
      <w:r w:rsidRPr="00046966">
        <w:tab/>
        <w:t xml:space="preserve">Amortization of </w:t>
      </w:r>
      <w:r w:rsidRPr="00046966">
        <w:t>Premium on Debt –Credit shall equal the expenses as recorded in FERC Account 429.</w:t>
      </w:r>
    </w:p>
    <w:p w:rsidR="004C2F99" w:rsidRPr="00046966" w:rsidRDefault="00A47751" w:rsidP="00BE013F">
      <w:pPr>
        <w:pStyle w:val="alphapara"/>
      </w:pPr>
      <w:r w:rsidRPr="00046966">
        <w:t>14.1.9.1.10</w:t>
      </w:r>
      <w:r w:rsidRPr="00046966">
        <w:tab/>
        <w:t>Amortization of Gain on Reacquired Debt--Credit shall equal the expenses as recorded in FERC Account No. 429.1.</w:t>
      </w:r>
    </w:p>
    <w:p w:rsidR="004C2F99" w:rsidRPr="00046966" w:rsidRDefault="00A47751" w:rsidP="00BE013F">
      <w:pPr>
        <w:pStyle w:val="alphapara"/>
      </w:pPr>
      <w:r w:rsidRPr="00046966">
        <w:t>14.1.9.1.11</w:t>
      </w:r>
      <w:r w:rsidRPr="00046966">
        <w:tab/>
        <w:t>Common Plant shall equal the balance o</w:t>
      </w:r>
      <w:r w:rsidRPr="00046966">
        <w:t>f plant recorded in FERC Account Nos. 389-399.  Common Plant shall be defined as the plant common to NMPC’s gas and electric functions per 18 C.F.R. Parts 101 (Electric) and 201 (Gas).</w:t>
      </w:r>
    </w:p>
    <w:p w:rsidR="004C2F99" w:rsidRPr="00046966" w:rsidRDefault="00A47751" w:rsidP="00BE013F">
      <w:pPr>
        <w:pStyle w:val="alphapara"/>
      </w:pPr>
      <w:r w:rsidRPr="00046966">
        <w:t>14.1.9.1.12</w:t>
      </w:r>
      <w:r w:rsidRPr="00046966">
        <w:tab/>
        <w:t>Common Plant Depreciation Expense shall equal the common pl</w:t>
      </w:r>
      <w:r w:rsidRPr="00046966">
        <w:t>ant depreciation expenses as recorded in FERC Account No. 403</w:t>
      </w:r>
      <w:r>
        <w:t>, 404 and 405</w:t>
      </w:r>
      <w:r w:rsidRPr="00046966">
        <w:t xml:space="preserve"> associated with Common Plant per 18 C.F.R. Parts 101 (Electric) and 201 (Gas).</w:t>
      </w:r>
    </w:p>
    <w:p w:rsidR="004C2F99" w:rsidRPr="00046966" w:rsidRDefault="00A47751" w:rsidP="00BE013F">
      <w:pPr>
        <w:pStyle w:val="alphapara"/>
      </w:pPr>
      <w:r w:rsidRPr="00046966">
        <w:t>14.1.9.1.13</w:t>
      </w:r>
      <w:r w:rsidRPr="00046966">
        <w:tab/>
        <w:t>Common Plant Depreciation Reserve shall equal the common plant depreciation reserve balanc</w:t>
      </w:r>
      <w:r w:rsidRPr="00046966">
        <w:t>e as recorded in FERC Account No. 108 associated with Common Plant per 18 C.F.R. Parts 101 (Electric) and 201 (Gas).</w:t>
      </w:r>
    </w:p>
    <w:p w:rsidR="004C2F99" w:rsidRPr="00046966" w:rsidRDefault="00A47751" w:rsidP="00BE013F">
      <w:pPr>
        <w:pStyle w:val="alphapara"/>
      </w:pPr>
      <w:r w:rsidRPr="00046966">
        <w:t>14.1.9.1.14</w:t>
      </w:r>
      <w:r w:rsidRPr="00046966">
        <w:tab/>
        <w:t>Depreciation Expense for Transmission Plant in Service shall equal depreciation expenses as recorded in FERC Account No. 403</w:t>
      </w:r>
      <w:r>
        <w:t>, 4</w:t>
      </w:r>
      <w:r>
        <w:t>04 and 405</w:t>
      </w:r>
      <w:r w:rsidRPr="00046966">
        <w:t xml:space="preserve"> calculated using the depreciation rates set forth in the following table:</w:t>
      </w:r>
    </w:p>
    <w:p w:rsidR="008C66B8" w:rsidRPr="008F5C8B" w:rsidRDefault="00A47751" w:rsidP="008C66B8">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8C66B8" w:rsidRDefault="00A47751" w:rsidP="008C66B8">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8C66B8" w:rsidRPr="009E24C1" w:rsidRDefault="00A4775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sidRPr="009E24C1">
        <w:rPr>
          <w:rFonts w:ascii="Times New Roman" w:eastAsia="Times New Roman" w:hAnsi="Times New Roman" w:cs="Tahoma"/>
          <w:b/>
          <w:color w:val="000000"/>
          <w:sz w:val="24"/>
          <w:szCs w:val="24"/>
          <w:u w:val="single"/>
        </w:rPr>
        <w:t>Transmission Plant</w:t>
      </w:r>
    </w:p>
    <w:p w:rsidR="008C66B8" w:rsidRPr="008F5C8B"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8C66B8" w:rsidRPr="008F5C8B"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8C66B8" w:rsidRPr="008F5C8B"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8C66B8" w:rsidRPr="008F5C8B"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8C66B8" w:rsidRPr="008F5C8B"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8C66B8" w:rsidRPr="008F5C8B"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8C66B8" w:rsidRPr="008F5C8B"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1.69</w:t>
      </w:r>
    </w:p>
    <w:p w:rsidR="008C66B8" w:rsidRPr="009B6789"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8C66B8" w:rsidRPr="009B6789"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8C66B8"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w:t>
      </w:r>
      <w:r w:rsidRPr="009B6789">
        <w:rPr>
          <w:rFonts w:ascii="Times New Roman" w:eastAsia="Times New Roman" w:hAnsi="Times New Roman" w:cs="Tahoma"/>
          <w:color w:val="000000"/>
          <w:sz w:val="24"/>
          <w:szCs w:val="24"/>
        </w:rPr>
        <w:t>.33</w:t>
      </w:r>
    </w:p>
    <w:p w:rsidR="008C66B8" w:rsidRPr="00E03C80" w:rsidRDefault="00A4775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w:t>
      </w:r>
      <w:r w:rsidRPr="00E03C80">
        <w:rPr>
          <w:rFonts w:ascii="Times New Roman" w:eastAsia="Times New Roman" w:hAnsi="Times New Roman" w:cs="Tahoma"/>
          <w:b/>
          <w:color w:val="000000"/>
          <w:sz w:val="24"/>
          <w:szCs w:val="24"/>
          <w:u w:val="single"/>
        </w:rPr>
        <w:t xml:space="preserve"> Plant</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2.51</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391.01 </w:t>
      </w:r>
      <w:r w:rsidRPr="009E24C1">
        <w:rPr>
          <w:rFonts w:ascii="Times New Roman" w:eastAsia="Times New Roman" w:hAnsi="Times New Roman" w:cs="Tahoma"/>
          <w:color w:val="000000"/>
          <w:sz w:val="24"/>
          <w:szCs w:val="24"/>
        </w:rPr>
        <w:tab/>
        <w:t>Office furniture,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391.20 </w:t>
      </w:r>
      <w:r w:rsidRPr="009E24C1">
        <w:rPr>
          <w:rFonts w:ascii="Times New Roman" w:eastAsia="Times New Roman" w:hAnsi="Times New Roman" w:cs="Tahoma"/>
          <w:color w:val="000000"/>
          <w:sz w:val="24"/>
          <w:szCs w:val="24"/>
        </w:rPr>
        <w:tab/>
        <w:t xml:space="preserve">Office furniture equipment </w:t>
      </w:r>
      <w:r w:rsidRPr="009E24C1">
        <w:rPr>
          <w:rFonts w:ascii="Times New Roman" w:eastAsia="Times New Roman" w:hAnsi="Times New Roman" w:cs="Tahoma"/>
          <w:color w:val="000000"/>
          <w:sz w:val="24"/>
          <w:szCs w:val="24"/>
        </w:rPr>
        <w:br/>
        <w:t>(Data Processing Equipment)</w:t>
      </w:r>
      <w:r w:rsidRPr="009E24C1">
        <w:rPr>
          <w:rFonts w:ascii="Times New Roman" w:eastAsia="Times New Roman" w:hAnsi="Times New Roman" w:cs="Tahoma"/>
          <w:color w:val="000000"/>
          <w:sz w:val="24"/>
          <w:szCs w:val="24"/>
        </w:rPr>
        <w:tab/>
        <w:t>20.00</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392.22 </w:t>
      </w:r>
      <w:r w:rsidRPr="009E24C1">
        <w:rPr>
          <w:rFonts w:ascii="Times New Roman" w:eastAsia="Times New Roman" w:hAnsi="Times New Roman" w:cs="Tahoma"/>
          <w:color w:val="000000"/>
          <w:sz w:val="24"/>
          <w:szCs w:val="24"/>
        </w:rPr>
        <w:tab/>
        <w:t>Transportation Equipment</w:t>
      </w:r>
      <w:r w:rsidRPr="009E24C1">
        <w:rPr>
          <w:rFonts w:ascii="Times New Roman" w:eastAsia="Times New Roman" w:hAnsi="Times New Roman" w:cs="Tahoma"/>
          <w:color w:val="000000"/>
          <w:sz w:val="24"/>
          <w:szCs w:val="24"/>
        </w:rPr>
        <w:tab/>
        <w:t>3.33</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394 </w:t>
      </w:r>
      <w:r w:rsidRPr="009E24C1">
        <w:rPr>
          <w:rFonts w:ascii="Times New Roman" w:eastAsia="Times New Roman" w:hAnsi="Times New Roman" w:cs="Tahoma"/>
          <w:color w:val="000000"/>
          <w:sz w:val="24"/>
          <w:szCs w:val="24"/>
        </w:rPr>
        <w:tab/>
        <w:t>Tools, shop, garage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395 </w:t>
      </w:r>
      <w:r w:rsidRPr="009E24C1">
        <w:rPr>
          <w:rFonts w:ascii="Times New Roman" w:eastAsia="Times New Roman" w:hAnsi="Times New Roman" w:cs="Tahoma"/>
          <w:color w:val="000000"/>
          <w:sz w:val="24"/>
          <w:szCs w:val="24"/>
        </w:rPr>
        <w:tab/>
        <w:t>Laboratory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396 </w:t>
      </w:r>
      <w:r w:rsidRPr="009E24C1">
        <w:rPr>
          <w:rFonts w:ascii="Times New Roman" w:eastAsia="Times New Roman" w:hAnsi="Times New Roman" w:cs="Tahoma"/>
          <w:color w:val="000000"/>
          <w:sz w:val="24"/>
          <w:szCs w:val="24"/>
        </w:rPr>
        <w:tab/>
        <w:t>Power operated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397.01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397.02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397.50 &amp;.60 Communication equipment – Network</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398.01 </w:t>
      </w:r>
      <w:r w:rsidRPr="009E24C1">
        <w:rPr>
          <w:rFonts w:ascii="Times New Roman" w:eastAsia="Times New Roman" w:hAnsi="Times New Roman" w:cs="Tahoma"/>
          <w:color w:val="000000"/>
          <w:sz w:val="24"/>
          <w:szCs w:val="24"/>
        </w:rPr>
        <w:tab/>
        <w:t>Power and Supervisory Control</w:t>
      </w:r>
      <w:r w:rsidRPr="009E24C1">
        <w:rPr>
          <w:rFonts w:ascii="Times New Roman" w:eastAsia="Times New Roman" w:hAnsi="Times New Roman" w:cs="Tahoma"/>
          <w:color w:val="000000"/>
          <w:sz w:val="24"/>
          <w:szCs w:val="24"/>
        </w:rPr>
        <w:tab/>
        <w:t>4.55</w:t>
      </w:r>
    </w:p>
    <w:p w:rsidR="008C66B8" w:rsidRPr="00E03C80" w:rsidRDefault="00A4775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w:t>
      </w:r>
      <w:r w:rsidRPr="00E03C80">
        <w:rPr>
          <w:rFonts w:ascii="Times New Roman" w:eastAsia="Times New Roman" w:hAnsi="Times New Roman" w:cs="Tahoma"/>
          <w:b/>
          <w:color w:val="000000"/>
          <w:sz w:val="24"/>
          <w:szCs w:val="24"/>
          <w:u w:val="single"/>
        </w:rPr>
        <w:t xml:space="preserve"> Plant</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2.57</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391.10 </w:t>
      </w:r>
      <w:r w:rsidRPr="009E24C1">
        <w:rPr>
          <w:rFonts w:ascii="Times New Roman" w:eastAsia="Times New Roman" w:hAnsi="Times New Roman" w:cs="Tahoma"/>
          <w:color w:val="000000"/>
          <w:sz w:val="24"/>
          <w:szCs w:val="24"/>
        </w:rPr>
        <w:tab/>
        <w:t>Office furniture and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391.21 </w:t>
      </w:r>
      <w:r w:rsidRPr="009E24C1">
        <w:rPr>
          <w:rFonts w:ascii="Times New Roman" w:eastAsia="Times New Roman" w:hAnsi="Times New Roman" w:cs="Tahoma"/>
          <w:color w:val="000000"/>
          <w:sz w:val="24"/>
          <w:szCs w:val="24"/>
        </w:rPr>
        <w:tab/>
        <w:t>Data Processing Equipment</w:t>
      </w:r>
      <w:r w:rsidRPr="009E24C1">
        <w:rPr>
          <w:rFonts w:ascii="Times New Roman" w:eastAsia="Times New Roman" w:hAnsi="Times New Roman" w:cs="Tahoma"/>
          <w:color w:val="000000"/>
          <w:sz w:val="24"/>
          <w:szCs w:val="24"/>
        </w:rPr>
        <w:tab/>
        <w:t>20.00</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392.21 </w:t>
      </w:r>
      <w:r w:rsidRPr="009E24C1">
        <w:rPr>
          <w:rFonts w:ascii="Times New Roman" w:eastAsia="Times New Roman" w:hAnsi="Times New Roman" w:cs="Tahoma"/>
          <w:color w:val="000000"/>
          <w:sz w:val="24"/>
          <w:szCs w:val="24"/>
        </w:rPr>
        <w:tab/>
        <w:t>Transportation Equipment – Aircraft</w:t>
      </w:r>
      <w:r w:rsidRPr="009E24C1">
        <w:rPr>
          <w:rFonts w:ascii="Times New Roman" w:eastAsia="Times New Roman" w:hAnsi="Times New Roman" w:cs="Tahoma"/>
          <w:color w:val="000000"/>
          <w:sz w:val="24"/>
          <w:szCs w:val="24"/>
        </w:rPr>
        <w:tab/>
        <w:t>7.50</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393</w:t>
      </w:r>
      <w:r w:rsidRPr="009E24C1">
        <w:rPr>
          <w:rFonts w:ascii="Times New Roman" w:eastAsia="Times New Roman" w:hAnsi="Times New Roman" w:cs="Tahoma"/>
          <w:color w:val="000000"/>
          <w:sz w:val="24"/>
          <w:szCs w:val="24"/>
        </w:rPr>
        <w:tab/>
        <w:t>Stores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394</w:t>
      </w:r>
      <w:r w:rsidRPr="009E24C1">
        <w:rPr>
          <w:rFonts w:ascii="Times New Roman" w:eastAsia="Times New Roman" w:hAnsi="Times New Roman" w:cs="Tahoma"/>
          <w:color w:val="000000"/>
          <w:sz w:val="24"/>
          <w:szCs w:val="24"/>
        </w:rPr>
        <w:tab/>
        <w:t>Tools, shop and garage equipment</w:t>
      </w:r>
      <w:r w:rsidRPr="009E24C1">
        <w:rPr>
          <w:rFonts w:ascii="Times New Roman" w:eastAsia="Times New Roman" w:hAnsi="Times New Roman" w:cs="Tahoma"/>
          <w:color w:val="000000"/>
          <w:sz w:val="24"/>
          <w:szCs w:val="24"/>
        </w:rPr>
        <w:tab/>
        <w:t>4</w:t>
      </w:r>
      <w:r w:rsidRPr="009E24C1">
        <w:rPr>
          <w:rFonts w:ascii="Times New Roman" w:eastAsia="Times New Roman" w:hAnsi="Times New Roman" w:cs="Tahoma"/>
          <w:color w:val="000000"/>
          <w:sz w:val="24"/>
          <w:szCs w:val="24"/>
        </w:rPr>
        <w:t>.55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395</w:t>
      </w:r>
      <w:r w:rsidRPr="009E24C1">
        <w:rPr>
          <w:rFonts w:ascii="Times New Roman" w:eastAsia="Times New Roman" w:hAnsi="Times New Roman" w:cs="Tahoma"/>
          <w:color w:val="000000"/>
          <w:sz w:val="24"/>
          <w:szCs w:val="24"/>
        </w:rPr>
        <w:tab/>
        <w:t xml:space="preserve"> Laboratory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396</w:t>
      </w:r>
      <w:r w:rsidRPr="009E24C1">
        <w:rPr>
          <w:rFonts w:ascii="Times New Roman" w:eastAsia="Times New Roman" w:hAnsi="Times New Roman" w:cs="Tahoma"/>
          <w:color w:val="000000"/>
          <w:sz w:val="24"/>
          <w:szCs w:val="24"/>
        </w:rPr>
        <w:tab/>
        <w:t xml:space="preserve"> Power operated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397.10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397.20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397.30 </w:t>
      </w:r>
      <w:r w:rsidRPr="009E24C1">
        <w:rPr>
          <w:rFonts w:ascii="Times New Roman" w:eastAsia="Times New Roman" w:hAnsi="Times New Roman" w:cs="Tahoma"/>
          <w:color w:val="000000"/>
          <w:sz w:val="24"/>
          <w:szCs w:val="24"/>
        </w:rPr>
        <w:tab/>
        <w:t>Communication equipment – Network</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398</w:t>
      </w:r>
      <w:r w:rsidRPr="009E24C1">
        <w:rPr>
          <w:rFonts w:ascii="Times New Roman" w:eastAsia="Times New Roman" w:hAnsi="Times New Roman" w:cs="Tahoma"/>
          <w:color w:val="000000"/>
          <w:sz w:val="24"/>
          <w:szCs w:val="24"/>
        </w:rPr>
        <w:tab/>
        <w:t xml:space="preserve"> Miscellaneous equipment</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398.10 </w:t>
      </w:r>
      <w:r w:rsidRPr="009E24C1">
        <w:rPr>
          <w:rFonts w:ascii="Times New Roman" w:eastAsia="Times New Roman" w:hAnsi="Times New Roman" w:cs="Tahoma"/>
          <w:color w:val="000000"/>
          <w:sz w:val="24"/>
          <w:szCs w:val="24"/>
        </w:rPr>
        <w:tab/>
        <w:t>Po</w:t>
      </w:r>
      <w:r w:rsidRPr="009E24C1">
        <w:rPr>
          <w:rFonts w:ascii="Times New Roman" w:eastAsia="Times New Roman" w:hAnsi="Times New Roman" w:cs="Tahoma"/>
          <w:color w:val="000000"/>
          <w:sz w:val="24"/>
          <w:szCs w:val="24"/>
        </w:rPr>
        <w:t>wer and Supervisory Control</w:t>
      </w:r>
      <w:r w:rsidRPr="009E24C1">
        <w:rPr>
          <w:rFonts w:ascii="Times New Roman" w:eastAsia="Times New Roman" w:hAnsi="Times New Roman" w:cs="Tahoma"/>
          <w:color w:val="000000"/>
          <w:sz w:val="24"/>
          <w:szCs w:val="24"/>
        </w:rPr>
        <w:tab/>
        <w:t>4.55</w:t>
      </w:r>
    </w:p>
    <w:p w:rsidR="008C66B8" w:rsidRPr="009E24C1" w:rsidRDefault="00A4775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w:t>
      </w:r>
      <w:r w:rsidRPr="00E03C80">
        <w:rPr>
          <w:rFonts w:ascii="Times New Roman" w:eastAsia="Times New Roman" w:hAnsi="Times New Roman" w:cs="Tahoma"/>
          <w:b/>
          <w:color w:val="000000"/>
          <w:sz w:val="24"/>
          <w:szCs w:val="24"/>
          <w:u w:val="single"/>
        </w:rPr>
        <w:t xml:space="preserve"> Plant</w:t>
      </w:r>
      <w:r>
        <w:rPr>
          <w:rFonts w:ascii="Times New Roman" w:eastAsia="Times New Roman" w:hAnsi="Times New Roman" w:cs="Tahoma"/>
          <w:b/>
          <w:color w:val="000000"/>
          <w:sz w:val="24"/>
          <w:szCs w:val="24"/>
          <w:u w:val="single"/>
        </w:rPr>
        <w:t xml:space="preserve"> – Large Meters</w:t>
      </w:r>
    </w:p>
    <w:p w:rsidR="008C66B8" w:rsidRPr="009B6789"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8C66B8"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8C66B8" w:rsidRPr="00E03C80" w:rsidRDefault="00A4775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w:t>
      </w:r>
      <w:r w:rsidRPr="00E03C80">
        <w:rPr>
          <w:rFonts w:ascii="Times New Roman" w:eastAsia="Times New Roman" w:hAnsi="Times New Roman" w:cs="Tahoma"/>
          <w:b/>
          <w:color w:val="000000"/>
          <w:sz w:val="24"/>
          <w:szCs w:val="24"/>
          <w:u w:val="single"/>
        </w:rPr>
        <w:t xml:space="preserve"> Plant</w:t>
      </w:r>
    </w:p>
    <w:p w:rsidR="008C66B8" w:rsidRPr="009E24C1"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302</w:t>
      </w:r>
      <w:r w:rsidRPr="009E24C1">
        <w:rPr>
          <w:rFonts w:ascii="Times New Roman" w:eastAsia="Times New Roman" w:hAnsi="Times New Roman" w:cs="Tahoma"/>
          <w:color w:val="000000"/>
          <w:sz w:val="24"/>
          <w:szCs w:val="24"/>
        </w:rPr>
        <w:tab/>
        <w:t>Franchises and Consents</w:t>
      </w:r>
      <w:r w:rsidRPr="009E24C1">
        <w:rPr>
          <w:rFonts w:ascii="Times New Roman" w:eastAsia="Times New Roman" w:hAnsi="Times New Roman" w:cs="Tahoma"/>
          <w:color w:val="000000"/>
          <w:sz w:val="24"/>
          <w:szCs w:val="24"/>
        </w:rPr>
        <w:tab/>
        <w:t>2.38</w:t>
      </w:r>
    </w:p>
    <w:p w:rsidR="008C66B8" w:rsidRDefault="00A4775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303</w:t>
      </w:r>
      <w:r w:rsidRPr="009E24C1">
        <w:rPr>
          <w:rFonts w:ascii="Times New Roman" w:eastAsia="Times New Roman" w:hAnsi="Times New Roman" w:cs="Tahoma"/>
          <w:color w:val="000000"/>
          <w:sz w:val="24"/>
          <w:szCs w:val="24"/>
        </w:rPr>
        <w:tab/>
        <w:t xml:space="preserve">Miscellaneous Intangible </w:t>
      </w:r>
      <w:r w:rsidRPr="009E24C1">
        <w:rPr>
          <w:rFonts w:ascii="Times New Roman" w:eastAsia="Times New Roman" w:hAnsi="Times New Roman" w:cs="Tahoma"/>
          <w:color w:val="000000"/>
          <w:sz w:val="24"/>
          <w:szCs w:val="24"/>
        </w:rPr>
        <w:t>Assets</w:t>
      </w:r>
      <w:r w:rsidRPr="009E24C1">
        <w:rPr>
          <w:rFonts w:ascii="Times New Roman" w:eastAsia="Times New Roman" w:hAnsi="Times New Roman" w:cs="Tahoma"/>
          <w:color w:val="000000"/>
          <w:sz w:val="24"/>
          <w:szCs w:val="24"/>
        </w:rPr>
        <w:tab/>
        <w:t>14.29</w:t>
      </w:r>
    </w:p>
    <w:p w:rsidR="004C2F99" w:rsidRPr="009B6789" w:rsidRDefault="00A4775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A47751" w:rsidP="00BE013F">
      <w:pPr>
        <w:pStyle w:val="alphapara"/>
      </w:pPr>
      <w:r w:rsidRPr="00046966">
        <w:t>14.1.9.1.15</w:t>
      </w:r>
      <w:r w:rsidRPr="00046966">
        <w:tab/>
        <w:t>Distribution Plant shall equal the plant balance as recorded in FERC Account Nos. 360 – 374.</w:t>
      </w:r>
    </w:p>
    <w:p w:rsidR="004C2F99" w:rsidRPr="00046966" w:rsidRDefault="00A47751" w:rsidP="00BE013F">
      <w:pPr>
        <w:pStyle w:val="alphapara"/>
      </w:pPr>
      <w:r w:rsidRPr="00046966">
        <w:t>14.1.9.1.16</w:t>
      </w:r>
      <w:r w:rsidRPr="00046966">
        <w:tab/>
        <w:t>Equity AFUDC Component of Depreciation Expense shall equal the activity recorded in FERC Account No. 419.1.</w:t>
      </w:r>
    </w:p>
    <w:p w:rsidR="004C2F99" w:rsidRPr="00046966" w:rsidRDefault="00A47751" w:rsidP="00BE013F">
      <w:pPr>
        <w:pStyle w:val="alphapara"/>
      </w:pPr>
      <w:r w:rsidRPr="00046966">
        <w:t>14.1.9.1.17</w:t>
      </w:r>
      <w:r w:rsidRPr="00046966">
        <w:tab/>
      </w:r>
      <w:r w:rsidRPr="00046966">
        <w:t xml:space="preserve">Electric Environmental Remediation Expense shall be the environmental remediation expense as recorded in </w:t>
      </w:r>
      <w:r>
        <w:t xml:space="preserve">FERC </w:t>
      </w:r>
      <w:r w:rsidRPr="00046966">
        <w:t>Account 930.2.</w:t>
      </w:r>
    </w:p>
    <w:p w:rsidR="004C2F99" w:rsidRPr="00046966" w:rsidRDefault="00A47751" w:rsidP="00BE013F">
      <w:pPr>
        <w:pStyle w:val="alphapara"/>
      </w:pPr>
      <w:r w:rsidRPr="00046966">
        <w:t>14.1.9.1.18</w:t>
      </w:r>
      <w:r w:rsidRPr="00046966">
        <w:tab/>
        <w:t>Electric General Plant shall equal the plant balance recorded in FERC Account Nos. 389-399.  Electric General Plant sha</w:t>
      </w:r>
      <w:r w:rsidRPr="00046966">
        <w:t>ll be defined as the general plant associated with NMPC’s electric function.</w:t>
      </w:r>
    </w:p>
    <w:p w:rsidR="004C2F99" w:rsidRPr="00046966" w:rsidRDefault="00A47751" w:rsidP="00BE013F">
      <w:pPr>
        <w:pStyle w:val="alphapara"/>
      </w:pPr>
      <w:r w:rsidRPr="00046966">
        <w:t>14.1.9.1.19</w:t>
      </w:r>
      <w:r w:rsidRPr="00046966">
        <w:tab/>
        <w:t>Electric General Plant Depreciation Expense shall equal general plant depreciation expenses as recorded in FERC Account No. 403</w:t>
      </w:r>
      <w:r>
        <w:t>, 404 and 405</w:t>
      </w:r>
      <w:r w:rsidRPr="00046966">
        <w:t xml:space="preserve"> associated with Electric G</w:t>
      </w:r>
      <w:r w:rsidRPr="00046966">
        <w:t>eneral Plant.</w:t>
      </w:r>
    </w:p>
    <w:p w:rsidR="004C2F99" w:rsidRPr="00046966" w:rsidRDefault="00A47751" w:rsidP="00BE013F">
      <w:pPr>
        <w:pStyle w:val="alphapara"/>
      </w:pPr>
      <w:r w:rsidRPr="00046966">
        <w:t>14.1.9.1.20</w:t>
      </w:r>
      <w:r w:rsidRPr="00046966">
        <w:tab/>
        <w:t>Electric General Plant Depreciation Reserve shall equal the general plant depreciation reserve balance as recorded in FERC Account No. 108 associated with Electric General Plant.</w:t>
      </w:r>
    </w:p>
    <w:p w:rsidR="004C2F99" w:rsidRPr="00046966" w:rsidRDefault="00A47751" w:rsidP="00BE013F">
      <w:pPr>
        <w:pStyle w:val="alphapara"/>
      </w:pPr>
      <w:r w:rsidRPr="00046966">
        <w:t>14.1.9.1.21</w:t>
      </w:r>
      <w:r w:rsidRPr="00046966">
        <w:tab/>
        <w:t>Electric Property Insurance shall equal</w:t>
      </w:r>
      <w:r w:rsidRPr="00046966">
        <w:t xml:space="preserve"> property insurance recorded in FERC Account No. 924.</w:t>
      </w:r>
    </w:p>
    <w:p w:rsidR="004C2F99" w:rsidRPr="00046966" w:rsidRDefault="00A47751" w:rsidP="00BE013F">
      <w:pPr>
        <w:pStyle w:val="alphapara"/>
      </w:pPr>
      <w:r w:rsidRPr="00046966">
        <w:t>14.1.9.1.22</w:t>
      </w:r>
      <w:r w:rsidRPr="00046966">
        <w:tab/>
        <w:t xml:space="preserve">Electric Research and Development Expense shall equal research and development expenses as recorded in </w:t>
      </w:r>
      <w:r>
        <w:t xml:space="preserve">FERC </w:t>
      </w:r>
      <w:r w:rsidRPr="00046966">
        <w:t>Account No. 930.2.</w:t>
      </w:r>
    </w:p>
    <w:p w:rsidR="004C2F99" w:rsidRPr="00046966" w:rsidRDefault="00A47751" w:rsidP="00BE013F">
      <w:pPr>
        <w:pStyle w:val="alphapara"/>
      </w:pPr>
      <w:r w:rsidRPr="00046966">
        <w:t>14.1.9.1.23</w:t>
      </w:r>
      <w:r w:rsidRPr="00046966">
        <w:tab/>
        <w:t xml:space="preserve">Gain on Reacquired Debt shall equal the balance as </w:t>
      </w:r>
      <w:r w:rsidRPr="00046966">
        <w:t xml:space="preserve">recorded in FERC Account No. 257. </w:t>
      </w:r>
    </w:p>
    <w:p w:rsidR="004C2F99" w:rsidRPr="00046966" w:rsidRDefault="00A47751" w:rsidP="00BE013F">
      <w:pPr>
        <w:pStyle w:val="alphapara"/>
      </w:pPr>
      <w:r w:rsidRPr="00046966">
        <w:t>14.1.9.1.24</w:t>
      </w:r>
      <w:r w:rsidRPr="00046966">
        <w:tab/>
        <w:t>Gross Electric Plant shall equal Total Electric Plant plus an allocation of Common Plant determined by multiplying Common Plant by the Electric Wages and Salaries Allocation Factor.</w:t>
      </w:r>
    </w:p>
    <w:p w:rsidR="004C2F99" w:rsidRPr="00046966" w:rsidRDefault="00A47751" w:rsidP="00BE013F">
      <w:pPr>
        <w:pStyle w:val="alphapara"/>
      </w:pPr>
      <w:r w:rsidRPr="00046966">
        <w:t>14.1.9.1.25</w:t>
      </w:r>
      <w:r w:rsidRPr="00046966">
        <w:tab/>
        <w:t>Gross Plant (Ga</w:t>
      </w:r>
      <w:r w:rsidRPr="00046966">
        <w:t xml:space="preserve">s &amp; Electric) shall equal Total Gas Plant plus Total Electric Plant plus Total Common Plant.  </w:t>
      </w:r>
    </w:p>
    <w:p w:rsidR="004C2F99" w:rsidRPr="00046966" w:rsidRDefault="00A47751" w:rsidP="00BE013F">
      <w:pPr>
        <w:pStyle w:val="alphapara"/>
      </w:pPr>
      <w:r w:rsidRPr="00046966">
        <w:t>14.1.9.1.26</w:t>
      </w:r>
      <w:r w:rsidRPr="00046966">
        <w:tab/>
        <w:t>Gross Transmission Investment shall equal the total of Transmission Plant in Service, Transmission Related Electric General Plant, Transmission Relat</w:t>
      </w:r>
      <w:r w:rsidRPr="00046966">
        <w:t>ed Common Plant and Transmission Related Intangible Plant.</w:t>
      </w:r>
    </w:p>
    <w:p w:rsidR="004C2F99" w:rsidRPr="00046966" w:rsidRDefault="00A47751" w:rsidP="00BE013F">
      <w:pPr>
        <w:pStyle w:val="alphapara"/>
      </w:pPr>
      <w:r w:rsidRPr="00046966">
        <w:t>14.1.9.1.27</w:t>
      </w:r>
      <w:r w:rsidRPr="00046966">
        <w:tab/>
        <w:t>Intangible Electric Plant shall equal the balance of plant recorded in FERC Account Nos. 301-303.  Intangible Electric Plant shall be defined as the intangible plant associated with NMP</w:t>
      </w:r>
      <w:r w:rsidRPr="00046966">
        <w:t>C’s electric functions.</w:t>
      </w:r>
    </w:p>
    <w:p w:rsidR="004C2F99" w:rsidRPr="00046966" w:rsidRDefault="00A47751" w:rsidP="00BE013F">
      <w:pPr>
        <w:pStyle w:val="alphapara"/>
      </w:pPr>
      <w:r w:rsidRPr="00046966">
        <w:t>14.1.9.1.28</w:t>
      </w:r>
      <w:r w:rsidRPr="00046966">
        <w:tab/>
        <w:t>Intangible Electric Plant Depreciation Expense shall equal the intangible electric plant depreciation expenses as recorded in FERC Account No. 40</w:t>
      </w:r>
      <w:r>
        <w:t>3, 404 and 405</w:t>
      </w:r>
      <w:r w:rsidRPr="00046966">
        <w:t xml:space="preserve"> associated with Intangible Electric Plant.</w:t>
      </w:r>
    </w:p>
    <w:p w:rsidR="004C2F99" w:rsidRPr="00046966" w:rsidRDefault="00A47751" w:rsidP="00BE013F">
      <w:pPr>
        <w:pStyle w:val="alphapara"/>
      </w:pPr>
      <w:r w:rsidRPr="00046966">
        <w:t>14.1.9.1.29</w:t>
      </w:r>
      <w:r w:rsidRPr="00046966">
        <w:tab/>
        <w:t>Intan</w:t>
      </w:r>
      <w:r w:rsidRPr="00046966">
        <w:t>gible Electric Plant Depreciation Reserve shall equal the intangible plant depreciation reserve balance as recorded in FERC Account No. 108 associated with</w:t>
      </w:r>
      <w:r>
        <w:rPr>
          <w:rFonts w:cs="Tahoma"/>
          <w:color w:val="000000"/>
        </w:rPr>
        <w:t xml:space="preserve"> </w:t>
      </w:r>
      <w:r w:rsidRPr="00046966">
        <w:t>Intangible Electric Plant.</w:t>
      </w:r>
    </w:p>
    <w:p w:rsidR="004C2F99" w:rsidRPr="00046966" w:rsidRDefault="00A47751" w:rsidP="00BE013F">
      <w:pPr>
        <w:pStyle w:val="alphapara"/>
      </w:pPr>
      <w:r w:rsidRPr="00046966">
        <w:t>14.1.9.1.30</w:t>
      </w:r>
      <w:r w:rsidRPr="00046966">
        <w:tab/>
        <w:t>Loss on Reacquired Debt shall equal the loss on reacquired de</w:t>
      </w:r>
      <w:r w:rsidRPr="00046966">
        <w:t>bt as recorded in FERC Account No. 189.</w:t>
      </w:r>
    </w:p>
    <w:p w:rsidR="004C2F99" w:rsidRPr="00046966" w:rsidRDefault="00A47751" w:rsidP="00BE013F">
      <w:pPr>
        <w:pStyle w:val="alphapara"/>
      </w:pPr>
      <w:r w:rsidRPr="00046966">
        <w:t>14.1.9.1.31</w:t>
      </w:r>
      <w:r w:rsidRPr="00046966">
        <w:tab/>
        <w:t>Materials and Supplies shall equal materials and supplies balance as recorded in FERC Account No. 154 per 18 C.F.R. Parts 101 (Electric) and 201 (Gas).</w:t>
      </w:r>
    </w:p>
    <w:p w:rsidR="004C2F99" w:rsidRPr="00046966" w:rsidRDefault="00A47751" w:rsidP="00BE013F">
      <w:pPr>
        <w:pStyle w:val="alphapara"/>
      </w:pPr>
      <w:r w:rsidRPr="00046966">
        <w:t>14.1.9.1.32</w:t>
      </w:r>
      <w:r w:rsidRPr="00046966">
        <w:tab/>
        <w:t>Payroll Taxes shall equal the electric p</w:t>
      </w:r>
      <w:r w:rsidRPr="00046966">
        <w:t xml:space="preserve">ayroll tax expenses related to FICA and federal and state unemployment as recorded in </w:t>
      </w:r>
      <w:r>
        <w:t>FERC Account 408.1.</w:t>
      </w:r>
    </w:p>
    <w:p w:rsidR="004C2F99" w:rsidRPr="00046966" w:rsidRDefault="00A47751" w:rsidP="00BE013F">
      <w:pPr>
        <w:pStyle w:val="alphapara"/>
      </w:pPr>
      <w:r w:rsidRPr="00046966">
        <w:t>14.1.9.1.33</w:t>
      </w:r>
      <w:r w:rsidRPr="00046966">
        <w:tab/>
        <w:t>Plant Held for Future Use shall equal the balance as recorded in FERC Account No. 105 for transmission uses within 5 years.</w:t>
      </w:r>
    </w:p>
    <w:p w:rsidR="004C2F99" w:rsidRPr="00046966" w:rsidRDefault="00A47751" w:rsidP="00BE013F">
      <w:pPr>
        <w:pStyle w:val="alphapara"/>
      </w:pPr>
      <w:r w:rsidRPr="00046966">
        <w:t>14.1.9.1.34</w:t>
      </w:r>
      <w:r w:rsidRPr="00046966">
        <w:tab/>
        <w:t>Pr</w:t>
      </w:r>
      <w:r w:rsidRPr="00046966">
        <w:t>epayments shall equal prepayment balance as recorded in FERC Account No. 165 per 18 C.F.R. Parts 101 (Electric) and 201 (Gas) less prepaid state and Federal income taxes.</w:t>
      </w:r>
    </w:p>
    <w:p w:rsidR="004C2F99" w:rsidRPr="00046966" w:rsidRDefault="00A47751" w:rsidP="00BE013F">
      <w:pPr>
        <w:pStyle w:val="alphapara"/>
      </w:pPr>
      <w:r w:rsidRPr="00046966">
        <w:t>14.1.9.1.35</w:t>
      </w:r>
      <w:r w:rsidRPr="00046966">
        <w:tab/>
        <w:t xml:space="preserve">Real Estate Tax Expenses shall equal electric real estate tax expense as </w:t>
      </w:r>
      <w:r w:rsidRPr="00046966">
        <w:t xml:space="preserve">recorded in </w:t>
      </w:r>
      <w:r>
        <w:t>FERC Account 408.1.</w:t>
      </w:r>
    </w:p>
    <w:p w:rsidR="004C2F99" w:rsidRPr="00046966" w:rsidRDefault="00A47751" w:rsidP="00BE013F">
      <w:pPr>
        <w:pStyle w:val="alphapara"/>
      </w:pPr>
      <w:r w:rsidRPr="00046966">
        <w:t>14.1.9.1.36</w:t>
      </w:r>
      <w:r w:rsidRPr="00046966">
        <w:tab/>
        <w:t>Regulatory Assets and Liabilities shall equal state and federal regulatory asset balances in FERC Account Nos. 182.3 and 254, assets and liabilities solely related to FAS109, and excess AFUDC.</w:t>
      </w:r>
    </w:p>
    <w:p w:rsidR="004C2F99" w:rsidRPr="00046966" w:rsidRDefault="00A47751" w:rsidP="00BE013F">
      <w:pPr>
        <w:pStyle w:val="alphapara"/>
      </w:pPr>
      <w:r w:rsidRPr="00046966">
        <w:t>14.1.9.1.37</w:t>
      </w:r>
      <w:r w:rsidRPr="00046966">
        <w:tab/>
      </w:r>
      <w:r w:rsidRPr="00046966">
        <w:t>Total Accumulated Deferred Income Taxes shall equal the sum of deferred tax balances recorded in FERC Account Nos. 281 - 283 plus accumulated deferred investment tax credits as reflected in FERC Account No. 255, minus the deferred tax balance in FERC Accou</w:t>
      </w:r>
      <w:r w:rsidRPr="00046966">
        <w:t xml:space="preserve">nt No. 190.  Total Accumulated Deferred Income Taxes shall exclude the specifically identified generation-related stranded cost deferred taxes. </w:t>
      </w:r>
    </w:p>
    <w:p w:rsidR="004C2F99" w:rsidRPr="00046966" w:rsidRDefault="00A47751" w:rsidP="00BE013F">
      <w:pPr>
        <w:pStyle w:val="alphapara"/>
      </w:pPr>
      <w:r w:rsidRPr="00046966">
        <w:t>14.1.9.1.38</w:t>
      </w:r>
      <w:r w:rsidRPr="00046966">
        <w:tab/>
        <w:t>Total Electric Plant shall equal the sum of Transmission Plant, Distribution Plant, Electric Genera</w:t>
      </w:r>
      <w:r w:rsidRPr="00046966">
        <w:t>l Plant and Intangible Electric Plant.</w:t>
      </w:r>
    </w:p>
    <w:p w:rsidR="004C2F99" w:rsidRPr="00046966" w:rsidRDefault="00A47751" w:rsidP="00BE013F">
      <w:pPr>
        <w:pStyle w:val="alphapara"/>
      </w:pPr>
      <w:r w:rsidRPr="00046966">
        <w:t>14.1.9.1.39</w:t>
      </w:r>
      <w:r w:rsidRPr="00046966">
        <w:tab/>
        <w:t>Total Gas Plant shall equal the plant balance recorded in 18 C.F.R. Part 201, FERC Account Nos. 301-399.  Total Gas Plant shall exclude Common Plant.</w:t>
      </w:r>
    </w:p>
    <w:p w:rsidR="004C2F99" w:rsidRPr="00046966" w:rsidRDefault="00A47751" w:rsidP="00BE013F">
      <w:pPr>
        <w:pStyle w:val="alphapara"/>
      </w:pPr>
      <w:r w:rsidRPr="00046966">
        <w:t>14.1.9.1.40</w:t>
      </w:r>
      <w:r w:rsidRPr="00046966">
        <w:tab/>
        <w:t xml:space="preserve">Transmission Depreciation Reserve shall </w:t>
      </w:r>
      <w:r w:rsidRPr="00046966">
        <w:t>equal electric transmission plant related depreciation reserve balance as recorded in FERC Account No. 108, plus Transmission Related General Plant Accumulated Depreciation, Transmission Related Amortization of Other Utility Plant, and Common Plant Accumul</w:t>
      </w:r>
      <w:r w:rsidRPr="00046966">
        <w:t>ated Depreciation associated with Gross Electric Plant.</w:t>
      </w:r>
    </w:p>
    <w:p w:rsidR="004C2F99" w:rsidRPr="00046966" w:rsidRDefault="00A47751" w:rsidP="00BE013F">
      <w:pPr>
        <w:pStyle w:val="alphapara"/>
      </w:pPr>
      <w:r w:rsidRPr="00046966">
        <w:t>14.1.9.1.41</w:t>
      </w:r>
      <w:r w:rsidRPr="00046966">
        <w:tab/>
        <w:t>Transmission Operation and Maintenance Expense shall equal the sum of electric expenses as recorded in FERC Account Nos. 560</w:t>
      </w:r>
      <w:r>
        <w:t xml:space="preserve"> and</w:t>
      </w:r>
      <w:r w:rsidRPr="00046966">
        <w:t xml:space="preserve"> 562-574</w:t>
      </w:r>
      <w:r>
        <w:t xml:space="preserve"> which shall include Transmission Support Payments, </w:t>
      </w:r>
      <w:r>
        <w:t xml:space="preserve">but shall exclude </w:t>
      </w:r>
      <w:r w:rsidRPr="00175663">
        <w:t>expenses incurred pursuant to agreements entered into with generators or other similar resources for the purpose of supporting transmission reliability</w:t>
      </w:r>
      <w:r>
        <w:t xml:space="preserve"> that do not qualify a</w:t>
      </w:r>
      <w:r>
        <w:t>s Transmission Support Payments</w:t>
      </w:r>
      <w:r w:rsidRPr="00046966">
        <w:t>.</w:t>
      </w:r>
    </w:p>
    <w:p w:rsidR="004C2F99" w:rsidRPr="00046966" w:rsidRDefault="00A47751" w:rsidP="00BE013F">
      <w:pPr>
        <w:pStyle w:val="alphapara"/>
      </w:pPr>
      <w:r w:rsidRPr="00046966">
        <w:t>14.1.9.1.42</w:t>
      </w:r>
      <w:r w:rsidRPr="00046966">
        <w:tab/>
        <w:t>Transmission Plant s</w:t>
      </w:r>
      <w:r w:rsidRPr="00046966">
        <w:t>hall equal the gross plant balance as recorded in FERC Account Nos. 350-359.</w:t>
      </w:r>
    </w:p>
    <w:p w:rsidR="004C2F99" w:rsidRPr="00046966" w:rsidRDefault="00A47751" w:rsidP="00BE013F">
      <w:pPr>
        <w:pStyle w:val="alphapara"/>
      </w:pPr>
      <w:r w:rsidRPr="00046966">
        <w:t>14.1.9.1.43</w:t>
      </w:r>
      <w:r w:rsidRPr="00046966">
        <w:tab/>
        <w:t xml:space="preserve">Transmission Related Bad Debt Expense shall equal Bad Debt Expense as reported in </w:t>
      </w:r>
      <w:r>
        <w:t xml:space="preserve">FERC </w:t>
      </w:r>
      <w:r w:rsidRPr="00046966">
        <w:t>Account 904 related to NMPC’s wholesale transmission billing.</w:t>
      </w:r>
    </w:p>
    <w:p w:rsidR="004C2F99" w:rsidRPr="00046966" w:rsidRDefault="00A47751" w:rsidP="00BE013F">
      <w:pPr>
        <w:pStyle w:val="alphapara"/>
      </w:pPr>
      <w:r w:rsidRPr="00046966">
        <w:t>14.1.9.1.44</w:t>
      </w:r>
      <w:r w:rsidRPr="00046966">
        <w:tab/>
        <w:t>Unamor</w:t>
      </w:r>
      <w:r w:rsidRPr="00046966">
        <w:t>tized Discount on Long-Term Debt shall equal the balance in FERC Account No. 226.</w:t>
      </w:r>
    </w:p>
    <w:p w:rsidR="004C2F99" w:rsidRPr="00046966" w:rsidRDefault="00A47751" w:rsidP="00BE013F">
      <w:pPr>
        <w:pStyle w:val="alphapara"/>
      </w:pPr>
      <w:r w:rsidRPr="00046966">
        <w:t>14.1.9.1.45</w:t>
      </w:r>
      <w:r w:rsidRPr="00046966">
        <w:tab/>
        <w:t>Wholesale Metering Investment shall equal the gross plant investment associated with any Revenue or Remote Terminal Unit (“RTU”) meters and associated equipment c</w:t>
      </w:r>
      <w:r w:rsidRPr="00046966">
        <w:t>onnected to an internal or external tie at voltages equal to or greater than 23 kV.  The gross plant investment shall be determined by multiplying the number of such existing wholesale meters recorded in FERC Account No. 370.3 and in blanket metering accou</w:t>
      </w:r>
      <w:r w:rsidRPr="00046966">
        <w:t xml:space="preserve">nts by the average cost of the meters plus the average costs of installation.  To the extent future gross plant investment for Wholesale Metering can be specifically identified, actual gross meter costs will be used. </w:t>
      </w:r>
    </w:p>
    <w:p w:rsidR="004C2F99" w:rsidRPr="008F5C8B" w:rsidRDefault="00A47751"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A47751" w:rsidP="00BE013F">
      <w:pPr>
        <w:pStyle w:val="alphapara"/>
      </w:pPr>
      <w:r w:rsidRPr="00EC4874">
        <w:t>14.</w:t>
      </w:r>
      <w:r w:rsidRPr="00EC4874">
        <w:t>1.9.1.46</w:t>
      </w:r>
      <w:r w:rsidRPr="00EC4874">
        <w:tab/>
        <w:t>Forecast Period shall mean the calendar year immediately following the calendar year for which the most recent FERC Form 1 data is available, as of the beginning of the Update Year.</w:t>
      </w:r>
    </w:p>
    <w:p w:rsidR="004C2F99" w:rsidRPr="00EC4874" w:rsidRDefault="00A47751" w:rsidP="00BE013F">
      <w:pPr>
        <w:pStyle w:val="alphapara"/>
      </w:pPr>
      <w:r w:rsidRPr="00EC4874">
        <w:t>14.1.9.1.47</w:t>
      </w:r>
      <w:r w:rsidRPr="00EC4874">
        <w:tab/>
        <w:t>Forecasted Transmission Plant Additions (“FTPA”) shal</w:t>
      </w:r>
      <w:r w:rsidRPr="00EC4874">
        <w:t xml:space="preserve">l mean the sum of: </w:t>
      </w:r>
    </w:p>
    <w:p w:rsidR="004C2F99" w:rsidRPr="00EC4874" w:rsidRDefault="00A47751" w:rsidP="00BE013F">
      <w:pPr>
        <w:pStyle w:val="alphapara"/>
      </w:pPr>
      <w:r w:rsidRPr="00EC4874">
        <w:t>14.1.9.1.47.1</w:t>
      </w:r>
      <w:r w:rsidRPr="00EC4874">
        <w:tab/>
        <w:t xml:space="preserve">NMPC’s actual Transmission Plant additions during the first quarter (January 1 through March 31) of the Forecast Period; and </w:t>
      </w:r>
    </w:p>
    <w:p w:rsidR="004C2F99" w:rsidRPr="00EC4874" w:rsidRDefault="00A47751" w:rsidP="00BE013F">
      <w:pPr>
        <w:pStyle w:val="alphapara"/>
      </w:pPr>
      <w:r w:rsidRPr="00EC4874">
        <w:t>14.1.9.1.47.2</w:t>
      </w:r>
      <w:r w:rsidRPr="00EC4874">
        <w:tab/>
        <w:t xml:space="preserve">NMPC’s forecasted transmission investment for the Forecast Period less the amount </w:t>
      </w:r>
      <w:r w:rsidRPr="00EC4874">
        <w:t>(i), divided by 2.</w:t>
      </w:r>
    </w:p>
    <w:p w:rsidR="004C2F99" w:rsidRPr="00EC4874" w:rsidRDefault="00A47751" w:rsidP="00BE013F">
      <w:pPr>
        <w:pStyle w:val="alphapara"/>
      </w:pPr>
      <w:r w:rsidRPr="00EC4874">
        <w:t>14.1.9.1.48</w:t>
      </w:r>
      <w:r w:rsidRPr="00EC4874">
        <w:tab/>
        <w:t>Interest on refunds, surcharges, or adjustments, as applicable, shall mean interest calculated in accordance with the methodology specified in the Commission’s regulations at 18 C.F.R. § 35.19a (a) (2) (iii) (or as such provi</w:t>
      </w:r>
      <w:r w:rsidRPr="00EC4874">
        <w:t>sion may be renumbered in the future).</w:t>
      </w:r>
    </w:p>
    <w:p w:rsidR="004C2F99" w:rsidRPr="00EC4874" w:rsidRDefault="00A47751" w:rsidP="00BE013F">
      <w:pPr>
        <w:pStyle w:val="alphapara"/>
      </w:pPr>
      <w:r w:rsidRPr="00EC4874">
        <w:t>14.1.9.1.49</w:t>
      </w:r>
      <w:r w:rsidRPr="00EC4874">
        <w:tab/>
        <w:t xml:space="preserve">Actual Transmission Revenue Requirement shall mean the current Historical Transmission Revenue Requirement (as defined in Attachment 1). </w:t>
      </w:r>
    </w:p>
    <w:p w:rsidR="004C2F99" w:rsidRPr="00EC4874" w:rsidRDefault="00A47751" w:rsidP="00BE013F">
      <w:pPr>
        <w:pStyle w:val="alphapara"/>
      </w:pPr>
      <w:r w:rsidRPr="00EC4874">
        <w:t>14.1.9.1.50</w:t>
      </w:r>
      <w:r w:rsidRPr="00EC4874">
        <w:tab/>
        <w:t>Actual Scheduling, System Control and Dispatch cost sha</w:t>
      </w:r>
      <w:r w:rsidRPr="00EC4874">
        <w:t>ll mean the most recently established CCC (as defined in Attachment 1).</w:t>
      </w:r>
    </w:p>
    <w:p w:rsidR="004C2F99" w:rsidRPr="00EC4874" w:rsidRDefault="00A47751" w:rsidP="00BE013F">
      <w:pPr>
        <w:pStyle w:val="alphapara"/>
      </w:pPr>
      <w:r w:rsidRPr="00EC4874">
        <w:t>14.1.9.1.51</w:t>
      </w:r>
      <w:r w:rsidRPr="00EC4874">
        <w:tab/>
        <w:t>Actual Billing Units shall mean the most recently established BU (as defined in Attachment 1).</w:t>
      </w:r>
    </w:p>
    <w:p w:rsidR="004C2F99" w:rsidRPr="00EC4874" w:rsidRDefault="00A47751" w:rsidP="00BE013F">
      <w:pPr>
        <w:pStyle w:val="alphapara"/>
      </w:pPr>
      <w:r w:rsidRPr="00EC4874">
        <w:t>14.1.9.1.52</w:t>
      </w:r>
      <w:r w:rsidRPr="00EC4874">
        <w:tab/>
        <w:t>Prior Year Transmission Revenue Requirement shall equal RR less A</w:t>
      </w:r>
      <w:r w:rsidRPr="00EC4874">
        <w:t xml:space="preserve">nnual True-Up (“ATU”), as defined in Attachment 1, for the most recently ended calendar year as of the beginning of the Update Year.  </w:t>
      </w:r>
    </w:p>
    <w:p w:rsidR="004C2F99" w:rsidRPr="00EC4874" w:rsidRDefault="00A47751" w:rsidP="00BE013F">
      <w:pPr>
        <w:pStyle w:val="alphapara"/>
      </w:pPr>
      <w:r w:rsidRPr="00EC4874">
        <w:t>14.1.9.1.53</w:t>
      </w:r>
      <w:r w:rsidRPr="00EC4874">
        <w:tab/>
        <w:t>Prior Year Scheduling, System Control and Dispatch shall equal the CCC, as defined in Attachment 1, for the p</w:t>
      </w:r>
      <w:r w:rsidRPr="00EC4874">
        <w:t>rior calendar year.</w:t>
      </w:r>
    </w:p>
    <w:p w:rsidR="004C2F99" w:rsidRPr="00EC4874" w:rsidRDefault="00A47751" w:rsidP="00BE013F">
      <w:pPr>
        <w:pStyle w:val="alphapara"/>
      </w:pPr>
      <w:r w:rsidRPr="00EC4874">
        <w:t>14.1.9.1.54</w:t>
      </w:r>
      <w:r w:rsidRPr="00EC4874">
        <w:tab/>
        <w:t>Prior Year Billing Units shall equal the BU, as defined in Attachment 1, for the prior calendar year.</w:t>
      </w:r>
    </w:p>
    <w:p w:rsidR="004C2F99" w:rsidRPr="00EC4874" w:rsidRDefault="00A47751" w:rsidP="00BE013F">
      <w:pPr>
        <w:pStyle w:val="alphapara"/>
      </w:pPr>
      <w:r w:rsidRPr="00EC4874">
        <w:t>14.1.9.1.55</w:t>
      </w:r>
      <w:r w:rsidRPr="00EC4874">
        <w:tab/>
        <w:t xml:space="preserve">Prior Year Unit Rate shall equal the sum of RR, as defined in Attachment 1, for the most recently ended Prior </w:t>
      </w:r>
      <w:r w:rsidRPr="00EC4874">
        <w:t>Year Revenue Requirement and the Prior Year Scheduling, System Control and Dispatch divided by the Prior Year Billing Units.</w:t>
      </w:r>
    </w:p>
    <w:p w:rsidR="004C2F99" w:rsidRPr="00EC4874" w:rsidRDefault="00A47751" w:rsidP="00BE013F">
      <w:pPr>
        <w:pStyle w:val="alphapara"/>
      </w:pPr>
      <w:r w:rsidRPr="00EC4874">
        <w:t>14.1.9.1.56</w:t>
      </w:r>
      <w:r w:rsidRPr="00EC4874">
        <w:tab/>
        <w:t>Annual Update shall mean the calculation of the RR, CCC, and BU components with Data Inputs for an Update Year in accor</w:t>
      </w:r>
      <w:r w:rsidRPr="00EC4874">
        <w:t>dance with Section 14.1.9.4.</w:t>
      </w:r>
    </w:p>
    <w:p w:rsidR="004C2F99" w:rsidRPr="00EC4874" w:rsidRDefault="00A47751" w:rsidP="00BE013F">
      <w:pPr>
        <w:pStyle w:val="alphapara"/>
      </w:pPr>
      <w:r w:rsidRPr="00EC4874">
        <w:t>14.1.9.1.57</w:t>
      </w:r>
      <w:r w:rsidRPr="00EC4874">
        <w:tab/>
        <w:t>Data Input shall mean any data required for the calculation of RR, CCC and BU, in accordance with the Formula Rate.</w:t>
      </w:r>
    </w:p>
    <w:p w:rsidR="004C2F99" w:rsidRPr="00EC4874" w:rsidRDefault="00A47751" w:rsidP="00BE013F">
      <w:pPr>
        <w:pStyle w:val="alphapara"/>
      </w:pPr>
      <w:r w:rsidRPr="00EC4874">
        <w:t>14.1.9.1.58</w:t>
      </w:r>
      <w:r w:rsidRPr="00EC4874">
        <w:tab/>
        <w:t>Formal Challenge shall mean a challenge presented in accordance with Section 14.1.9.4.3</w:t>
      </w:r>
      <w:r w:rsidRPr="00EC4874">
        <w:t>.2.</w:t>
      </w:r>
    </w:p>
    <w:p w:rsidR="004C2F99" w:rsidRPr="00EC4874" w:rsidRDefault="00A47751" w:rsidP="00BE013F">
      <w:pPr>
        <w:pStyle w:val="alphapara"/>
      </w:pPr>
      <w:r w:rsidRPr="00EC4874">
        <w:t>14.1.9.1.59</w:t>
      </w:r>
      <w:r w:rsidRPr="00EC4874">
        <w:tab/>
        <w:t>Informational Filing shall mean the filing that NMPC makes in accordance with Section 14.1.9.4 to establish the Annual Update for an Update Year.</w:t>
      </w:r>
    </w:p>
    <w:p w:rsidR="004C2F99" w:rsidRPr="00EC4874" w:rsidRDefault="00A47751" w:rsidP="00BE013F">
      <w:pPr>
        <w:pStyle w:val="alphapara"/>
      </w:pPr>
      <w:r w:rsidRPr="00EC4874">
        <w:t>14.1.9.1.60</w:t>
      </w:r>
      <w:r w:rsidRPr="00EC4874">
        <w:tab/>
        <w:t>Interested Party shall mean a person that is (i) a party to FERC Docket No. ER08-5</w:t>
      </w:r>
      <w:r w:rsidRPr="00EC4874">
        <w:t>52, (ii) the New York State Public Service Commission; (iii) a transmission customer under this Tariff that pays charges based on the Formula Rate during the calendar year prior to the submission of the Informational Filing; or (iv) a state regulatory auth</w:t>
      </w:r>
      <w:r w:rsidRPr="00EC4874">
        <w:t>ority having jurisdiction over the retail electric rates of such a transmission customer, provided that such regulatory authority or such customer notifies NMPC of that fact no later than 30 days prior to the Publication Date.  An Interested Person include</w:t>
      </w:r>
      <w:r w:rsidRPr="00EC4874">
        <w:t>s employees of or consultants to such person.</w:t>
      </w:r>
    </w:p>
    <w:p w:rsidR="004C2F99" w:rsidRPr="00EC4874" w:rsidRDefault="00A47751" w:rsidP="00BE013F">
      <w:pPr>
        <w:pStyle w:val="alphapara"/>
      </w:pPr>
      <w:r w:rsidRPr="00EC4874">
        <w:t>14.1.9.1.61</w:t>
      </w:r>
      <w:r w:rsidRPr="00EC4874">
        <w:tab/>
        <w:t xml:space="preserve">Material Accounting Change shall mean an accounting policy or practice, including, but not limited to, a policy or practice affecting the allocation of costs or revenues, employed by NMPC during an </w:t>
      </w:r>
      <w:r w:rsidRPr="00EC4874">
        <w:t xml:space="preserve">Update Year that differs from the corresponding policy or practice in effect during any of the three previous calendar years which change affects any Data Input for the Update Year by $1.0 million or more, as compared to the previous calendar year.  </w:t>
      </w:r>
    </w:p>
    <w:p w:rsidR="004C2F99" w:rsidRPr="00EC4874" w:rsidRDefault="00A47751" w:rsidP="00BE013F">
      <w:pPr>
        <w:pStyle w:val="alphapara"/>
      </w:pPr>
      <w:r w:rsidRPr="00EC4874">
        <w:t>14.1.</w:t>
      </w:r>
      <w:r w:rsidRPr="00EC4874">
        <w:t>9.1.62</w:t>
      </w:r>
      <w:r w:rsidRPr="00EC4874">
        <w:tab/>
        <w:t>Preliminary Challenge shall mean a challenge presented by an Interested Party in accordance with Section 14.1.9.4.2.1.</w:t>
      </w:r>
    </w:p>
    <w:p w:rsidR="004C2F99" w:rsidRPr="00EC4874" w:rsidRDefault="00A47751" w:rsidP="00BE013F">
      <w:pPr>
        <w:pStyle w:val="alphapara"/>
      </w:pPr>
      <w:r w:rsidRPr="00EC4874">
        <w:t>14.1.9.1.63</w:t>
      </w:r>
      <w:r w:rsidRPr="00EC4874">
        <w:tab/>
        <w:t>Publication Date shall be the date of an Informational Filing for an Update Year.</w:t>
      </w:r>
    </w:p>
    <w:p w:rsidR="004C2F99" w:rsidRPr="00EC4874" w:rsidRDefault="00A47751" w:rsidP="00BE013F">
      <w:pPr>
        <w:pStyle w:val="alphapara"/>
      </w:pPr>
      <w:r w:rsidRPr="00EC4874">
        <w:t>14.1.9.1.64</w:t>
      </w:r>
      <w:r w:rsidRPr="00EC4874">
        <w:tab/>
        <w:t>Review Period shall be t</w:t>
      </w:r>
      <w:r w:rsidRPr="00EC4874">
        <w:t>he period ending one-hundred and fifty (150) days after the Publication Date, unless extended in accordance with Section 14.1.9.4.2.1.</w:t>
      </w:r>
    </w:p>
    <w:p w:rsidR="004C2F99" w:rsidRPr="00EC4874" w:rsidRDefault="00A47751" w:rsidP="00BE013F">
      <w:pPr>
        <w:pStyle w:val="alphapara"/>
      </w:pPr>
      <w:r w:rsidRPr="00EC4874">
        <w:t>14.1.9.1.65</w:t>
      </w:r>
      <w:r w:rsidRPr="00EC4874">
        <w:tab/>
        <w:t xml:space="preserve">Formula Rate shall be the formulas set forth in Attachment 1.   </w:t>
      </w:r>
    </w:p>
    <w:p w:rsidR="004C2F99" w:rsidRDefault="00A47751" w:rsidP="00BE013F">
      <w:pPr>
        <w:pStyle w:val="alphapara"/>
      </w:pPr>
      <w:r w:rsidRPr="00EC4874">
        <w:t>14.1.9.1.66</w:t>
      </w:r>
      <w:r w:rsidRPr="00EC4874">
        <w:tab/>
        <w:t xml:space="preserve">Update Year shall be the period </w:t>
      </w:r>
      <w:r w:rsidRPr="00EC4874">
        <w:t>from July 1 of a given calendar year through June 30 of the subsequent calendar year for a particular Annual Update.</w:t>
      </w:r>
    </w:p>
    <w:p w:rsidR="004C2F99" w:rsidRPr="00C3180D" w:rsidRDefault="00A47751" w:rsidP="00BE013F">
      <w:pPr>
        <w:pStyle w:val="alphapara"/>
        <w:rPr>
          <w:color w:val="000000"/>
        </w:rPr>
      </w:pPr>
      <w:r w:rsidRPr="00175663">
        <w:t>14.</w:t>
      </w:r>
      <w:r w:rsidRPr="00175663">
        <w:rPr>
          <w:color w:val="000000"/>
        </w:rPr>
        <w:t>1.9.1.67</w:t>
      </w:r>
      <w:r w:rsidRPr="00175663">
        <w:rPr>
          <w:color w:val="000000"/>
        </w:rPr>
        <w:tab/>
      </w:r>
      <w:r w:rsidRPr="00175663">
        <w:t>Transmission Support Payments shall be expenses</w:t>
      </w:r>
      <w:r>
        <w:t xml:space="preserve"> accepted by FERC for inclusion in the Historical Transmission Revenue Requireme</w:t>
      </w:r>
      <w:r>
        <w:t>nt pursuant to</w:t>
      </w:r>
      <w:r w:rsidRPr="00175663">
        <w:t xml:space="preserve"> agreements entered into with generators or other similar resources for the purpose of supporting transmission reliability</w:t>
      </w:r>
      <w:r>
        <w:t xml:space="preserve"> that </w:t>
      </w:r>
      <w:r w:rsidRPr="00175663">
        <w:t>have been submitted</w:t>
      </w:r>
      <w:r>
        <w:t xml:space="preserve"> to FERC</w:t>
      </w:r>
      <w:r w:rsidRPr="00175663">
        <w:t xml:space="preserve"> for review.  </w:t>
      </w:r>
      <w:r w:rsidRPr="0053639E">
        <w:t>Pur</w:t>
      </w:r>
      <w:r w:rsidRPr="00211E6C">
        <w:t>suant</w:t>
      </w:r>
      <w:r w:rsidRPr="0053639E">
        <w:t xml:space="preserve"> to the settlement agreement accepted by FERC in Docket No. ER14-</w:t>
      </w:r>
      <w:r w:rsidRPr="0053639E">
        <w:t xml:space="preserve">543, </w:t>
      </w:r>
      <w:r w:rsidRPr="00211E6C">
        <w:t>T</w:t>
      </w:r>
      <w:r w:rsidRPr="0053639E">
        <w:t>ransmission Support Payments shall include the costs incurred by Niagara Mohawk pursuant to the reliability support services agreements entered into between Niagara Mohawk and Dunkirk Power, LLC on July 12, 2012 and March 4, 2013, including the costs</w:t>
      </w:r>
      <w:r w:rsidRPr="0053639E">
        <w:t xml:space="preserve"> of extending the March 4, 2013 agreement through the end of 2015, less a sum total of $35 million.</w:t>
      </w:r>
      <w:r>
        <w:t xml:space="preserve">  </w:t>
      </w:r>
    </w:p>
    <w:p w:rsidR="004C2F99" w:rsidRPr="00EC4874" w:rsidRDefault="00A47751" w:rsidP="00BE013F">
      <w:pPr>
        <w:pStyle w:val="Bodypara"/>
      </w:pPr>
      <w:r w:rsidRPr="00EC4874">
        <w:t>All references to FERC accounts in the above definitions are references to 18 C.F.R. Part 101, unless specifically noted otherwise.  In the event that the</w:t>
      </w:r>
      <w:r w:rsidRPr="00EC4874">
        <w:t xml:space="preserve"> above-referenced FERC accounts are renumbered, renamed, or otherwise modified, the above sections shall be deemed amended to incorporate such renumbered, renamed, modified or additional accounts.</w:t>
      </w:r>
    </w:p>
    <w:p w:rsidR="004C2F99" w:rsidRPr="00EC4874" w:rsidRDefault="00A47751"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A47751" w:rsidP="00BE013F">
      <w:pPr>
        <w:pStyle w:val="Bodypara"/>
      </w:pPr>
      <w:r w:rsidRPr="00EC4874">
        <w:t>The RR component shall equal the</w:t>
      </w:r>
      <w:r w:rsidRPr="00EC4874">
        <w:t xml:space="preserve"> (a) Historical Transmission Revenue Requirement</w:t>
      </w:r>
      <w:r>
        <w:t>,</w:t>
      </w:r>
      <w:r w:rsidRPr="00EC4874">
        <w:t xml:space="preserve"> plus (b) the Forecasted Transmission Revenue Requirement </w:t>
      </w:r>
      <w:r>
        <w:t xml:space="preserve">which shall exclude the impact of any Transmission Support Payments, </w:t>
      </w:r>
      <w:r w:rsidRPr="00EC4874">
        <w:t>plus (c) the Annual True-Up, determined in accordance with the Formula Rate.</w:t>
      </w:r>
    </w:p>
    <w:p w:rsidR="004C2F99" w:rsidRPr="00EC4874" w:rsidRDefault="00A47751"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w:t>
      </w:r>
      <w:r w:rsidRPr="00EC4874">
        <w:rPr>
          <w:rFonts w:ascii="Times New Roman" w:eastAsia="Times New Roman" w:hAnsi="Times New Roman"/>
          <w:sz w:val="24"/>
          <w:szCs w:val="24"/>
        </w:rPr>
        <w:t>1.9.3</w:t>
      </w:r>
      <w:r w:rsidRPr="00EC4874">
        <w:rPr>
          <w:rFonts w:ascii="Times New Roman" w:eastAsia="Times New Roman" w:hAnsi="Times New Roman"/>
          <w:sz w:val="24"/>
          <w:szCs w:val="24"/>
        </w:rPr>
        <w:tab/>
        <w:t>Fixed Formula Inputs</w:t>
      </w:r>
      <w:bookmarkEnd w:id="25"/>
    </w:p>
    <w:p w:rsidR="004C2F99" w:rsidRPr="00EC4874" w:rsidRDefault="00A47751" w:rsidP="00BE013F">
      <w:pPr>
        <w:pStyle w:val="Bodypara"/>
      </w:pPr>
      <w:r w:rsidRPr="00EC4874">
        <w:t>Formula Rate inputs for (i) the authorized return on common equity (“ROE”), (ii) any cap on the common equity component of the capital structure, (iii) amount and amortization period of extraordinary property losses, (iv) depreci</w:t>
      </w:r>
      <w:r w:rsidRPr="00EC4874">
        <w:t>ation and/or amortization rates, (v)  PBOP expenses, and (vi) the electric wages and salaries allocation factor and transmission wages and salaries allocation factor shall be stated values until changed by the FERC pursuant to Section 205 or Section 206 of</w:t>
      </w:r>
      <w:r w:rsidRPr="00EC4874">
        <w:t xml:space="preserve"> the Federal Power Act.  An application under Section 205 or 206 or a proceeding initiated by FERC sua sponte under Section 206 to modify any of these stated values under the Formula Rate other than the ROE, the cap on the common equity component of the ca</w:t>
      </w:r>
      <w:r w:rsidRPr="00EC4874">
        <w:t>pital structure or the allocation factors in (vi) shall not be deemed to open for review other components of the Formula Rate.</w:t>
      </w:r>
    </w:p>
    <w:p w:rsidR="004C2F99" w:rsidRPr="00EC4874" w:rsidRDefault="00A47751"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A47751"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A47751" w:rsidP="00BE013F">
      <w:pPr>
        <w:pStyle w:val="alphapara"/>
      </w:pPr>
      <w:r w:rsidRPr="00EC4874">
        <w:t>14.1.9.4.1.1</w:t>
      </w:r>
      <w:r w:rsidRPr="00EC4874">
        <w:tab/>
        <w:t>On or before June 14th of each year, NMPC shall recalcula</w:t>
      </w:r>
      <w:r w:rsidRPr="00EC4874">
        <w:t>te its RR, CCC, and BU components, applying the Data Inputs called for in the Formula Rate to produce the Annual Update for the upcoming Update Year, and:</w:t>
      </w:r>
    </w:p>
    <w:p w:rsidR="004C2F99" w:rsidRPr="00EC4874" w:rsidRDefault="00A47751" w:rsidP="00BE013F">
      <w:pPr>
        <w:pStyle w:val="alphapara"/>
      </w:pPr>
      <w:r w:rsidRPr="00EC4874">
        <w:t>14.1.9.4.1.1.1</w:t>
      </w:r>
      <w:r w:rsidRPr="00EC4874">
        <w:tab/>
      </w:r>
      <w:r w:rsidRPr="00EC4874">
        <w:tab/>
        <w:t>shall post such Annual Update and a “workable” excel file containing that year’s Annu</w:t>
      </w:r>
      <w:r w:rsidRPr="00EC4874">
        <w:t xml:space="preserve">al Update on the NYISO’s Internet website; </w:t>
      </w:r>
    </w:p>
    <w:p w:rsidR="004C2F99" w:rsidRPr="00EC4874" w:rsidRDefault="00A47751" w:rsidP="00BE013F">
      <w:pPr>
        <w:pStyle w:val="alphapara"/>
      </w:pPr>
      <w:r w:rsidRPr="00EC4874">
        <w:t>14.1.9.4.1.1.2</w:t>
      </w:r>
      <w:r w:rsidRPr="00EC4874">
        <w:tab/>
      </w:r>
      <w:r w:rsidRPr="00EC4874">
        <w:tab/>
        <w:t>shall file such Annual Update with the FERC as the Informational Filing.  The submission of such Informational Filing with FERC shall not require any action by the agency; and</w:t>
      </w:r>
    </w:p>
    <w:p w:rsidR="004C2F99" w:rsidRPr="00EC4874" w:rsidRDefault="00A47751" w:rsidP="00BE013F">
      <w:pPr>
        <w:pStyle w:val="alphapara"/>
      </w:pPr>
      <w:r w:rsidRPr="00EC4874">
        <w:t>14.1.9.4.1.1.3</w:t>
      </w:r>
      <w:r w:rsidRPr="00EC4874">
        <w:tab/>
      </w:r>
      <w:r w:rsidRPr="00EC4874">
        <w:tab/>
        <w:t>shal</w:t>
      </w:r>
      <w:r w:rsidRPr="00EC4874">
        <w:t>l serve the Annual Update electronically on all Interested Parties.</w:t>
      </w:r>
    </w:p>
    <w:p w:rsidR="004C2F99" w:rsidRPr="00EC4874" w:rsidRDefault="00A47751" w:rsidP="00BE013F">
      <w:pPr>
        <w:pStyle w:val="alphapara"/>
      </w:pPr>
      <w:r w:rsidRPr="00EC4874">
        <w:t>14.1.9.4.1.2</w:t>
      </w:r>
      <w:r w:rsidRPr="00EC4874">
        <w:tab/>
        <w:t>If the date for making the Informational Filing should fall on a weekend or a holiday recognized by the FERC, then the posting/filing shall coincide with the NYISO posting req</w:t>
      </w:r>
      <w:r w:rsidRPr="00EC4874">
        <w:t>uirement for July rates.</w:t>
      </w:r>
    </w:p>
    <w:p w:rsidR="004C2F99" w:rsidRPr="00EC4874" w:rsidRDefault="00A47751" w:rsidP="00BE013F">
      <w:pPr>
        <w:pStyle w:val="alphapara"/>
      </w:pPr>
      <w:r w:rsidRPr="00EC4874">
        <w:t>14.1.9.4.1.3</w:t>
      </w:r>
      <w:r w:rsidRPr="00EC4874">
        <w:tab/>
        <w:t>The Annual Update for the Update Year:</w:t>
      </w:r>
    </w:p>
    <w:p w:rsidR="004C2F99" w:rsidRPr="00EC4874" w:rsidRDefault="00A47751" w:rsidP="00BE013F">
      <w:pPr>
        <w:pStyle w:val="alphapara"/>
      </w:pPr>
      <w:r w:rsidRPr="00EC4874">
        <w:t>14.1.9.4.1.3.1</w:t>
      </w:r>
      <w:r w:rsidRPr="00EC4874">
        <w:tab/>
      </w:r>
      <w:r w:rsidRPr="00EC4874">
        <w:tab/>
        <w:t>shall use the Data Inputs specified in NMPC’s Formula Rate, and therefore, to the extent specified in NMPC’s Formula Rate, be based upon NMPC’s FERC Form No. 1 dat</w:t>
      </w:r>
      <w:r w:rsidRPr="00EC4874">
        <w:t xml:space="preserve">a for the most recent calendar year; to the extent specified in NMPC’s Formula Rate, be based upon the books and records of NMPC consistent with FERC accounting policies, and, to the extent specified in NMPC’s Formula Rate, be based on projections for the </w:t>
      </w:r>
      <w:r w:rsidRPr="00EC4874">
        <w:t>upcoming calendar year;</w:t>
      </w:r>
    </w:p>
    <w:p w:rsidR="004C2F99" w:rsidRPr="00EC4874" w:rsidRDefault="00A47751" w:rsidP="00BE013F">
      <w:pPr>
        <w:pStyle w:val="alphapara"/>
      </w:pPr>
      <w:r w:rsidRPr="00EC4874">
        <w:t>14.1.9.4.1.3.2</w:t>
      </w:r>
      <w:r w:rsidRPr="00EC4874">
        <w:tab/>
      </w:r>
      <w:r w:rsidRPr="00EC4874">
        <w:tab/>
        <w:t>shall provide supporting documentation for Data Inputs in the form of the data provided in Attachment C to the Offer of Settlement dated April 6, 2009, in Docket No. ER08-552;  and, with respect to Billing Units, sha</w:t>
      </w:r>
      <w:r w:rsidRPr="00EC4874">
        <w:t>ll include monthly documents in PDF format with redacted names and revised reference numbers for each entity to protect confidentiality, showing the Billing Units for each month of the most recently completed calendar billing year (the six-month updated BU</w:t>
      </w:r>
      <w:r w:rsidRPr="00EC4874">
        <w:t>s), including NMPC’s Transmission Owner Load (“TOL”), consisting of metered loads for the December through November timeframe showing the calendar billing year BUs reported to the NYISO by NMPC.  The total MWh of generation (including load modifiers) and n</w:t>
      </w:r>
      <w:r w:rsidRPr="00EC4874">
        <w:t>et interchange for each NMPC transmission zone will be displayed. National Grid will also provide a document as a “workable” Excel file summarizing the TOL for disputed station service, High Load Factor Fitzpatrick and any other entity excluded from the Bi</w:t>
      </w:r>
      <w:r w:rsidRPr="00EC4874">
        <w:t>lling Units calculation in Attachment 1, Schedule 6.12, of the Formula Rate.  The summary will be labeled to show the reason for exclusion, consistent with the definition of Billing Units and will reconcile to the totals shown on Attachment 1, Schedule 6.1</w:t>
      </w:r>
      <w:r w:rsidRPr="00EC4874">
        <w:t>2.</w:t>
      </w:r>
    </w:p>
    <w:p w:rsidR="004C2F99" w:rsidRPr="00EC4874" w:rsidRDefault="00A47751" w:rsidP="00BE013F">
      <w:pPr>
        <w:pStyle w:val="alphapara"/>
      </w:pPr>
      <w:r w:rsidRPr="00EC4874">
        <w:t>14.1.9.4.1.3.3</w:t>
      </w:r>
      <w:r w:rsidRPr="00EC4874">
        <w:tab/>
      </w:r>
      <w:r w:rsidRPr="00EC4874">
        <w:tab/>
        <w:t>shall provide notice of and describe all Material Accounting Changes, which description shall include an explanation of the purpose for and the circumstances giving rise to the Material Accounting Change, including references to any rele</w:t>
      </w:r>
      <w:r w:rsidRPr="00EC4874">
        <w:t>vant orders, policies or notices of the Securities and Exchange Commission, the FERC or a retail regulator, which explanation may incorporate by reference any applicable disclosure statements filed with any such agency;</w:t>
      </w:r>
    </w:p>
    <w:p w:rsidR="004C2F99" w:rsidRPr="00EC4874" w:rsidRDefault="00A47751" w:rsidP="00BE013F">
      <w:pPr>
        <w:pStyle w:val="alphapara"/>
      </w:pPr>
      <w:r w:rsidRPr="00EC4874">
        <w:t>14.1.9.4.1.3.4</w:t>
      </w:r>
      <w:r w:rsidRPr="00EC4874">
        <w:tab/>
      </w:r>
      <w:r w:rsidRPr="00EC4874">
        <w:tab/>
        <w:t>shall provide notice</w:t>
      </w:r>
      <w:r w:rsidRPr="00EC4874">
        <w:t xml:space="preserve"> of the date and location of the meeting to be held in accordance with Section 14.1.9.4.2.2;</w:t>
      </w:r>
    </w:p>
    <w:p w:rsidR="004C2F99" w:rsidRPr="00EC4874" w:rsidRDefault="00A47751" w:rsidP="00BE013F">
      <w:pPr>
        <w:pStyle w:val="alphapara"/>
      </w:pPr>
      <w:r w:rsidRPr="00EC4874">
        <w:t>14.1.9.4.1.3.5</w:t>
      </w:r>
      <w:r w:rsidRPr="00EC4874">
        <w:tab/>
      </w:r>
      <w:r w:rsidRPr="00EC4874">
        <w:tab/>
        <w:t>shall be subject to challenge and review only in accordance with the procedures set forth in this Section 14.1.9.4, provided that such procedures s</w:t>
      </w:r>
      <w:r w:rsidRPr="00EC4874">
        <w:t>hall not preclude investigation of the Annual Update by FERC, including through hearing procedures;</w:t>
      </w:r>
    </w:p>
    <w:p w:rsidR="004C2F99" w:rsidRPr="00EC4874" w:rsidRDefault="00A47751" w:rsidP="00BE013F">
      <w:pPr>
        <w:pStyle w:val="alphapara"/>
      </w:pPr>
      <w:r w:rsidRPr="00EC4874">
        <w:t>14.1.9.4.1.3.6</w:t>
      </w:r>
      <w:r w:rsidRPr="00EC4874">
        <w:tab/>
      </w:r>
      <w:r w:rsidRPr="00EC4874">
        <w:tab/>
        <w:t>shall not seek to modify NMPC’s Formula Rate and shall not be subject to challenge by an Interested Party seeking to modify NMPC’s Formula R</w:t>
      </w:r>
      <w:r w:rsidRPr="00EC4874">
        <w:t>ate (i.e., all such modifications to the Formula Rate will require, as applicable, a Federal Power Act Section 205 or Section 206 proceeding), provided that an Interested Party may propose for consideration a change to the Formula Rate, as provided in Sect</w:t>
      </w:r>
      <w:r w:rsidRPr="00EC4874">
        <w:t xml:space="preserve">ion 14.1.9.4.3.5; </w:t>
      </w:r>
    </w:p>
    <w:p w:rsidR="004C2F99" w:rsidRPr="00EC4874" w:rsidRDefault="00A47751" w:rsidP="00BE013F">
      <w:pPr>
        <w:pStyle w:val="alphapara"/>
      </w:pPr>
      <w:r w:rsidRPr="00EC4874">
        <w:t>14.1.9.4.1.3.7</w:t>
      </w:r>
      <w:r w:rsidRPr="00EC4874">
        <w:tab/>
      </w:r>
      <w:r w:rsidRPr="00EC4874">
        <w:tab/>
        <w:t>shall include a list of the email addresses of Interested Parties upon which the Annual Update was served; and</w:t>
      </w:r>
    </w:p>
    <w:p w:rsidR="004C2F99" w:rsidRPr="00EC4874" w:rsidRDefault="00A47751" w:rsidP="00BE013F">
      <w:pPr>
        <w:pStyle w:val="alphapara"/>
      </w:pPr>
      <w:r w:rsidRPr="00EC4874">
        <w:t>14.1.9.4.1.3.8</w:t>
      </w:r>
      <w:r w:rsidRPr="00EC4874">
        <w:tab/>
      </w:r>
      <w:r w:rsidRPr="00EC4874">
        <w:tab/>
        <w:t>shall provide a description of, and workpapers for, any correction of an error discovered by N</w:t>
      </w:r>
      <w:r w:rsidRPr="00EC4874">
        <w:t>MPC that affects the calculation of any charges under the Formula Rate during a prior year within the period applicable under Section 14.1.9.4.4.</w:t>
      </w:r>
    </w:p>
    <w:p w:rsidR="004C2F99" w:rsidRPr="00EC4874" w:rsidRDefault="00A47751" w:rsidP="00BE013F">
      <w:pPr>
        <w:pStyle w:val="alphapara"/>
      </w:pPr>
      <w:r w:rsidRPr="00EC4874">
        <w:t>14.1.9.4.1.4</w:t>
      </w:r>
      <w:r w:rsidRPr="00EC4874">
        <w:tab/>
        <w:t>The fixed Formula Rate inputs set forth in Section 14.1.9.3 shall not be subject to adjustment in</w:t>
      </w:r>
      <w:r w:rsidRPr="00EC4874">
        <w:t xml:space="preserve"> an Annual Update.</w:t>
      </w:r>
    </w:p>
    <w:p w:rsidR="004C2F99" w:rsidRPr="00EC4874" w:rsidRDefault="00A4775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A47751" w:rsidP="00BE013F">
      <w:pPr>
        <w:pStyle w:val="Bodypara"/>
      </w:pPr>
      <w:r w:rsidRPr="00EC4874">
        <w:t>Each Annual Update shall be subject to the following review procedures:</w:t>
      </w:r>
    </w:p>
    <w:p w:rsidR="004C2F99" w:rsidRPr="00EC4874" w:rsidRDefault="00A47751" w:rsidP="00BE013F">
      <w:pPr>
        <w:pStyle w:val="alphapara"/>
      </w:pPr>
      <w:r w:rsidRPr="00EC4874">
        <w:t>14.1.9.4.2.1</w:t>
      </w:r>
      <w:r w:rsidRPr="00EC4874">
        <w:tab/>
        <w:t xml:space="preserve">Any Interested Party shall have up to one hundred fifty (150) days after the Publication Date (unless such period </w:t>
      </w:r>
      <w:r w:rsidRPr="00EC4874">
        <w:t xml:space="preserve">is extended with the written consent of NMPC) to review the calculations and to notify NMPC in writing of any specific challenges to the accuracy of any Data Input in the Annual Update or the conformance of any such Data Input with the requirements of the </w:t>
      </w:r>
      <w:r w:rsidRPr="00EC4874">
        <w:t>Formula Rate (“Preliminary Challenge”); provided, however, that each Interested Party shall make a good faith effort to submit Preliminary Challenges at the earliest practicable date so that they may be resolved as soon as possible, and provide NMPC with a</w:t>
      </w:r>
      <w:r w:rsidRPr="00EC4874">
        <w:t xml:space="preserve"> non-binding list of potential Preliminary Challenges it may present, based on its review of the Annual Update and on responses to information requests provided to that point, within ninety (90) days of the Publication Date.  Any Preliminary Challenge shal</w:t>
      </w:r>
      <w:r w:rsidRPr="00EC4874">
        <w:t>l be posted on the NYISO’s internet website and served by electronic service on all Interested Parties by the next business day following the date it is provided to NMPC.</w:t>
      </w:r>
    </w:p>
    <w:p w:rsidR="004C2F99" w:rsidRPr="00EC4874" w:rsidRDefault="00A47751" w:rsidP="00BE013F">
      <w:pPr>
        <w:pStyle w:val="alphapara"/>
      </w:pPr>
      <w:r w:rsidRPr="00EC4874">
        <w:t>14.1.9.4.2.2</w:t>
      </w:r>
      <w:r w:rsidRPr="00EC4874">
        <w:tab/>
        <w:t>Within thirty (30) days of the Publication Date, NMPC shall hold a meeti</w:t>
      </w:r>
      <w:r w:rsidRPr="00EC4874">
        <w:t>ng open to all Interested Parties, at which meeting: (a) NMPC shall present and explain the Annual Update; (b) NMPC shall respond to questions from Interested Parties, to the extent such questions can be answered immediately; and (c) Interested Parties sha</w:t>
      </w:r>
      <w:r w:rsidRPr="00EC4874">
        <w:t xml:space="preserve">ll identify any areas of potential Preliminary Challenges, to the extent they have identified them at the time of the meeting.  </w:t>
      </w:r>
    </w:p>
    <w:p w:rsidR="004C2F99" w:rsidRPr="00EC4874" w:rsidRDefault="00A47751" w:rsidP="00BE013F">
      <w:pPr>
        <w:pStyle w:val="alphapara"/>
      </w:pPr>
      <w:r w:rsidRPr="00EC4874">
        <w:t>14.1.9.4.2.3</w:t>
      </w:r>
      <w:r w:rsidRPr="00EC4874">
        <w:tab/>
        <w:t xml:space="preserve">Interested Parties shall have up to one hundred thirty (130) days after each annual Publication Date (unless such </w:t>
      </w:r>
      <w:r w:rsidRPr="00EC4874">
        <w:t>period is extended with the written consent of NMPC) to serve reasonable information requests on NMPC; provided, however, that the Interested Parties shall make a good faith effort to submit consolidated sets of information requests that limit the number a</w:t>
      </w:r>
      <w:r w:rsidRPr="00EC4874">
        <w:t>nd overlap of questions to the extent practicable.  Such information requests may be directed to matters relevant to the accuracy of the Data Inputs included in the Annual Update and the conformance of those Data Inputs with the requirements of the corresp</w:t>
      </w:r>
      <w:r w:rsidRPr="00EC4874">
        <w:t>onding provisions of the Formula Rate, including:  (a) the reasons for any change in a Data Input from the corresponding Data Input in an earlier Annual Update; (b) the reasons for any change in a Data Input based on actual costs from the corresponding Dat</w:t>
      </w:r>
      <w:r w:rsidRPr="00EC4874">
        <w:t xml:space="preserve">a Input based on a cost projection in an earlier Annual Update; (c) any reports or other materials provided to fulfill the requirements of a state or federal regulatory agency that explain the basis for projected or actual costs reflected in a Data Input; </w:t>
      </w:r>
      <w:r w:rsidRPr="00EC4874">
        <w:t>and (d) the impact of any Material Accounting Change identified in the Annual Update on the charges produced by the Formula Rate.</w:t>
      </w:r>
    </w:p>
    <w:p w:rsidR="004C2F99" w:rsidRPr="00EC4874" w:rsidRDefault="00A47751" w:rsidP="00BE013F">
      <w:pPr>
        <w:pStyle w:val="alphapara"/>
      </w:pPr>
      <w:r w:rsidRPr="00EC4874">
        <w:t>14.1.9.4.2.4</w:t>
      </w:r>
      <w:r w:rsidRPr="00EC4874">
        <w:tab/>
        <w:t>NMPC shall make a good faith effort to respond to information requests pertaining to the Annual Update within ten</w:t>
      </w:r>
      <w:r w:rsidRPr="00EC4874">
        <w:t xml:space="preserve"> (10) business days of receipt of such requests. NMPC may give reasonable priority to responding to requests that satisfy the practicable coordination and consolidation provision of Section 14.1.9.4.2.3, above.  NMPC’s responses to information requests sha</w:t>
      </w:r>
      <w:r w:rsidRPr="00EC4874">
        <w:t>ll not be entitled to protection as privileged settlement communications; provided, however, that: (a) any communications between NMPC and any Interested Party in connection with efforts to negotiate a resolution of a Preliminary Challenge or Formal Challe</w:t>
      </w:r>
      <w:r w:rsidRPr="00EC4874">
        <w:t>nge shall be entitled to such protection; (b) if NMPC’s response to an information request contains proprietary or trade secret information or critical energy infrastructure information, NMPC and the Interested Party or Parties receiving such information s</w:t>
      </w:r>
      <w:r w:rsidRPr="00EC4874">
        <w:t>hall enter into a confidentiality agreement materially similar to the model protective order used by the FERC to protect the confidentiality of such information; and (c) nothing herein shall require NMPC to provide information that is protected by the atto</w:t>
      </w:r>
      <w:r w:rsidRPr="00EC4874">
        <w:t xml:space="preserve">rney-client privilege, the attorney work product doctrine, or any other legally recognized privilege. </w:t>
      </w:r>
    </w:p>
    <w:p w:rsidR="004C2F99" w:rsidRPr="00EC4874" w:rsidRDefault="00A4775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A47751" w:rsidP="00BE013F">
      <w:pPr>
        <w:pStyle w:val="alphapara"/>
      </w:pPr>
      <w:r w:rsidRPr="00EC4874">
        <w:t>14.1.9.4.3.1</w:t>
      </w:r>
      <w:r w:rsidRPr="00EC4874">
        <w:tab/>
        <w:t>NMPC and the Interested Parties shall negotiate in good faith throughout the Review Period to attempt to</w:t>
      </w:r>
      <w:r w:rsidRPr="00EC4874">
        <w:t xml:space="preserve"> resolve any Preliminary Challenges.  </w:t>
      </w:r>
    </w:p>
    <w:p w:rsidR="004C2F99" w:rsidRPr="00EC4874" w:rsidRDefault="00A47751" w:rsidP="00BE013F">
      <w:pPr>
        <w:pStyle w:val="alphapara"/>
      </w:pPr>
      <w:r w:rsidRPr="00EC4874">
        <w:t>14.1.9.4.3.2</w:t>
      </w:r>
      <w:r w:rsidRPr="00EC4874">
        <w:tab/>
        <w:t>If NMPC and any Interested Party or Parties have not resolved any Preliminary Challenge to the Annual Update within the Review Period, an Interested Party shall have an additional twenty-one (21) days (un</w:t>
      </w:r>
      <w:r w:rsidRPr="00EC4874">
        <w:t xml:space="preserve">less such period is extended with the written consent of NMPC to continue efforts to resolve a Preliminary Challenge) to present the subject matter of the Preliminary Challenge to the FERC as a Formal Challenge, which shall be served on NMPC and all other </w:t>
      </w:r>
      <w:r w:rsidRPr="00EC4874">
        <w:t xml:space="preserve">Interested Parties by electronic service on the date of such filing and posted on the NYISO’s internet website, however, there shall be no need to make a Formal Challenge or to await conclusion of the time periods in Section 14.1.9.4.2 if the FERC already </w:t>
      </w:r>
      <w:r w:rsidRPr="00EC4874">
        <w:t>has initiated a proceeding to investigate the Annual Update.  By no later than five (5) business days after the end of the Review Period, NMPC shall apprise Interested Parties of the resolution of all Preliminary Challenges that have been resolved and of t</w:t>
      </w:r>
      <w:r w:rsidRPr="00EC4874">
        <w:t>he impact of the resolution of all such Preliminary Challenges on the Annual Update.  Within an additional fifteen (15) business days, NMPC shall submit a supplement to its Informational Filing to the FERC, with electronic service upon the Interested Parti</w:t>
      </w:r>
      <w:r w:rsidRPr="00EC4874">
        <w:t>es, reflecting the impact of all successfully resolved Preliminary Challenges.</w:t>
      </w:r>
    </w:p>
    <w:p w:rsidR="004C2F99" w:rsidRPr="00EC4874" w:rsidRDefault="00A47751" w:rsidP="00BE013F">
      <w:pPr>
        <w:pStyle w:val="alphapara"/>
      </w:pPr>
      <w:r w:rsidRPr="00EC4874">
        <w:t>14.1.9.4.3.3</w:t>
      </w:r>
      <w:r w:rsidRPr="00EC4874">
        <w:tab/>
        <w:t>Any response by NMPC to a Formal Challenge must be submitted to the FERC within twenty-one (21) days of the date of the filing of the Formal Challenge, and shall be</w:t>
      </w:r>
      <w:r w:rsidRPr="00EC4874">
        <w:t xml:space="preserve"> posted on the NYISO’s Internet website and served on all Interested Parties by electronic service on the date of such filing. </w:t>
      </w:r>
    </w:p>
    <w:p w:rsidR="004C2F99" w:rsidRPr="00EC4874" w:rsidRDefault="00A47751" w:rsidP="00BE013F">
      <w:pPr>
        <w:pStyle w:val="alphapara"/>
      </w:pPr>
      <w:r w:rsidRPr="00EC4874">
        <w:t>14.1.9.4.3.4</w:t>
      </w:r>
      <w:r w:rsidRPr="00EC4874">
        <w:tab/>
        <w:t>In any proceeding initiated by the FERC concerning the Annual Update or in response to a Formal Challenge, NMPC sha</w:t>
      </w:r>
      <w:r w:rsidRPr="00EC4874">
        <w:t>ll bear the burden of proving that the Data Inputs in that year’s Annual Update are correct and conform to the terms of the Formula Rate and refunds or adjustments may be made, in either case with interest, to charges collected under the Formula Rate if th</w:t>
      </w:r>
      <w:r w:rsidRPr="00EC4874">
        <w:t>e FERC concludes that the Data Inputs are incorrect or do not conform to the terms of the Formula Rate.  In all other respects, any such proceeding shall be governed by the rules and requirements applicable to proceedings under Section 206 of the Federal P</w:t>
      </w:r>
      <w:r w:rsidRPr="00EC4874">
        <w:t>ower Act.</w:t>
      </w:r>
    </w:p>
    <w:p w:rsidR="004C2F99" w:rsidRPr="00EC4874" w:rsidRDefault="00A47751" w:rsidP="00BE013F">
      <w:pPr>
        <w:pStyle w:val="alphapara"/>
      </w:pPr>
      <w:r w:rsidRPr="00EC4874">
        <w:t>14.1.9.4.3.5</w:t>
      </w:r>
      <w:r w:rsidRPr="00EC4874">
        <w:tab/>
        <w:t>An Interested Party may propose that resolution of a Preliminary Challenge or Formal Challenge concerning a Material Accounting Change necessitates changes to the Formula Rate to ensure that the resulting charges, including the effec</w:t>
      </w:r>
      <w:r w:rsidRPr="00EC4874">
        <w:t>t of the Material Accounting Change, are just and reasonable.  If NMPC agrees to such a proposed change to the Formula Rate to resolve a Preliminary Challenge, NMPC shall file the change to the Formula Rate with the FERC for approval pursuant to Section 20</w:t>
      </w:r>
      <w:r w:rsidRPr="00EC4874">
        <w:t>5 of the Federal Power Act.  If NMPC does not agree to such a proposed change, the Interested Party may file the proposed change with the FERC for approval pursuant to Section 206 of the Federal Power Act concurrent with its submission of a Formal Challeng</w:t>
      </w:r>
      <w:r w:rsidRPr="00EC4874">
        <w:t>e; provided that if FERC approves the proposed change, the change to the Formula Rate shall take effect as of the beginning of the Update Year during which the Section 206 filing is made, and refunds or surcharges shall be made, in either case with interes</w:t>
      </w:r>
      <w:r w:rsidRPr="00EC4874">
        <w:t xml:space="preserve">t, to charges under the Formula Rate after the beginning of such Update Year to reflect the proposed change. </w:t>
      </w:r>
    </w:p>
    <w:p w:rsidR="004C2F99" w:rsidRPr="00EC4874" w:rsidRDefault="00A47751" w:rsidP="00BE013F">
      <w:pPr>
        <w:pStyle w:val="alphapara"/>
      </w:pPr>
      <w:r w:rsidRPr="00EC4874">
        <w:t>14.1.9.4.3.6</w:t>
      </w:r>
      <w:r w:rsidRPr="00EC4874">
        <w:tab/>
        <w:t>Nothing herein shall be deemed to limit in any way the right of NMPC to file unilaterally, pursuant to Section 205 of the Federal Pow</w:t>
      </w:r>
      <w:r w:rsidRPr="00EC4874">
        <w:t>er Act and the regulations thereunder, changes to NMPC’s Formula Rate (including changes in connection with any incentive mechanism) or any of its Data Inputs (including, but not limited to, any fixed Data Inputs) or the right of any other party to file fo</w:t>
      </w:r>
      <w:r w:rsidRPr="00EC4874">
        <w:t>r such changes pursuant to Section 206 of the Federal Power Act and the regulations thereunder.  All parties reserve all rights to challenge, or take any position in response to, any such filing by any other party.</w:t>
      </w:r>
    </w:p>
    <w:p w:rsidR="004C2F99" w:rsidRPr="00EC4874" w:rsidRDefault="00A4775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A47751" w:rsidP="00BE013F">
      <w:pPr>
        <w:pStyle w:val="alphapara"/>
      </w:pPr>
      <w:r w:rsidRPr="00EC4874">
        <w:t>14.1.9</w:t>
      </w:r>
      <w:r w:rsidRPr="00EC4874">
        <w:t>.4.4.1</w:t>
      </w:r>
      <w:r w:rsidRPr="00EC4874">
        <w:tab/>
        <w:t>Any changes to the Data Inputs for an Annual Update, including but not limited to revisions resulting from any FERC proceeding to consider the Annual Update, or as a result of the procedures set forth herein, shall take effect as of the beginning of</w:t>
      </w:r>
      <w:r w:rsidRPr="00EC4874">
        <w:t xml:space="preserve"> the Update Year and the impact of such changes shall be incorporated into the charges produced by the Formula Rate (with interest determined in accordance with 18 C.F.R. § 35.19(a)) in the Annual Update for the next effective Update Year.  This mechanism </w:t>
      </w:r>
      <w:r w:rsidRPr="00EC4874">
        <w:t>shall apply in lieu of mid-Update Year adjustments and any refunds or surcharges, except that, if an error in a Data Input is discovered and agreed upon within the Review Period, the impact of such change shall be incorporated prospectively into the charge</w:t>
      </w:r>
      <w:r w:rsidRPr="00EC4874">
        <w:t xml:space="preserve">s produced by the Formula Rate during the remainder of the year preceding the next effective Update Year, in which case the impact reflected in subsequent charges shall be reduced accordingly.  </w:t>
      </w:r>
    </w:p>
    <w:p w:rsidR="004C2F99" w:rsidRDefault="00A47751" w:rsidP="00BE013F">
      <w:pPr>
        <w:pStyle w:val="alphapara"/>
      </w:pPr>
      <w:r w:rsidRPr="00EC4874">
        <w:t>14.1.9.4.4.2</w:t>
      </w:r>
      <w:r w:rsidRPr="00EC4874">
        <w:tab/>
        <w:t>The impact of an error affecting a Data Input on</w:t>
      </w:r>
      <w:r w:rsidRPr="00EC4874">
        <w:t xml:space="preserve"> charges collected during the Formula Rate during the five (5) years prior to the Update Year in which the error was first discovered shall be corrected by incorporating the impact of the error on the charges produced by the Formula Rate during the five-ye</w:t>
      </w:r>
      <w:r w:rsidRPr="00EC4874">
        <w:t>ar period into the charges produced by the Formula Rate (with interest determined in accordance with 18 C.F.R. § 35.19(a)) in the Annual Update for the next effective Update Year.  Charges collected before the five-year period shall not be subject to corre</w:t>
      </w:r>
      <w:r w:rsidRPr="00EC4874">
        <w:t>ction.</w:t>
      </w:r>
    </w:p>
    <w:p w:rsidR="004C2F99" w:rsidRDefault="00A47751"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751">
      <w:pPr>
        <w:spacing w:after="0" w:line="240" w:lineRule="auto"/>
      </w:pPr>
      <w:r>
        <w:separator/>
      </w:r>
    </w:p>
  </w:endnote>
  <w:endnote w:type="continuationSeparator" w:id="0">
    <w:p w:rsidR="00000000" w:rsidRDefault="00A4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3A" w:rsidRDefault="00A47751">
    <w:pPr>
      <w:jc w:val="right"/>
    </w:pPr>
    <w:r>
      <w:rPr>
        <w:rFonts w:ascii="Arial" w:eastAsia="Arial" w:hAnsi="Arial" w:cs="Arial"/>
        <w:color w:val="000000"/>
        <w:sz w:val="16"/>
      </w:rPr>
      <w:t xml:space="preserve">Effective Date: 9/19/2018 -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3A" w:rsidRDefault="00A47751">
    <w:pPr>
      <w:jc w:val="right"/>
    </w:pPr>
    <w:r>
      <w:rPr>
        <w:rFonts w:ascii="Arial" w:eastAsia="Arial" w:hAnsi="Arial" w:cs="Arial"/>
        <w:color w:val="000000"/>
        <w:sz w:val="16"/>
      </w:rPr>
      <w:t xml:space="preserve">Effective Date: 9/19/2018 -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3A" w:rsidRDefault="00A47751">
    <w:pPr>
      <w:jc w:val="right"/>
    </w:pPr>
    <w:r>
      <w:rPr>
        <w:rFonts w:ascii="Arial" w:eastAsia="Arial" w:hAnsi="Arial" w:cs="Arial"/>
        <w:color w:val="000000"/>
        <w:sz w:val="16"/>
      </w:rPr>
      <w:t xml:space="preserve">Effective Date: 9/19/2018 -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751">
      <w:pPr>
        <w:spacing w:after="0" w:line="240" w:lineRule="auto"/>
      </w:pPr>
      <w:r>
        <w:separator/>
      </w:r>
    </w:p>
  </w:footnote>
  <w:footnote w:type="continuationSeparator" w:id="0">
    <w:p w:rsidR="00000000" w:rsidRDefault="00A47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3A" w:rsidRDefault="00A47751">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3A" w:rsidRDefault="00A47751">
    <w:r>
      <w:rPr>
        <w:rFonts w:ascii="Arial" w:eastAsia="Arial" w:hAnsi="Arial" w:cs="Arial"/>
        <w:color w:val="000000"/>
        <w:sz w:val="16"/>
      </w:rPr>
      <w:t>NYISO Tariffs --&gt; Open Access Tr</w:t>
    </w:r>
    <w:r>
      <w:rPr>
        <w:rFonts w:ascii="Arial" w:eastAsia="Arial" w:hAnsi="Arial" w:cs="Arial"/>
        <w:color w:val="000000"/>
        <w:sz w:val="16"/>
      </w:rPr>
      <w:t>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3A" w:rsidRDefault="00A47751">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15A5C9C">
      <w:start w:val="1"/>
      <w:numFmt w:val="bullet"/>
      <w:pStyle w:val="Bulletpara"/>
      <w:lvlText w:val=""/>
      <w:lvlJc w:val="left"/>
      <w:pPr>
        <w:tabs>
          <w:tab w:val="num" w:pos="720"/>
        </w:tabs>
        <w:ind w:left="720" w:hanging="360"/>
      </w:pPr>
      <w:rPr>
        <w:rFonts w:ascii="Symbol" w:hAnsi="Symbol" w:hint="default"/>
      </w:rPr>
    </w:lvl>
    <w:lvl w:ilvl="1" w:tplc="2760EE6E" w:tentative="1">
      <w:start w:val="1"/>
      <w:numFmt w:val="bullet"/>
      <w:lvlText w:val="o"/>
      <w:lvlJc w:val="left"/>
      <w:pPr>
        <w:tabs>
          <w:tab w:val="num" w:pos="1440"/>
        </w:tabs>
        <w:ind w:left="1440" w:hanging="360"/>
      </w:pPr>
      <w:rPr>
        <w:rFonts w:ascii="Courier New" w:hAnsi="Courier New" w:cs="Courier New" w:hint="default"/>
      </w:rPr>
    </w:lvl>
    <w:lvl w:ilvl="2" w:tplc="B15A61DE" w:tentative="1">
      <w:start w:val="1"/>
      <w:numFmt w:val="bullet"/>
      <w:lvlText w:val=""/>
      <w:lvlJc w:val="left"/>
      <w:pPr>
        <w:tabs>
          <w:tab w:val="num" w:pos="2160"/>
        </w:tabs>
        <w:ind w:left="2160" w:hanging="360"/>
      </w:pPr>
      <w:rPr>
        <w:rFonts w:ascii="Wingdings" w:hAnsi="Wingdings" w:hint="default"/>
      </w:rPr>
    </w:lvl>
    <w:lvl w:ilvl="3" w:tplc="EBCEE8BC" w:tentative="1">
      <w:start w:val="1"/>
      <w:numFmt w:val="bullet"/>
      <w:lvlText w:val=""/>
      <w:lvlJc w:val="left"/>
      <w:pPr>
        <w:tabs>
          <w:tab w:val="num" w:pos="2880"/>
        </w:tabs>
        <w:ind w:left="2880" w:hanging="360"/>
      </w:pPr>
      <w:rPr>
        <w:rFonts w:ascii="Symbol" w:hAnsi="Symbol" w:hint="default"/>
      </w:rPr>
    </w:lvl>
    <w:lvl w:ilvl="4" w:tplc="34C2828C" w:tentative="1">
      <w:start w:val="1"/>
      <w:numFmt w:val="bullet"/>
      <w:lvlText w:val="o"/>
      <w:lvlJc w:val="left"/>
      <w:pPr>
        <w:tabs>
          <w:tab w:val="num" w:pos="3600"/>
        </w:tabs>
        <w:ind w:left="3600" w:hanging="360"/>
      </w:pPr>
      <w:rPr>
        <w:rFonts w:ascii="Courier New" w:hAnsi="Courier New" w:cs="Courier New" w:hint="default"/>
      </w:rPr>
    </w:lvl>
    <w:lvl w:ilvl="5" w:tplc="BBAC473C" w:tentative="1">
      <w:start w:val="1"/>
      <w:numFmt w:val="bullet"/>
      <w:lvlText w:val=""/>
      <w:lvlJc w:val="left"/>
      <w:pPr>
        <w:tabs>
          <w:tab w:val="num" w:pos="4320"/>
        </w:tabs>
        <w:ind w:left="4320" w:hanging="360"/>
      </w:pPr>
      <w:rPr>
        <w:rFonts w:ascii="Wingdings" w:hAnsi="Wingdings" w:hint="default"/>
      </w:rPr>
    </w:lvl>
    <w:lvl w:ilvl="6" w:tplc="588A24C0" w:tentative="1">
      <w:start w:val="1"/>
      <w:numFmt w:val="bullet"/>
      <w:lvlText w:val=""/>
      <w:lvlJc w:val="left"/>
      <w:pPr>
        <w:tabs>
          <w:tab w:val="num" w:pos="5040"/>
        </w:tabs>
        <w:ind w:left="5040" w:hanging="360"/>
      </w:pPr>
      <w:rPr>
        <w:rFonts w:ascii="Symbol" w:hAnsi="Symbol" w:hint="default"/>
      </w:rPr>
    </w:lvl>
    <w:lvl w:ilvl="7" w:tplc="38FED7D0" w:tentative="1">
      <w:start w:val="1"/>
      <w:numFmt w:val="bullet"/>
      <w:lvlText w:val="o"/>
      <w:lvlJc w:val="left"/>
      <w:pPr>
        <w:tabs>
          <w:tab w:val="num" w:pos="5760"/>
        </w:tabs>
        <w:ind w:left="5760" w:hanging="360"/>
      </w:pPr>
      <w:rPr>
        <w:rFonts w:ascii="Courier New" w:hAnsi="Courier New" w:cs="Courier New" w:hint="default"/>
      </w:rPr>
    </w:lvl>
    <w:lvl w:ilvl="8" w:tplc="F7BCA98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E76A4D60">
      <w:start w:val="1"/>
      <w:numFmt w:val="decimal"/>
      <w:lvlText w:val="%1."/>
      <w:lvlJc w:val="left"/>
      <w:pPr>
        <w:tabs>
          <w:tab w:val="num" w:pos="360"/>
        </w:tabs>
        <w:ind w:left="360" w:hanging="360"/>
      </w:pPr>
      <w:rPr>
        <w:rFonts w:hint="default"/>
      </w:rPr>
    </w:lvl>
    <w:lvl w:ilvl="1" w:tplc="DF660A3A" w:tentative="1">
      <w:start w:val="1"/>
      <w:numFmt w:val="lowerLetter"/>
      <w:lvlText w:val="%2."/>
      <w:lvlJc w:val="left"/>
      <w:pPr>
        <w:tabs>
          <w:tab w:val="num" w:pos="1080"/>
        </w:tabs>
        <w:ind w:left="1080" w:hanging="360"/>
      </w:pPr>
    </w:lvl>
    <w:lvl w:ilvl="2" w:tplc="979CE50A" w:tentative="1">
      <w:start w:val="1"/>
      <w:numFmt w:val="lowerRoman"/>
      <w:lvlText w:val="%3."/>
      <w:lvlJc w:val="right"/>
      <w:pPr>
        <w:tabs>
          <w:tab w:val="num" w:pos="1800"/>
        </w:tabs>
        <w:ind w:left="1800" w:hanging="180"/>
      </w:pPr>
    </w:lvl>
    <w:lvl w:ilvl="3" w:tplc="50A4019C" w:tentative="1">
      <w:start w:val="1"/>
      <w:numFmt w:val="decimal"/>
      <w:lvlText w:val="%4."/>
      <w:lvlJc w:val="left"/>
      <w:pPr>
        <w:tabs>
          <w:tab w:val="num" w:pos="2520"/>
        </w:tabs>
        <w:ind w:left="2520" w:hanging="360"/>
      </w:pPr>
    </w:lvl>
    <w:lvl w:ilvl="4" w:tplc="36B2BDC6" w:tentative="1">
      <w:start w:val="1"/>
      <w:numFmt w:val="lowerLetter"/>
      <w:lvlText w:val="%5."/>
      <w:lvlJc w:val="left"/>
      <w:pPr>
        <w:tabs>
          <w:tab w:val="num" w:pos="3240"/>
        </w:tabs>
        <w:ind w:left="3240" w:hanging="360"/>
      </w:pPr>
    </w:lvl>
    <w:lvl w:ilvl="5" w:tplc="EA1E14B2" w:tentative="1">
      <w:start w:val="1"/>
      <w:numFmt w:val="lowerRoman"/>
      <w:lvlText w:val="%6."/>
      <w:lvlJc w:val="right"/>
      <w:pPr>
        <w:tabs>
          <w:tab w:val="num" w:pos="3960"/>
        </w:tabs>
        <w:ind w:left="3960" w:hanging="180"/>
      </w:pPr>
    </w:lvl>
    <w:lvl w:ilvl="6" w:tplc="41E2D8C8" w:tentative="1">
      <w:start w:val="1"/>
      <w:numFmt w:val="decimal"/>
      <w:lvlText w:val="%7."/>
      <w:lvlJc w:val="left"/>
      <w:pPr>
        <w:tabs>
          <w:tab w:val="num" w:pos="4680"/>
        </w:tabs>
        <w:ind w:left="4680" w:hanging="360"/>
      </w:pPr>
    </w:lvl>
    <w:lvl w:ilvl="7" w:tplc="09EE54B6" w:tentative="1">
      <w:start w:val="1"/>
      <w:numFmt w:val="lowerLetter"/>
      <w:lvlText w:val="%8."/>
      <w:lvlJc w:val="left"/>
      <w:pPr>
        <w:tabs>
          <w:tab w:val="num" w:pos="5400"/>
        </w:tabs>
        <w:ind w:left="5400" w:hanging="360"/>
      </w:pPr>
    </w:lvl>
    <w:lvl w:ilvl="8" w:tplc="4E4E9A5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88C1534">
      <w:start w:val="1"/>
      <w:numFmt w:val="lowerRoman"/>
      <w:lvlText w:val="(%1)"/>
      <w:lvlJc w:val="left"/>
      <w:pPr>
        <w:tabs>
          <w:tab w:val="num" w:pos="2448"/>
        </w:tabs>
        <w:ind w:left="2448" w:hanging="648"/>
      </w:pPr>
      <w:rPr>
        <w:rFonts w:hint="default"/>
        <w:b w:val="0"/>
        <w:i w:val="0"/>
        <w:u w:val="none"/>
      </w:rPr>
    </w:lvl>
    <w:lvl w:ilvl="1" w:tplc="B62C252A" w:tentative="1">
      <w:start w:val="1"/>
      <w:numFmt w:val="lowerLetter"/>
      <w:lvlText w:val="%2."/>
      <w:lvlJc w:val="left"/>
      <w:pPr>
        <w:tabs>
          <w:tab w:val="num" w:pos="1440"/>
        </w:tabs>
        <w:ind w:left="1440" w:hanging="360"/>
      </w:pPr>
    </w:lvl>
    <w:lvl w:ilvl="2" w:tplc="324264F6" w:tentative="1">
      <w:start w:val="1"/>
      <w:numFmt w:val="lowerRoman"/>
      <w:lvlText w:val="%3."/>
      <w:lvlJc w:val="right"/>
      <w:pPr>
        <w:tabs>
          <w:tab w:val="num" w:pos="2160"/>
        </w:tabs>
        <w:ind w:left="2160" w:hanging="180"/>
      </w:pPr>
    </w:lvl>
    <w:lvl w:ilvl="3" w:tplc="8A8EFE5E" w:tentative="1">
      <w:start w:val="1"/>
      <w:numFmt w:val="decimal"/>
      <w:lvlText w:val="%4."/>
      <w:lvlJc w:val="left"/>
      <w:pPr>
        <w:tabs>
          <w:tab w:val="num" w:pos="2880"/>
        </w:tabs>
        <w:ind w:left="2880" w:hanging="360"/>
      </w:pPr>
    </w:lvl>
    <w:lvl w:ilvl="4" w:tplc="F50C975E" w:tentative="1">
      <w:start w:val="1"/>
      <w:numFmt w:val="lowerLetter"/>
      <w:lvlText w:val="%5."/>
      <w:lvlJc w:val="left"/>
      <w:pPr>
        <w:tabs>
          <w:tab w:val="num" w:pos="3600"/>
        </w:tabs>
        <w:ind w:left="3600" w:hanging="360"/>
      </w:pPr>
    </w:lvl>
    <w:lvl w:ilvl="5" w:tplc="8EBEA460" w:tentative="1">
      <w:start w:val="1"/>
      <w:numFmt w:val="lowerRoman"/>
      <w:lvlText w:val="%6."/>
      <w:lvlJc w:val="right"/>
      <w:pPr>
        <w:tabs>
          <w:tab w:val="num" w:pos="4320"/>
        </w:tabs>
        <w:ind w:left="4320" w:hanging="180"/>
      </w:pPr>
    </w:lvl>
    <w:lvl w:ilvl="6" w:tplc="89D06526" w:tentative="1">
      <w:start w:val="1"/>
      <w:numFmt w:val="decimal"/>
      <w:lvlText w:val="%7."/>
      <w:lvlJc w:val="left"/>
      <w:pPr>
        <w:tabs>
          <w:tab w:val="num" w:pos="5040"/>
        </w:tabs>
        <w:ind w:left="5040" w:hanging="360"/>
      </w:pPr>
    </w:lvl>
    <w:lvl w:ilvl="7" w:tplc="E2268E44" w:tentative="1">
      <w:start w:val="1"/>
      <w:numFmt w:val="lowerLetter"/>
      <w:lvlText w:val="%8."/>
      <w:lvlJc w:val="left"/>
      <w:pPr>
        <w:tabs>
          <w:tab w:val="num" w:pos="5760"/>
        </w:tabs>
        <w:ind w:left="5760" w:hanging="360"/>
      </w:pPr>
    </w:lvl>
    <w:lvl w:ilvl="8" w:tplc="364AFB5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A2A87FA4">
      <w:start w:val="1"/>
      <w:numFmt w:val="lowerRoman"/>
      <w:lvlText w:val="(%1)"/>
      <w:lvlJc w:val="left"/>
      <w:pPr>
        <w:tabs>
          <w:tab w:val="num" w:pos="2880"/>
        </w:tabs>
        <w:ind w:left="2880" w:hanging="720"/>
      </w:pPr>
      <w:rPr>
        <w:rFonts w:hint="default"/>
      </w:rPr>
    </w:lvl>
    <w:lvl w:ilvl="1" w:tplc="3C48098E" w:tentative="1">
      <w:start w:val="1"/>
      <w:numFmt w:val="lowerLetter"/>
      <w:lvlText w:val="%2."/>
      <w:lvlJc w:val="left"/>
      <w:pPr>
        <w:tabs>
          <w:tab w:val="num" w:pos="3240"/>
        </w:tabs>
        <w:ind w:left="3240" w:hanging="360"/>
      </w:pPr>
    </w:lvl>
    <w:lvl w:ilvl="2" w:tplc="EE3AD7D8" w:tentative="1">
      <w:start w:val="1"/>
      <w:numFmt w:val="lowerRoman"/>
      <w:lvlText w:val="%3."/>
      <w:lvlJc w:val="right"/>
      <w:pPr>
        <w:tabs>
          <w:tab w:val="num" w:pos="3960"/>
        </w:tabs>
        <w:ind w:left="3960" w:hanging="180"/>
      </w:pPr>
    </w:lvl>
    <w:lvl w:ilvl="3" w:tplc="065C76F0" w:tentative="1">
      <w:start w:val="1"/>
      <w:numFmt w:val="decimal"/>
      <w:lvlText w:val="%4."/>
      <w:lvlJc w:val="left"/>
      <w:pPr>
        <w:tabs>
          <w:tab w:val="num" w:pos="4680"/>
        </w:tabs>
        <w:ind w:left="4680" w:hanging="360"/>
      </w:pPr>
    </w:lvl>
    <w:lvl w:ilvl="4" w:tplc="4EC65800" w:tentative="1">
      <w:start w:val="1"/>
      <w:numFmt w:val="lowerLetter"/>
      <w:lvlText w:val="%5."/>
      <w:lvlJc w:val="left"/>
      <w:pPr>
        <w:tabs>
          <w:tab w:val="num" w:pos="5400"/>
        </w:tabs>
        <w:ind w:left="5400" w:hanging="360"/>
      </w:pPr>
    </w:lvl>
    <w:lvl w:ilvl="5" w:tplc="77D23A74" w:tentative="1">
      <w:start w:val="1"/>
      <w:numFmt w:val="lowerRoman"/>
      <w:lvlText w:val="%6."/>
      <w:lvlJc w:val="right"/>
      <w:pPr>
        <w:tabs>
          <w:tab w:val="num" w:pos="6120"/>
        </w:tabs>
        <w:ind w:left="6120" w:hanging="180"/>
      </w:pPr>
    </w:lvl>
    <w:lvl w:ilvl="6" w:tplc="C110F60E" w:tentative="1">
      <w:start w:val="1"/>
      <w:numFmt w:val="decimal"/>
      <w:lvlText w:val="%7."/>
      <w:lvlJc w:val="left"/>
      <w:pPr>
        <w:tabs>
          <w:tab w:val="num" w:pos="6840"/>
        </w:tabs>
        <w:ind w:left="6840" w:hanging="360"/>
      </w:pPr>
    </w:lvl>
    <w:lvl w:ilvl="7" w:tplc="152489A8" w:tentative="1">
      <w:start w:val="1"/>
      <w:numFmt w:val="lowerLetter"/>
      <w:lvlText w:val="%8."/>
      <w:lvlJc w:val="left"/>
      <w:pPr>
        <w:tabs>
          <w:tab w:val="num" w:pos="7560"/>
        </w:tabs>
        <w:ind w:left="7560" w:hanging="360"/>
      </w:pPr>
    </w:lvl>
    <w:lvl w:ilvl="8" w:tplc="8A10F4B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43A2FAD4">
      <w:start w:val="3"/>
      <w:numFmt w:val="lowerLetter"/>
      <w:lvlText w:val="(%1)"/>
      <w:lvlJc w:val="left"/>
      <w:pPr>
        <w:tabs>
          <w:tab w:val="num" w:pos="1440"/>
        </w:tabs>
        <w:ind w:left="1440" w:hanging="720"/>
      </w:pPr>
      <w:rPr>
        <w:rFonts w:hint="default"/>
      </w:rPr>
    </w:lvl>
    <w:lvl w:ilvl="1" w:tplc="59BE5280" w:tentative="1">
      <w:start w:val="1"/>
      <w:numFmt w:val="lowerLetter"/>
      <w:lvlText w:val="%2."/>
      <w:lvlJc w:val="left"/>
      <w:pPr>
        <w:tabs>
          <w:tab w:val="num" w:pos="1800"/>
        </w:tabs>
        <w:ind w:left="1800" w:hanging="360"/>
      </w:pPr>
    </w:lvl>
    <w:lvl w:ilvl="2" w:tplc="8974B43C" w:tentative="1">
      <w:start w:val="1"/>
      <w:numFmt w:val="lowerRoman"/>
      <w:lvlText w:val="%3."/>
      <w:lvlJc w:val="right"/>
      <w:pPr>
        <w:tabs>
          <w:tab w:val="num" w:pos="2520"/>
        </w:tabs>
        <w:ind w:left="2520" w:hanging="180"/>
      </w:pPr>
    </w:lvl>
    <w:lvl w:ilvl="3" w:tplc="05B43508" w:tentative="1">
      <w:start w:val="1"/>
      <w:numFmt w:val="decimal"/>
      <w:lvlText w:val="%4."/>
      <w:lvlJc w:val="left"/>
      <w:pPr>
        <w:tabs>
          <w:tab w:val="num" w:pos="3240"/>
        </w:tabs>
        <w:ind w:left="3240" w:hanging="360"/>
      </w:pPr>
    </w:lvl>
    <w:lvl w:ilvl="4" w:tplc="DF125340" w:tentative="1">
      <w:start w:val="1"/>
      <w:numFmt w:val="lowerLetter"/>
      <w:lvlText w:val="%5."/>
      <w:lvlJc w:val="left"/>
      <w:pPr>
        <w:tabs>
          <w:tab w:val="num" w:pos="3960"/>
        </w:tabs>
        <w:ind w:left="3960" w:hanging="360"/>
      </w:pPr>
    </w:lvl>
    <w:lvl w:ilvl="5" w:tplc="57107980" w:tentative="1">
      <w:start w:val="1"/>
      <w:numFmt w:val="lowerRoman"/>
      <w:lvlText w:val="%6."/>
      <w:lvlJc w:val="right"/>
      <w:pPr>
        <w:tabs>
          <w:tab w:val="num" w:pos="4680"/>
        </w:tabs>
        <w:ind w:left="4680" w:hanging="180"/>
      </w:pPr>
    </w:lvl>
    <w:lvl w:ilvl="6" w:tplc="8C8C5496" w:tentative="1">
      <w:start w:val="1"/>
      <w:numFmt w:val="decimal"/>
      <w:lvlText w:val="%7."/>
      <w:lvlJc w:val="left"/>
      <w:pPr>
        <w:tabs>
          <w:tab w:val="num" w:pos="5400"/>
        </w:tabs>
        <w:ind w:left="5400" w:hanging="360"/>
      </w:pPr>
    </w:lvl>
    <w:lvl w:ilvl="7" w:tplc="841464CC" w:tentative="1">
      <w:start w:val="1"/>
      <w:numFmt w:val="lowerLetter"/>
      <w:lvlText w:val="%8."/>
      <w:lvlJc w:val="left"/>
      <w:pPr>
        <w:tabs>
          <w:tab w:val="num" w:pos="6120"/>
        </w:tabs>
        <w:ind w:left="6120" w:hanging="360"/>
      </w:pPr>
    </w:lvl>
    <w:lvl w:ilvl="8" w:tplc="68E46B66"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1AF6B148">
      <w:start w:val="1"/>
      <w:numFmt w:val="decimal"/>
      <w:lvlText w:val="%1."/>
      <w:lvlJc w:val="left"/>
      <w:pPr>
        <w:tabs>
          <w:tab w:val="num" w:pos="720"/>
        </w:tabs>
        <w:ind w:left="720" w:hanging="360"/>
      </w:pPr>
      <w:rPr>
        <w:rFonts w:hint="default"/>
      </w:rPr>
    </w:lvl>
    <w:lvl w:ilvl="1" w:tplc="CDA25368" w:tentative="1">
      <w:start w:val="1"/>
      <w:numFmt w:val="lowerLetter"/>
      <w:lvlText w:val="%2."/>
      <w:lvlJc w:val="left"/>
      <w:pPr>
        <w:tabs>
          <w:tab w:val="num" w:pos="1440"/>
        </w:tabs>
        <w:ind w:left="1440" w:hanging="360"/>
      </w:pPr>
    </w:lvl>
    <w:lvl w:ilvl="2" w:tplc="3C2E4566" w:tentative="1">
      <w:start w:val="1"/>
      <w:numFmt w:val="lowerRoman"/>
      <w:lvlText w:val="%3."/>
      <w:lvlJc w:val="right"/>
      <w:pPr>
        <w:tabs>
          <w:tab w:val="num" w:pos="2160"/>
        </w:tabs>
        <w:ind w:left="2160" w:hanging="180"/>
      </w:pPr>
    </w:lvl>
    <w:lvl w:ilvl="3" w:tplc="D8CCC4CE" w:tentative="1">
      <w:start w:val="1"/>
      <w:numFmt w:val="decimal"/>
      <w:lvlText w:val="%4."/>
      <w:lvlJc w:val="left"/>
      <w:pPr>
        <w:tabs>
          <w:tab w:val="num" w:pos="2880"/>
        </w:tabs>
        <w:ind w:left="2880" w:hanging="360"/>
      </w:pPr>
    </w:lvl>
    <w:lvl w:ilvl="4" w:tplc="884652DA" w:tentative="1">
      <w:start w:val="1"/>
      <w:numFmt w:val="lowerLetter"/>
      <w:lvlText w:val="%5."/>
      <w:lvlJc w:val="left"/>
      <w:pPr>
        <w:tabs>
          <w:tab w:val="num" w:pos="3600"/>
        </w:tabs>
        <w:ind w:left="3600" w:hanging="360"/>
      </w:pPr>
    </w:lvl>
    <w:lvl w:ilvl="5" w:tplc="E2DCA53C" w:tentative="1">
      <w:start w:val="1"/>
      <w:numFmt w:val="lowerRoman"/>
      <w:lvlText w:val="%6."/>
      <w:lvlJc w:val="right"/>
      <w:pPr>
        <w:tabs>
          <w:tab w:val="num" w:pos="4320"/>
        </w:tabs>
        <w:ind w:left="4320" w:hanging="180"/>
      </w:pPr>
    </w:lvl>
    <w:lvl w:ilvl="6" w:tplc="70A29AF6" w:tentative="1">
      <w:start w:val="1"/>
      <w:numFmt w:val="decimal"/>
      <w:lvlText w:val="%7."/>
      <w:lvlJc w:val="left"/>
      <w:pPr>
        <w:tabs>
          <w:tab w:val="num" w:pos="5040"/>
        </w:tabs>
        <w:ind w:left="5040" w:hanging="360"/>
      </w:pPr>
    </w:lvl>
    <w:lvl w:ilvl="7" w:tplc="45E00296" w:tentative="1">
      <w:start w:val="1"/>
      <w:numFmt w:val="lowerLetter"/>
      <w:lvlText w:val="%8."/>
      <w:lvlJc w:val="left"/>
      <w:pPr>
        <w:tabs>
          <w:tab w:val="num" w:pos="5760"/>
        </w:tabs>
        <w:ind w:left="5760" w:hanging="360"/>
      </w:pPr>
    </w:lvl>
    <w:lvl w:ilvl="8" w:tplc="A8BE01E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86C6C9DC">
      <w:start w:val="1"/>
      <w:numFmt w:val="decimal"/>
      <w:lvlText w:val="%1."/>
      <w:lvlJc w:val="left"/>
      <w:pPr>
        <w:tabs>
          <w:tab w:val="num" w:pos="720"/>
        </w:tabs>
        <w:ind w:left="720" w:hanging="360"/>
      </w:pPr>
      <w:rPr>
        <w:rFonts w:hint="default"/>
      </w:rPr>
    </w:lvl>
    <w:lvl w:ilvl="1" w:tplc="761EC5B8" w:tentative="1">
      <w:start w:val="1"/>
      <w:numFmt w:val="lowerLetter"/>
      <w:lvlText w:val="%2."/>
      <w:lvlJc w:val="left"/>
      <w:pPr>
        <w:tabs>
          <w:tab w:val="num" w:pos="1440"/>
        </w:tabs>
        <w:ind w:left="1440" w:hanging="360"/>
      </w:pPr>
    </w:lvl>
    <w:lvl w:ilvl="2" w:tplc="B02C3BA0" w:tentative="1">
      <w:start w:val="1"/>
      <w:numFmt w:val="lowerRoman"/>
      <w:lvlText w:val="%3."/>
      <w:lvlJc w:val="right"/>
      <w:pPr>
        <w:tabs>
          <w:tab w:val="num" w:pos="2160"/>
        </w:tabs>
        <w:ind w:left="2160" w:hanging="180"/>
      </w:pPr>
    </w:lvl>
    <w:lvl w:ilvl="3" w:tplc="FD76357A" w:tentative="1">
      <w:start w:val="1"/>
      <w:numFmt w:val="decimal"/>
      <w:lvlText w:val="%4."/>
      <w:lvlJc w:val="left"/>
      <w:pPr>
        <w:tabs>
          <w:tab w:val="num" w:pos="2880"/>
        </w:tabs>
        <w:ind w:left="2880" w:hanging="360"/>
      </w:pPr>
    </w:lvl>
    <w:lvl w:ilvl="4" w:tplc="D8A6D7F8" w:tentative="1">
      <w:start w:val="1"/>
      <w:numFmt w:val="lowerLetter"/>
      <w:lvlText w:val="%5."/>
      <w:lvlJc w:val="left"/>
      <w:pPr>
        <w:tabs>
          <w:tab w:val="num" w:pos="3600"/>
        </w:tabs>
        <w:ind w:left="3600" w:hanging="360"/>
      </w:pPr>
    </w:lvl>
    <w:lvl w:ilvl="5" w:tplc="D8B673C8" w:tentative="1">
      <w:start w:val="1"/>
      <w:numFmt w:val="lowerRoman"/>
      <w:lvlText w:val="%6."/>
      <w:lvlJc w:val="right"/>
      <w:pPr>
        <w:tabs>
          <w:tab w:val="num" w:pos="4320"/>
        </w:tabs>
        <w:ind w:left="4320" w:hanging="180"/>
      </w:pPr>
    </w:lvl>
    <w:lvl w:ilvl="6" w:tplc="223845DE" w:tentative="1">
      <w:start w:val="1"/>
      <w:numFmt w:val="decimal"/>
      <w:lvlText w:val="%7."/>
      <w:lvlJc w:val="left"/>
      <w:pPr>
        <w:tabs>
          <w:tab w:val="num" w:pos="5040"/>
        </w:tabs>
        <w:ind w:left="5040" w:hanging="360"/>
      </w:pPr>
    </w:lvl>
    <w:lvl w:ilvl="7" w:tplc="E3582580" w:tentative="1">
      <w:start w:val="1"/>
      <w:numFmt w:val="lowerLetter"/>
      <w:lvlText w:val="%8."/>
      <w:lvlJc w:val="left"/>
      <w:pPr>
        <w:tabs>
          <w:tab w:val="num" w:pos="5760"/>
        </w:tabs>
        <w:ind w:left="5760" w:hanging="360"/>
      </w:pPr>
    </w:lvl>
    <w:lvl w:ilvl="8" w:tplc="18A60A04"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36282B10">
      <w:start w:val="1"/>
      <w:numFmt w:val="decimal"/>
      <w:lvlText w:val="%1."/>
      <w:lvlJc w:val="left"/>
      <w:pPr>
        <w:tabs>
          <w:tab w:val="num" w:pos="720"/>
        </w:tabs>
        <w:ind w:left="720" w:hanging="360"/>
      </w:pPr>
      <w:rPr>
        <w:rFonts w:hint="default"/>
      </w:rPr>
    </w:lvl>
    <w:lvl w:ilvl="1" w:tplc="8DF692EE">
      <w:start w:val="1"/>
      <w:numFmt w:val="lowerLetter"/>
      <w:lvlText w:val="%2."/>
      <w:lvlJc w:val="left"/>
      <w:pPr>
        <w:tabs>
          <w:tab w:val="num" w:pos="1440"/>
        </w:tabs>
        <w:ind w:left="1440" w:hanging="360"/>
      </w:pPr>
    </w:lvl>
    <w:lvl w:ilvl="2" w:tplc="3CD887B4">
      <w:start w:val="1"/>
      <w:numFmt w:val="lowerRoman"/>
      <w:lvlText w:val="(%3)"/>
      <w:lvlJc w:val="left"/>
      <w:pPr>
        <w:tabs>
          <w:tab w:val="num" w:pos="2700"/>
        </w:tabs>
        <w:ind w:left="2700" w:hanging="720"/>
      </w:pPr>
      <w:rPr>
        <w:rFonts w:hint="default"/>
      </w:rPr>
    </w:lvl>
    <w:lvl w:ilvl="3" w:tplc="6E426B32" w:tentative="1">
      <w:start w:val="1"/>
      <w:numFmt w:val="decimal"/>
      <w:lvlText w:val="%4."/>
      <w:lvlJc w:val="left"/>
      <w:pPr>
        <w:tabs>
          <w:tab w:val="num" w:pos="2880"/>
        </w:tabs>
        <w:ind w:left="2880" w:hanging="360"/>
      </w:pPr>
    </w:lvl>
    <w:lvl w:ilvl="4" w:tplc="DF72CA76" w:tentative="1">
      <w:start w:val="1"/>
      <w:numFmt w:val="lowerLetter"/>
      <w:lvlText w:val="%5."/>
      <w:lvlJc w:val="left"/>
      <w:pPr>
        <w:tabs>
          <w:tab w:val="num" w:pos="3600"/>
        </w:tabs>
        <w:ind w:left="3600" w:hanging="360"/>
      </w:pPr>
    </w:lvl>
    <w:lvl w:ilvl="5" w:tplc="A85681C8" w:tentative="1">
      <w:start w:val="1"/>
      <w:numFmt w:val="lowerRoman"/>
      <w:lvlText w:val="%6."/>
      <w:lvlJc w:val="right"/>
      <w:pPr>
        <w:tabs>
          <w:tab w:val="num" w:pos="4320"/>
        </w:tabs>
        <w:ind w:left="4320" w:hanging="180"/>
      </w:pPr>
    </w:lvl>
    <w:lvl w:ilvl="6" w:tplc="3AD8DF84" w:tentative="1">
      <w:start w:val="1"/>
      <w:numFmt w:val="decimal"/>
      <w:lvlText w:val="%7."/>
      <w:lvlJc w:val="left"/>
      <w:pPr>
        <w:tabs>
          <w:tab w:val="num" w:pos="5040"/>
        </w:tabs>
        <w:ind w:left="5040" w:hanging="360"/>
      </w:pPr>
    </w:lvl>
    <w:lvl w:ilvl="7" w:tplc="87EABF5E" w:tentative="1">
      <w:start w:val="1"/>
      <w:numFmt w:val="lowerLetter"/>
      <w:lvlText w:val="%8."/>
      <w:lvlJc w:val="left"/>
      <w:pPr>
        <w:tabs>
          <w:tab w:val="num" w:pos="5760"/>
        </w:tabs>
        <w:ind w:left="5760" w:hanging="360"/>
      </w:pPr>
    </w:lvl>
    <w:lvl w:ilvl="8" w:tplc="EAA2F0A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ECDE9B0A">
      <w:start w:val="1"/>
      <w:numFmt w:val="decimal"/>
      <w:lvlText w:val="%1."/>
      <w:lvlJc w:val="left"/>
      <w:pPr>
        <w:tabs>
          <w:tab w:val="num" w:pos="1080"/>
        </w:tabs>
        <w:ind w:left="1080" w:hanging="360"/>
      </w:pPr>
      <w:rPr>
        <w:b w:val="0"/>
      </w:rPr>
    </w:lvl>
    <w:lvl w:ilvl="1" w:tplc="72BE7240">
      <w:start w:val="1"/>
      <w:numFmt w:val="lowerLetter"/>
      <w:lvlText w:val="%2."/>
      <w:lvlJc w:val="left"/>
      <w:pPr>
        <w:tabs>
          <w:tab w:val="num" w:pos="1800"/>
        </w:tabs>
        <w:ind w:left="1800" w:hanging="360"/>
      </w:pPr>
    </w:lvl>
    <w:lvl w:ilvl="2" w:tplc="A0487E10">
      <w:start w:val="1"/>
      <w:numFmt w:val="lowerRoman"/>
      <w:lvlText w:val="%3."/>
      <w:lvlJc w:val="right"/>
      <w:pPr>
        <w:tabs>
          <w:tab w:val="num" w:pos="2520"/>
        </w:tabs>
        <w:ind w:left="2520" w:hanging="180"/>
      </w:pPr>
    </w:lvl>
    <w:lvl w:ilvl="3" w:tplc="A7B08580">
      <w:start w:val="1"/>
      <w:numFmt w:val="decimal"/>
      <w:lvlText w:val="%4."/>
      <w:lvlJc w:val="left"/>
      <w:pPr>
        <w:tabs>
          <w:tab w:val="num" w:pos="3240"/>
        </w:tabs>
        <w:ind w:left="3240" w:hanging="360"/>
      </w:pPr>
    </w:lvl>
    <w:lvl w:ilvl="4" w:tplc="12521D76">
      <w:start w:val="1"/>
      <w:numFmt w:val="lowerLetter"/>
      <w:lvlText w:val="%5."/>
      <w:lvlJc w:val="left"/>
      <w:pPr>
        <w:tabs>
          <w:tab w:val="num" w:pos="3960"/>
        </w:tabs>
        <w:ind w:left="3960" w:hanging="360"/>
      </w:pPr>
    </w:lvl>
    <w:lvl w:ilvl="5" w:tplc="AC1E7B86">
      <w:start w:val="1"/>
      <w:numFmt w:val="lowerRoman"/>
      <w:lvlText w:val="%6."/>
      <w:lvlJc w:val="right"/>
      <w:pPr>
        <w:tabs>
          <w:tab w:val="num" w:pos="4680"/>
        </w:tabs>
        <w:ind w:left="4680" w:hanging="180"/>
      </w:pPr>
    </w:lvl>
    <w:lvl w:ilvl="6" w:tplc="51849104">
      <w:start w:val="1"/>
      <w:numFmt w:val="decimal"/>
      <w:lvlText w:val="%7."/>
      <w:lvlJc w:val="left"/>
      <w:pPr>
        <w:tabs>
          <w:tab w:val="num" w:pos="5400"/>
        </w:tabs>
        <w:ind w:left="5400" w:hanging="360"/>
      </w:pPr>
    </w:lvl>
    <w:lvl w:ilvl="7" w:tplc="CF847E90">
      <w:start w:val="1"/>
      <w:numFmt w:val="lowerLetter"/>
      <w:lvlText w:val="%8."/>
      <w:lvlJc w:val="left"/>
      <w:pPr>
        <w:tabs>
          <w:tab w:val="num" w:pos="6120"/>
        </w:tabs>
        <w:ind w:left="6120" w:hanging="360"/>
      </w:pPr>
    </w:lvl>
    <w:lvl w:ilvl="8" w:tplc="B8B0A636">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B8063358">
      <w:start w:val="1"/>
      <w:numFmt w:val="decimal"/>
      <w:lvlText w:val="%1."/>
      <w:lvlJc w:val="left"/>
      <w:pPr>
        <w:tabs>
          <w:tab w:val="num" w:pos="720"/>
        </w:tabs>
        <w:ind w:left="720" w:hanging="360"/>
      </w:pPr>
      <w:rPr>
        <w:rFonts w:hint="default"/>
      </w:rPr>
    </w:lvl>
    <w:lvl w:ilvl="1" w:tplc="29F62918" w:tentative="1">
      <w:start w:val="1"/>
      <w:numFmt w:val="lowerLetter"/>
      <w:lvlText w:val="%2."/>
      <w:lvlJc w:val="left"/>
      <w:pPr>
        <w:tabs>
          <w:tab w:val="num" w:pos="1440"/>
        </w:tabs>
        <w:ind w:left="1440" w:hanging="360"/>
      </w:pPr>
    </w:lvl>
    <w:lvl w:ilvl="2" w:tplc="F5E640EA" w:tentative="1">
      <w:start w:val="1"/>
      <w:numFmt w:val="lowerRoman"/>
      <w:lvlText w:val="%3."/>
      <w:lvlJc w:val="right"/>
      <w:pPr>
        <w:tabs>
          <w:tab w:val="num" w:pos="2160"/>
        </w:tabs>
        <w:ind w:left="2160" w:hanging="180"/>
      </w:pPr>
    </w:lvl>
    <w:lvl w:ilvl="3" w:tplc="A24A61F4" w:tentative="1">
      <w:start w:val="1"/>
      <w:numFmt w:val="decimal"/>
      <w:lvlText w:val="%4."/>
      <w:lvlJc w:val="left"/>
      <w:pPr>
        <w:tabs>
          <w:tab w:val="num" w:pos="2880"/>
        </w:tabs>
        <w:ind w:left="2880" w:hanging="360"/>
      </w:pPr>
    </w:lvl>
    <w:lvl w:ilvl="4" w:tplc="2DD478D2" w:tentative="1">
      <w:start w:val="1"/>
      <w:numFmt w:val="lowerLetter"/>
      <w:lvlText w:val="%5."/>
      <w:lvlJc w:val="left"/>
      <w:pPr>
        <w:tabs>
          <w:tab w:val="num" w:pos="3600"/>
        </w:tabs>
        <w:ind w:left="3600" w:hanging="360"/>
      </w:pPr>
    </w:lvl>
    <w:lvl w:ilvl="5" w:tplc="7472CD8C" w:tentative="1">
      <w:start w:val="1"/>
      <w:numFmt w:val="lowerRoman"/>
      <w:lvlText w:val="%6."/>
      <w:lvlJc w:val="right"/>
      <w:pPr>
        <w:tabs>
          <w:tab w:val="num" w:pos="4320"/>
        </w:tabs>
        <w:ind w:left="4320" w:hanging="180"/>
      </w:pPr>
    </w:lvl>
    <w:lvl w:ilvl="6" w:tplc="0A40951A" w:tentative="1">
      <w:start w:val="1"/>
      <w:numFmt w:val="decimal"/>
      <w:lvlText w:val="%7."/>
      <w:lvlJc w:val="left"/>
      <w:pPr>
        <w:tabs>
          <w:tab w:val="num" w:pos="5040"/>
        </w:tabs>
        <w:ind w:left="5040" w:hanging="360"/>
      </w:pPr>
    </w:lvl>
    <w:lvl w:ilvl="7" w:tplc="92904AD2" w:tentative="1">
      <w:start w:val="1"/>
      <w:numFmt w:val="lowerLetter"/>
      <w:lvlText w:val="%8."/>
      <w:lvlJc w:val="left"/>
      <w:pPr>
        <w:tabs>
          <w:tab w:val="num" w:pos="5760"/>
        </w:tabs>
        <w:ind w:left="5760" w:hanging="360"/>
      </w:pPr>
    </w:lvl>
    <w:lvl w:ilvl="8" w:tplc="C936DADA"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9E6C33A8">
      <w:start w:val="1"/>
      <w:numFmt w:val="bullet"/>
      <w:lvlText w:val=""/>
      <w:lvlJc w:val="left"/>
      <w:pPr>
        <w:tabs>
          <w:tab w:val="num" w:pos="5760"/>
        </w:tabs>
        <w:ind w:left="5760" w:hanging="360"/>
      </w:pPr>
      <w:rPr>
        <w:rFonts w:ascii="Symbol" w:hAnsi="Symbol" w:hint="default"/>
        <w:color w:val="auto"/>
        <w:u w:val="none"/>
      </w:rPr>
    </w:lvl>
    <w:lvl w:ilvl="1" w:tplc="3B1270B2" w:tentative="1">
      <w:start w:val="1"/>
      <w:numFmt w:val="bullet"/>
      <w:lvlText w:val="o"/>
      <w:lvlJc w:val="left"/>
      <w:pPr>
        <w:tabs>
          <w:tab w:val="num" w:pos="3600"/>
        </w:tabs>
        <w:ind w:left="3600" w:hanging="360"/>
      </w:pPr>
      <w:rPr>
        <w:rFonts w:ascii="Courier New" w:hAnsi="Courier New" w:hint="default"/>
      </w:rPr>
    </w:lvl>
    <w:lvl w:ilvl="2" w:tplc="E82090BC" w:tentative="1">
      <w:start w:val="1"/>
      <w:numFmt w:val="bullet"/>
      <w:lvlText w:val=""/>
      <w:lvlJc w:val="left"/>
      <w:pPr>
        <w:tabs>
          <w:tab w:val="num" w:pos="4320"/>
        </w:tabs>
        <w:ind w:left="4320" w:hanging="360"/>
      </w:pPr>
      <w:rPr>
        <w:rFonts w:ascii="Wingdings" w:hAnsi="Wingdings" w:hint="default"/>
      </w:rPr>
    </w:lvl>
    <w:lvl w:ilvl="3" w:tplc="F8A21844">
      <w:start w:val="1"/>
      <w:numFmt w:val="bullet"/>
      <w:lvlText w:val=""/>
      <w:lvlJc w:val="left"/>
      <w:pPr>
        <w:tabs>
          <w:tab w:val="num" w:pos="5040"/>
        </w:tabs>
        <w:ind w:left="5040" w:hanging="360"/>
      </w:pPr>
      <w:rPr>
        <w:rFonts w:ascii="Symbol" w:hAnsi="Symbol" w:hint="default"/>
      </w:rPr>
    </w:lvl>
    <w:lvl w:ilvl="4" w:tplc="5558A58E" w:tentative="1">
      <w:start w:val="1"/>
      <w:numFmt w:val="bullet"/>
      <w:lvlText w:val="o"/>
      <w:lvlJc w:val="left"/>
      <w:pPr>
        <w:tabs>
          <w:tab w:val="num" w:pos="5760"/>
        </w:tabs>
        <w:ind w:left="5760" w:hanging="360"/>
      </w:pPr>
      <w:rPr>
        <w:rFonts w:ascii="Courier New" w:hAnsi="Courier New" w:hint="default"/>
      </w:rPr>
    </w:lvl>
    <w:lvl w:ilvl="5" w:tplc="AD227F58" w:tentative="1">
      <w:start w:val="1"/>
      <w:numFmt w:val="bullet"/>
      <w:lvlText w:val=""/>
      <w:lvlJc w:val="left"/>
      <w:pPr>
        <w:tabs>
          <w:tab w:val="num" w:pos="6480"/>
        </w:tabs>
        <w:ind w:left="6480" w:hanging="360"/>
      </w:pPr>
      <w:rPr>
        <w:rFonts w:ascii="Wingdings" w:hAnsi="Wingdings" w:hint="default"/>
      </w:rPr>
    </w:lvl>
    <w:lvl w:ilvl="6" w:tplc="D62CF046" w:tentative="1">
      <w:start w:val="1"/>
      <w:numFmt w:val="bullet"/>
      <w:lvlText w:val=""/>
      <w:lvlJc w:val="left"/>
      <w:pPr>
        <w:tabs>
          <w:tab w:val="num" w:pos="7200"/>
        </w:tabs>
        <w:ind w:left="7200" w:hanging="360"/>
      </w:pPr>
      <w:rPr>
        <w:rFonts w:ascii="Symbol" w:hAnsi="Symbol" w:hint="default"/>
      </w:rPr>
    </w:lvl>
    <w:lvl w:ilvl="7" w:tplc="5778F078" w:tentative="1">
      <w:start w:val="1"/>
      <w:numFmt w:val="bullet"/>
      <w:lvlText w:val="o"/>
      <w:lvlJc w:val="left"/>
      <w:pPr>
        <w:tabs>
          <w:tab w:val="num" w:pos="7920"/>
        </w:tabs>
        <w:ind w:left="7920" w:hanging="360"/>
      </w:pPr>
      <w:rPr>
        <w:rFonts w:ascii="Courier New" w:hAnsi="Courier New" w:hint="default"/>
      </w:rPr>
    </w:lvl>
    <w:lvl w:ilvl="8" w:tplc="D7AA47A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481493A6">
      <w:start w:val="1"/>
      <w:numFmt w:val="lowerRoman"/>
      <w:lvlText w:val="(%1)"/>
      <w:lvlJc w:val="left"/>
      <w:pPr>
        <w:tabs>
          <w:tab w:val="num" w:pos="1080"/>
        </w:tabs>
        <w:ind w:left="1080" w:hanging="720"/>
      </w:pPr>
      <w:rPr>
        <w:rFonts w:hint="default"/>
      </w:rPr>
    </w:lvl>
    <w:lvl w:ilvl="1" w:tplc="B268C8BC">
      <w:start w:val="1"/>
      <w:numFmt w:val="lowerLetter"/>
      <w:lvlText w:val="%2."/>
      <w:lvlJc w:val="left"/>
      <w:pPr>
        <w:tabs>
          <w:tab w:val="num" w:pos="1440"/>
        </w:tabs>
        <w:ind w:left="1440" w:hanging="360"/>
      </w:pPr>
    </w:lvl>
    <w:lvl w:ilvl="2" w:tplc="84E4B8CE" w:tentative="1">
      <w:start w:val="1"/>
      <w:numFmt w:val="lowerRoman"/>
      <w:lvlText w:val="%3."/>
      <w:lvlJc w:val="right"/>
      <w:pPr>
        <w:tabs>
          <w:tab w:val="num" w:pos="2160"/>
        </w:tabs>
        <w:ind w:left="2160" w:hanging="180"/>
      </w:pPr>
    </w:lvl>
    <w:lvl w:ilvl="3" w:tplc="4BB84010" w:tentative="1">
      <w:start w:val="1"/>
      <w:numFmt w:val="decimal"/>
      <w:lvlText w:val="%4."/>
      <w:lvlJc w:val="left"/>
      <w:pPr>
        <w:tabs>
          <w:tab w:val="num" w:pos="2880"/>
        </w:tabs>
        <w:ind w:left="2880" w:hanging="360"/>
      </w:pPr>
    </w:lvl>
    <w:lvl w:ilvl="4" w:tplc="2E668650" w:tentative="1">
      <w:start w:val="1"/>
      <w:numFmt w:val="lowerLetter"/>
      <w:lvlText w:val="%5."/>
      <w:lvlJc w:val="left"/>
      <w:pPr>
        <w:tabs>
          <w:tab w:val="num" w:pos="3600"/>
        </w:tabs>
        <w:ind w:left="3600" w:hanging="360"/>
      </w:pPr>
    </w:lvl>
    <w:lvl w:ilvl="5" w:tplc="2C3C88DC" w:tentative="1">
      <w:start w:val="1"/>
      <w:numFmt w:val="lowerRoman"/>
      <w:lvlText w:val="%6."/>
      <w:lvlJc w:val="right"/>
      <w:pPr>
        <w:tabs>
          <w:tab w:val="num" w:pos="4320"/>
        </w:tabs>
        <w:ind w:left="4320" w:hanging="180"/>
      </w:pPr>
    </w:lvl>
    <w:lvl w:ilvl="6" w:tplc="0AD4D2EE" w:tentative="1">
      <w:start w:val="1"/>
      <w:numFmt w:val="decimal"/>
      <w:lvlText w:val="%7."/>
      <w:lvlJc w:val="left"/>
      <w:pPr>
        <w:tabs>
          <w:tab w:val="num" w:pos="5040"/>
        </w:tabs>
        <w:ind w:left="5040" w:hanging="360"/>
      </w:pPr>
    </w:lvl>
    <w:lvl w:ilvl="7" w:tplc="B45CC20E" w:tentative="1">
      <w:start w:val="1"/>
      <w:numFmt w:val="lowerLetter"/>
      <w:lvlText w:val="%8."/>
      <w:lvlJc w:val="left"/>
      <w:pPr>
        <w:tabs>
          <w:tab w:val="num" w:pos="5760"/>
        </w:tabs>
        <w:ind w:left="5760" w:hanging="360"/>
      </w:pPr>
    </w:lvl>
    <w:lvl w:ilvl="8" w:tplc="0CC4250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3A"/>
    <w:rsid w:val="0041333A"/>
    <w:rsid w:val="00A4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D5E55-7595-44B0-9D6D-296FE865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9649</Words>
  <Characters>55004</Characters>
  <Application>Microsoft Office Word</Application>
  <DocSecurity>4</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2021-12-06T15:13:00Z</dcterms:created>
  <dcterms:modified xsi:type="dcterms:W3CDTF">2021-12-06T15:13:00Z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