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A72A25"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A72A25"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A72A25"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A72A25"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A72A25"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A72A25" w:rsidP="00BE013F">
      <w:pPr>
        <w:pStyle w:val="alphapara"/>
      </w:pPr>
      <w:r w:rsidRPr="009D5A79">
        <w:t>14.1.1.3</w:t>
      </w:r>
      <w:r w:rsidRPr="009D5A79">
        <w:tab/>
        <w:t xml:space="preserve">to serve Load within the NYCA; except, the Wholesale TSC shall not apply to: </w:t>
      </w:r>
    </w:p>
    <w:p w:rsidR="004C2F99" w:rsidRPr="009D5A79" w:rsidRDefault="00A72A25"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A72A25"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A72A25"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A72A25"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A72A25"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A72A25" w:rsidP="00BE013F">
      <w:pPr>
        <w:pStyle w:val="Bodypara"/>
      </w:pPr>
      <w:r w:rsidRPr="00EA3055">
        <w:t>Sections 14.1.2-14.1.6 do not apply to the development of the NYPA TSC, which is described in Section 14.1.7.</w:t>
      </w:r>
    </w:p>
    <w:p w:rsidR="004C2F99" w:rsidRPr="00EA3055" w:rsidRDefault="00A72A25"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A72A25"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A72A25"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A72A25">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A72A25"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A72A25"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A72A25"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A72A25"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A72A25"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A72A25"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A72A25"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A72A25"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A72A25"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A72A25"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A72A25"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A72A25"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A72A25"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A72A25"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A72A25"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A72A25"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A72A25"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A72A25"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A72A25"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w:t>
      </w:r>
      <w:r w:rsidRPr="00046966">
        <w:rPr>
          <w:rFonts w:ascii="Times New Roman" w:hAnsi="Times New Roman"/>
          <w:sz w:val="24"/>
          <w:szCs w:val="24"/>
        </w:rPr>
        <w:t>randfathered OATT Service</w:t>
      </w:r>
      <w:bookmarkEnd w:id="6"/>
    </w:p>
    <w:p w:rsidR="00EB2942" w:rsidRDefault="00A72A25" w:rsidP="00BE013F">
      <w:pPr>
        <w:pStyle w:val="Bodypara"/>
      </w:pPr>
      <w:r w:rsidRPr="00046966">
        <w:t>All customers under grandfathered OATT service agreements must continue to pay the Schedule 1 charge applicable under the individual OATT, absent a settlement to the contrary.  The revenues received from Schedule 1 charges paid by</w:t>
      </w:r>
      <w:r w:rsidRPr="00046966">
        <w:t xml:space="preserve"> grandfathered OATT customers will be treated as revenue credit in the WR component as part of the wheeling revenue associated with OATT reservations extending beyond the start-up of the ISO.</w:t>
      </w:r>
    </w:p>
    <w:p w:rsidR="004C2F99" w:rsidRPr="00046966" w:rsidRDefault="00A72A25" w:rsidP="00BE013F">
      <w:pPr>
        <w:pStyle w:val="Bodypara"/>
      </w:pPr>
      <w:r>
        <w:t>14.1.2.1.3</w:t>
      </w:r>
      <w:r>
        <w:tab/>
        <w:t>Elements of the Reserved Component</w:t>
      </w:r>
      <w:r w:rsidRPr="00046966">
        <w:t xml:space="preserve"> </w:t>
      </w:r>
    </w:p>
    <w:p w:rsidR="004C2F99" w:rsidRPr="00EB2942" w:rsidRDefault="00A72A25"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A72A25"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A72A25"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A72A25"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A72A25"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A72A25"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A72A25"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A72A25"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A72A25"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A72A25"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A72A25"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A72A25"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A72A25"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A72A25"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A72A25"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A72A25"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A72A25"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A72A25"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he monthly Wholesale TSCs for each of the Transmission Districts shall be posted on the OASIS by the ISO no later than the fif</w:t>
      </w:r>
      <w:r w:rsidRPr="00EC4874">
        <w:t>teenth of each month or as soon thereafter as is reasonably possible but in no event later than the 20th of the month to become effective on the first of the next calendar month.</w:t>
      </w:r>
    </w:p>
    <w:p w:rsidR="004C2F99" w:rsidRPr="008F5C8B" w:rsidRDefault="00A72A25"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A72A25" w:rsidP="00BE013F">
      <w:pPr>
        <w:pStyle w:val="Bodypara"/>
      </w:pPr>
      <w:r w:rsidRPr="00EC4874">
        <w:t>The Annual Transmission Revenue Requirements (“RR”); Scheduling, System Control and Dispatch Costs (“CCC”), Billing Units (“BU”) and Rates of the Transmission Owners, except NYPA, for the purpose of calculating the respective Transmission District-based Wh</w:t>
      </w:r>
      <w:r w:rsidRPr="00EC4874">
        <w:t xml:space="preserve">olesale </w:t>
      </w:r>
      <w:r>
        <w:t>TSC are shown in Table 1 below.</w:t>
      </w:r>
    </w:p>
    <w:p w:rsidR="004C2F99" w:rsidRPr="008F5C8B" w:rsidRDefault="00A72A25"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5954A4"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A72A25" w:rsidP="00154971">
            <w:pPr>
              <w:pStyle w:val="Header"/>
              <w:tabs>
                <w:tab w:val="clear" w:pos="9360"/>
              </w:tabs>
              <w:spacing w:after="0" w:line="240" w:lineRule="auto"/>
              <w:rPr>
                <w:b/>
                <w:sz w:val="24"/>
              </w:rPr>
            </w:pPr>
            <w:r w:rsidRPr="00154971">
              <w:rPr>
                <w:b/>
                <w:sz w:val="24"/>
              </w:rPr>
              <w:t>Rate $/MWh1</w:t>
            </w:r>
          </w:p>
        </w:tc>
      </w:tr>
      <w:tr w:rsidR="005954A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 xml:space="preserve">Central Hudson Gas &amp; Electric </w:t>
            </w:r>
            <w:r w:rsidRPr="008F5C8B">
              <w:rPr>
                <w:sz w:val="24"/>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72A25" w:rsidP="00154971">
            <w:pPr>
              <w:spacing w:after="0" w:line="240" w:lineRule="auto"/>
              <w:rPr>
                <w:sz w:val="24"/>
                <w:szCs w:val="24"/>
              </w:rPr>
            </w:pPr>
          </w:p>
          <w:p w:rsidR="004C2F99" w:rsidRPr="008F5C8B" w:rsidRDefault="00A72A25">
            <w:pPr>
              <w:spacing w:after="0" w:line="240" w:lineRule="auto"/>
              <w:rPr>
                <w:sz w:val="24"/>
                <w:szCs w:val="24"/>
              </w:rPr>
            </w:pPr>
            <w:r w:rsidRPr="008F5C8B">
              <w:rPr>
                <w:sz w:val="24"/>
                <w:szCs w:val="24"/>
              </w:rPr>
              <w:t>$</w:t>
            </w:r>
            <w:r>
              <w:rPr>
                <w:sz w:val="24"/>
                <w:szCs w:val="24"/>
              </w:rPr>
              <w:t>3.5220</w:t>
            </w:r>
          </w:p>
        </w:tc>
      </w:tr>
      <w:tr w:rsidR="005954A4"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$8.1405</w:t>
            </w:r>
          </w:p>
        </w:tc>
      </w:tr>
      <w:tr w:rsidR="005954A4"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72A25" w:rsidP="00154971">
            <w:pPr>
              <w:spacing w:after="0" w:line="240" w:lineRule="auto"/>
              <w:rPr>
                <w:sz w:val="24"/>
                <w:szCs w:val="24"/>
              </w:rPr>
            </w:pPr>
            <w:r w:rsidRPr="008F5C8B">
              <w:rPr>
                <w:sz w:val="24"/>
                <w:szCs w:val="24"/>
              </w:rPr>
              <w:t>$5.2891</w:t>
            </w:r>
          </w:p>
        </w:tc>
      </w:tr>
      <w:tr w:rsidR="005954A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sz w:val="24"/>
                <w:szCs w:val="24"/>
              </w:rPr>
            </w:pPr>
          </w:p>
          <w:p w:rsidR="004C2F99" w:rsidRPr="00154971" w:rsidRDefault="00A72A25"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sz w:val="24"/>
                <w:szCs w:val="24"/>
              </w:rPr>
            </w:pPr>
          </w:p>
          <w:p w:rsidR="004C2F99" w:rsidRPr="00154971" w:rsidRDefault="00A72A25"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72A25" w:rsidP="00154971">
            <w:pPr>
              <w:spacing w:after="0" w:line="240" w:lineRule="auto"/>
              <w:rPr>
                <w:sz w:val="24"/>
                <w:szCs w:val="24"/>
              </w:rPr>
            </w:pPr>
          </w:p>
          <w:p w:rsidR="004C2F99" w:rsidRPr="008F5C8B" w:rsidRDefault="00A72A25"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5954A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72A25" w:rsidP="00154971">
            <w:pPr>
              <w:pStyle w:val="Header"/>
              <w:tabs>
                <w:tab w:val="clear" w:pos="9360"/>
              </w:tabs>
              <w:spacing w:after="0" w:line="240" w:lineRule="auto"/>
              <w:rPr>
                <w:sz w:val="24"/>
              </w:rPr>
            </w:pPr>
            <w:r w:rsidRPr="00834A8A">
              <w:rPr>
                <w:sz w:val="24"/>
              </w:rPr>
              <w:t>See Attachment H, Section 14.1.9</w:t>
            </w:r>
          </w:p>
        </w:tc>
      </w:tr>
      <w:tr w:rsidR="005954A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72A25"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72A25" w:rsidP="004C2F99">
            <w:pPr>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5954A4"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A72A25"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72A25" w:rsidP="004C2F99">
            <w:pPr>
              <w:spacing w:after="0" w:line="240" w:lineRule="auto"/>
              <w:rPr>
                <w:sz w:val="24"/>
                <w:szCs w:val="24"/>
              </w:rPr>
            </w:pPr>
          </w:p>
          <w:p w:rsidR="004C2F99" w:rsidRPr="008F5C8B" w:rsidRDefault="00A72A25"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A72A25" w:rsidP="004C2F99">
            <w:pPr>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72A25" w:rsidP="004C2F99">
            <w:pPr>
              <w:spacing w:after="0" w:line="240" w:lineRule="auto"/>
              <w:rPr>
                <w:sz w:val="24"/>
                <w:szCs w:val="24"/>
              </w:rPr>
            </w:pPr>
          </w:p>
          <w:p w:rsidR="004C2F99" w:rsidRPr="008F5C8B" w:rsidRDefault="00A72A25"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A72A25" w:rsidP="004C2F99">
            <w:pPr>
              <w:spacing w:after="0" w:line="240" w:lineRule="auto"/>
              <w:rPr>
                <w:sz w:val="24"/>
                <w:szCs w:val="24"/>
              </w:rPr>
            </w:pPr>
          </w:p>
          <w:p w:rsidR="004C2F99" w:rsidRPr="008F5C8B" w:rsidRDefault="00A72A25"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A72A25"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A72A25"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EC4874" w:rsidRDefault="00A72A25"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A72A25"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A72A25" w:rsidP="00BE013F">
      <w:pPr>
        <w:pStyle w:val="Bodypara"/>
      </w:pPr>
      <w:r w:rsidRPr="00EC4874">
        <w:t>Central Hudson’s TSC shall be increased by dividing the following surcharge factors into the total of all applicable ra</w:t>
      </w:r>
      <w:r w:rsidRPr="00EC4874">
        <w:t>tes and charges to reflect the New York State GRT (0.94922 in the MTA regions and 0.95750 in the non-MTA regions), which is not specifically provided for in the transmission rate, to the extent such tax is imposed on Central Hudson as a result of the trans</w:t>
      </w:r>
      <w:r w:rsidRPr="00EC4874">
        <w:t>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A72A25"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w:t>
      </w:r>
      <w:r w:rsidRPr="00046966">
        <w:rPr>
          <w:rFonts w:ascii="Times New Roman" w:hAnsi="Times New Roman"/>
          <w:sz w:val="24"/>
          <w:szCs w:val="24"/>
        </w:rPr>
        <w:t>solidated Edison Company of New York, Inc.</w:t>
      </w:r>
      <w:bookmarkEnd w:id="11"/>
    </w:p>
    <w:p w:rsidR="004C2F99" w:rsidRPr="00EC4874" w:rsidRDefault="00A72A25" w:rsidP="00BE013F">
      <w:pPr>
        <w:pStyle w:val="Bodypara"/>
      </w:pPr>
      <w:r w:rsidRPr="00EC4874">
        <w:t>The GRT is included in Con Edison's TSC rate.  Con Edison will not charge separately for GRT.</w:t>
      </w:r>
    </w:p>
    <w:p w:rsidR="004C2F99" w:rsidRPr="00046966" w:rsidRDefault="00A72A25"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A72A25" w:rsidP="00BE013F">
      <w:pPr>
        <w:pStyle w:val="Bodypara"/>
      </w:pPr>
      <w:r w:rsidRPr="00EC4874">
        <w:t>The GRT is included in LIPA's TSC rate.  LIPA will not charge separately for GRT.</w:t>
      </w:r>
    </w:p>
    <w:p w:rsidR="004C2F99" w:rsidRPr="00046966" w:rsidRDefault="00A72A25"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w:t>
      </w:r>
      <w:r w:rsidRPr="00046966">
        <w:rPr>
          <w:rFonts w:ascii="Times New Roman" w:hAnsi="Times New Roman"/>
          <w:sz w:val="24"/>
          <w:szCs w:val="24"/>
        </w:rPr>
        <w:t xml:space="preserve"> Electric &amp; Gas Corporation</w:t>
      </w:r>
      <w:bookmarkEnd w:id="12"/>
    </w:p>
    <w:p w:rsidR="004C2F99" w:rsidRPr="00EC4874" w:rsidRDefault="00A72A25" w:rsidP="00BE013F">
      <w:pPr>
        <w:pStyle w:val="Bodypara"/>
      </w:pPr>
      <w:r w:rsidRPr="00EC4874">
        <w:t>The Transmission Customer shall pay an amount sufficient to reimburse NYSEG for any amounts payable by NYSEG as sales, excise, value-added, gross receipts or other applicable taxes with respect to the total amount payable to NYS</w:t>
      </w:r>
      <w:r w:rsidRPr="00EC4874">
        <w:t>EG pursuant to the Tariff.  The total of all rates and charges will be divided by the appropriate tax factor listed below, depending upon the geographic location of the Transmission Customer’s Point(s) of Delivery</w:t>
      </w:r>
    </w:p>
    <w:p w:rsidR="004C2F99" w:rsidRPr="009B6789" w:rsidRDefault="00A72A25"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Within the Metropolitan Commuter </w:t>
      </w:r>
      <w:r w:rsidRPr="009B6789">
        <w:rPr>
          <w:rFonts w:ascii="Times New Roman" w:hAnsi="Times New Roman"/>
          <w:sz w:val="24"/>
          <w:szCs w:val="24"/>
        </w:rPr>
        <w:t>Transportation District:</w:t>
      </w:r>
      <w:r w:rsidRPr="009B6789">
        <w:rPr>
          <w:rFonts w:ascii="Times New Roman" w:hAnsi="Times New Roman"/>
          <w:sz w:val="24"/>
          <w:szCs w:val="24"/>
        </w:rPr>
        <w:tab/>
        <w:t>0.984583</w:t>
      </w:r>
    </w:p>
    <w:p w:rsidR="004C2F99" w:rsidRPr="009B6789" w:rsidRDefault="00A72A25"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A72A25" w:rsidP="00BE013F">
      <w:pPr>
        <w:pStyle w:val="Bodypara"/>
      </w:pPr>
      <w:r w:rsidRPr="00EC4874">
        <w:t xml:space="preserve">These tax factors incorporate the taxes imposed on the Transmission Provider’s electric revenues pursuant to New York law and represents the Franchise </w:t>
      </w:r>
      <w:r w:rsidRPr="00EC4874">
        <w:t>Tax on Gross Earnings, the Gross Income Tax, and where applicable the Metropolitan Commuter Transportation District Surcharge.</w:t>
      </w:r>
    </w:p>
    <w:p w:rsidR="004C2F99" w:rsidRPr="00EC4874" w:rsidRDefault="00A72A25" w:rsidP="00BE013F">
      <w:pPr>
        <w:pStyle w:val="Bodypara"/>
      </w:pPr>
      <w:r w:rsidRPr="00EC4874">
        <w:t>This Provision shall be effective upon commencement of services under the ISO OATT.</w:t>
      </w:r>
    </w:p>
    <w:p w:rsidR="004C2F99" w:rsidRPr="00046966" w:rsidRDefault="00A72A25"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A72A25" w:rsidP="00BE013F">
      <w:pPr>
        <w:pStyle w:val="Bodypara"/>
      </w:pPr>
      <w:r w:rsidRPr="00EC4874">
        <w:t>For</w:t>
      </w:r>
      <w:r w:rsidRPr="00EC4874">
        <w:t xml:space="preserve"> the settled Niagara Mohawk TSC rate, the GRT is included in the RR and there will be no separate GRT tax assessed; For the filed Niagara Mohawk TSC rate, GRT initially is included in the RR and there will be no separate GRT assessed; however, this issue w</w:t>
      </w:r>
      <w:r w:rsidRPr="00EC4874">
        <w:t>ith regard to GRT is subject to final Commission action in Docket No.  OA96-194-000, including all stipulations executed in connection therewith.</w:t>
      </w:r>
    </w:p>
    <w:p w:rsidR="004C2F99" w:rsidRPr="00046966" w:rsidRDefault="00A72A25"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A72A25" w:rsidP="00BE013F">
      <w:pPr>
        <w:pStyle w:val="Bodypara"/>
      </w:pPr>
      <w:r w:rsidRPr="00EC4874">
        <w:t>The Transmission Customer’s rate will be increased to reflect the</w:t>
      </w:r>
      <w:r w:rsidRPr="00EC4874">
        <w:t xml:space="preserve"> gross receipts tax (“GRT”) which is not specifically provided for in the transmission rate and ancillary service rates, that a governmental authority may impose on Orange and Rockland as a result of the Transmission Service provided to such Transmission C</w:t>
      </w:r>
      <w:r w:rsidRPr="00EC4874">
        <w:t xml:space="preserve">ustomer pursuant to Sections 186 and 186-a of the New York Tax Law.  The current effective GRT rate for the Section 186-a tax is 3.25% from October 1, 1998 through October 31, 1999 and 2.5% on and after January 1, 2000. The maximum locality rate allowable </w:t>
      </w:r>
      <w:r w:rsidRPr="00EC4874">
        <w:t>under state law for each locality is specified below.   However, if the actual locality rate is less than the maximum locality rate permitted under state law, O&amp;R shall charge the actual tax rate levied by the locality.  The currently effective GRT rate fo</w:t>
      </w:r>
      <w:r w:rsidRPr="00EC4874">
        <w:t>r the Section 186 tax is .75%.</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A72A25"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A72A25" w:rsidP="00BE013F">
      <w:pPr>
        <w:pStyle w:val="Bodypara"/>
      </w:pPr>
      <w:r w:rsidRPr="00EC4874">
        <w:t>The Transmission Customer’s rate will be increased to reflect the gross receipts tax which is not specifically provided for in the transmission rate and anc</w:t>
      </w:r>
      <w:r w:rsidRPr="00EC4874">
        <w:t>illary service rates, that a governmental authority may impose on RG&amp;E as a result of the Transmission Service provided to such Transmission Customer pursuant to Sections 186 and 186-a of the New York Tax Law.  The currently effective GRT rate for the Sect</w:t>
      </w:r>
      <w:r w:rsidRPr="00EC4874">
        <w:t>ion 186-a tax is 3.5% and each locality rate is specified below.  The currently effective GRT rate for the Section 186 tax is .75%.</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A72A25"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A72A25" w:rsidP="004C2F99">
      <w:pPr>
        <w:pStyle w:val="Heading3"/>
        <w:spacing w:line="240" w:lineRule="auto"/>
        <w:rPr>
          <w:szCs w:val="24"/>
        </w:rPr>
      </w:pPr>
      <w:bookmarkStart w:id="16" w:name="_Toc263255409"/>
      <w:r w:rsidRPr="008F5C8B">
        <w:rPr>
          <w:szCs w:val="24"/>
        </w:rPr>
        <w:t>14.1.6</w:t>
      </w:r>
      <w:r w:rsidRPr="008F5C8B">
        <w:rPr>
          <w:szCs w:val="24"/>
        </w:rPr>
        <w:tab/>
        <w:t>TSC For Retail Access</w:t>
      </w:r>
      <w:r w:rsidRPr="008F5C8B">
        <w:rPr>
          <w:szCs w:val="24"/>
        </w:rPr>
        <w:t xml:space="preserve"> Customers (“RTSC”)</w:t>
      </w:r>
      <w:bookmarkEnd w:id="16"/>
    </w:p>
    <w:p w:rsidR="004C2F99" w:rsidRPr="00EC4874" w:rsidRDefault="00A72A25" w:rsidP="00BE013F">
      <w:pPr>
        <w:pStyle w:val="Bodypara"/>
      </w:pPr>
      <w:r w:rsidRPr="00EC4874">
        <w:t>Customers who apply for unbundled Transmission Service in accordance with the provisions of a Transmission Owner’s retail access program filed with the PSC or, in the case of LIPA,</w:t>
      </w:r>
      <w:r>
        <w:t xml:space="preserve"> </w:t>
      </w:r>
      <w:r w:rsidRPr="00EC4874">
        <w:t xml:space="preserve">approved by the Long Island Power Authority’s Board of </w:t>
      </w:r>
      <w:r w:rsidRPr="00EC4874">
        <w:t>Trustees, will be responsible for paying a retail transmission service charge as detailed in Section 5 of this Tariff.</w:t>
      </w:r>
    </w:p>
    <w:p w:rsidR="004C2F99" w:rsidRPr="008F5C8B" w:rsidRDefault="00A72A25"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A72A25" w:rsidP="00BE013F">
      <w:pPr>
        <w:pStyle w:val="Bodypara"/>
      </w:pPr>
      <w:r w:rsidRPr="00EC4874">
        <w:t>The NYPA TSC for service to its directly connected Loads (Reynolds Metals, GM-Massena, Town of Ma</w:t>
      </w:r>
      <w:r w:rsidRPr="00EC4874">
        <w:t>ssena and the City of Plattsburgh) shall, at the Eligible Customer’s option, be (a) $1.30 per kilowatt-month or (b) no more than $3.75 per MWh; not to exceed $60.00 per MW Day applied to peak MWh scheduled any hour each day; not to exceed $300.00 per MW-We</w:t>
      </w:r>
      <w:r w:rsidRPr="00EC4874">
        <w:t>ek applied to the peak MWh scheduled any hour each week.  The TSC applicable to service over the Vermont intertie and the Ontario-Hydro intertie shall be the same as (b)</w:t>
      </w:r>
      <w:r w:rsidRPr="00DF5EE5">
        <w:t>; provided, however, that the NYPA TSC shall not apply to service over the Vermont inte</w:t>
      </w:r>
      <w:r w:rsidRPr="00DF5EE5">
        <w:t>rtie provided that the conditions listed in Section 2.7.2.1.4 of this Tariff are satisfied</w:t>
      </w:r>
      <w:r w:rsidRPr="00EC4874">
        <w:t>.  The TSC applicable to service over the Hydro-Quebec intertie shall be no more than $4.62 per MWh; not to exceed $73.85 per MW-Day applied to peak MWh scheduled eac</w:t>
      </w:r>
      <w:r w:rsidRPr="00EC4874">
        <w:t>h day; not to exceed $369.23 per MW-Week applied to the peak MWh scheduled any hour each week.  NYPA shall coordinate with the ISO to update its TSC.  Such updates shall be subject to FERC filings.</w:t>
      </w:r>
    </w:p>
    <w:p w:rsidR="004C2F99" w:rsidRPr="008F5C8B" w:rsidRDefault="00A72A25"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A72A25" w:rsidP="00BE013F">
      <w:pPr>
        <w:pStyle w:val="Bodypara"/>
      </w:pPr>
      <w:r w:rsidRPr="00EC4874">
        <w:t xml:space="preserve">Each Transmission Owner may advise the </w:t>
      </w:r>
      <w:r w:rsidRPr="00EC4874">
        <w:t>ISO of discounts to its TSC applicable during a specified period to all deliveries to a particular Interconnection between the NYCA and another Control Area.  The ISO shall post the discounts on the OASIS for the specified period.</w:t>
      </w:r>
    </w:p>
    <w:p w:rsidR="004C2F99" w:rsidRDefault="00A72A25" w:rsidP="00BE013F">
      <w:pPr>
        <w:pStyle w:val="Bodypara"/>
      </w:pPr>
      <w:r w:rsidRPr="00EC4874">
        <w:t>Three principal requireme</w:t>
      </w:r>
      <w:r w:rsidRPr="00EC4874">
        <w:t>nts apply to discounts for Transmission Service as follows: (1) any offer of a discount made by a Transmission Owner must be announced to all Eligible Customers solely by posting on the OASIS; (2) any customer-initiated requests for discounts (including re</w:t>
      </w:r>
      <w:r w:rsidRPr="00EC4874">
        <w:t>quests for use by a Transmission Owner's wholesale merchant or an Affiliate's use) must occur solely by posting on the OASIS; and (3) once a discount is negotiated, details must be immediately posted on the OASIS.  For any discount that the Transmission Ow</w:t>
      </w:r>
      <w:r w:rsidRPr="00EC4874">
        <w:t>ner agrees to and advises the ISO of, the same discounted Transmission Service rate will be offered to all Transmission Customers for the same period for all deliveries to a particular Interconnection between the NYCA and another Control Area.  The ISO wil</w:t>
      </w:r>
      <w:r w:rsidRPr="00EC4874">
        <w:t>l post the discounts on the OASIS for the specified period.</w:t>
      </w:r>
    </w:p>
    <w:p w:rsidR="004C2F99" w:rsidRPr="008F5C8B" w:rsidRDefault="00A72A25" w:rsidP="00BE013F">
      <w:pPr>
        <w:pStyle w:val="Bodypara"/>
      </w:pPr>
      <w:r w:rsidRPr="008F5C8B">
        <w:t>TABLE 2</w:t>
      </w:r>
    </w:p>
    <w:p w:rsidR="004C2F99" w:rsidRPr="008F5C8B" w:rsidRDefault="00A72A25"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A72A25"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5954A4"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Watercure / Homer </w:t>
            </w:r>
            <w:r w:rsidRPr="009B6789">
              <w:rPr>
                <w:rFonts w:eastAsia="Times New Roman"/>
                <w:sz w:val="16"/>
                <w:szCs w:val="24"/>
              </w:rPr>
              <w:t>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5954A4">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A72A25"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A72A25"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A72A25"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 xml:space="preserve">Applicable Wholesale TSC for Municipal </w:t>
      </w:r>
      <w:r w:rsidRPr="008F5C8B">
        <w:rPr>
          <w:rFonts w:ascii="Times New Roman" w:hAnsi="Times New Roman"/>
          <w:sz w:val="24"/>
          <w:szCs w:val="24"/>
        </w:rPr>
        <w:t>Utilities,</w:t>
      </w:r>
    </w:p>
    <w:p w:rsidR="004C2F99" w:rsidRPr="008F5C8B" w:rsidRDefault="00A72A25"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A72A25" w:rsidP="004C2F99">
      <w:pPr>
        <w:pStyle w:val="Heading9"/>
        <w:spacing w:after="0" w:line="240" w:lineRule="auto"/>
        <w:ind w:firstLine="0"/>
        <w:jc w:val="center"/>
        <w:rPr>
          <w:rFonts w:ascii="Times New Roman" w:hAnsi="Times New Roman"/>
          <w:sz w:val="24"/>
          <w:szCs w:val="24"/>
        </w:rPr>
      </w:pPr>
    </w:p>
    <w:p w:rsidR="004C2F99" w:rsidRPr="00EC4874" w:rsidRDefault="00A72A25" w:rsidP="00BE013F">
      <w:pPr>
        <w:pStyle w:val="Bodypara"/>
      </w:pPr>
      <w:r w:rsidRPr="00EC4874">
        <w:t>Except for those municipal utilities and electric cooperatives that continue to take transmission service</w:t>
      </w:r>
      <w:r>
        <w:t xml:space="preserve"> </w:t>
      </w:r>
      <w:r w:rsidRPr="00EC4874">
        <w:t>under an Existing Transmission Agreement, the following Loads shall be obligated to pay the noted Transmis</w:t>
      </w:r>
      <w:r w:rsidRPr="00EC4874">
        <w:t>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5954A4">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5954A4">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spacing w:after="0" w:line="240" w:lineRule="auto"/>
              <w:rPr>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A72A25"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5954A4">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spacing w:after="0" w:line="240" w:lineRule="auto"/>
              <w:rPr>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spacing w:after="0" w:line="240" w:lineRule="auto"/>
              <w:rPr>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5954A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5954A4">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A72A2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A72A25"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A72A25"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A72A25" w:rsidP="00BE013F">
      <w:pPr>
        <w:pStyle w:val="Bodypara"/>
      </w:pPr>
      <w:r w:rsidRPr="00EC4874">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A72A25"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4C2F99" w:rsidRPr="008F5C8B" w:rsidRDefault="00A72A25" w:rsidP="00BE013F">
      <w:pPr>
        <w:pStyle w:val="Bodypara"/>
      </w:pPr>
      <w:r w:rsidRPr="008F5C8B">
        <w:t>Capitalized terms used in this calculation will have the following definitions:</w:t>
      </w:r>
    </w:p>
    <w:p w:rsidR="004C2F99" w:rsidRPr="008F5C8B" w:rsidRDefault="00A72A25"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A72A25" w:rsidP="00BE013F">
      <w:pPr>
        <w:pStyle w:val="alphapara"/>
      </w:pPr>
      <w:r w:rsidRPr="00046966">
        <w:t>14.1.9.1.1</w:t>
      </w:r>
      <w:r w:rsidRPr="00046966">
        <w:tab/>
        <w:t xml:space="preserve">Electric Wages and Salaries Allocation Factor shall be fixed at 0.835.  </w:t>
      </w:r>
    </w:p>
    <w:p w:rsidR="004C2F99" w:rsidRPr="00046966" w:rsidRDefault="00A72A25" w:rsidP="00BE013F">
      <w:pPr>
        <w:pStyle w:val="alphapara"/>
      </w:pPr>
      <w:r w:rsidRPr="00046966">
        <w:t>14.1.9.1.2</w:t>
      </w:r>
      <w:r w:rsidRPr="00046966">
        <w:tab/>
        <w:t>Gross Transmission Plant Allocation Factor shall equa</w:t>
      </w:r>
      <w:r w:rsidRPr="00046966">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A72A25" w:rsidP="00BE013F">
      <w:pPr>
        <w:pStyle w:val="alphapara"/>
      </w:pPr>
      <w:r w:rsidRPr="00046966">
        <w:t>14.1.9.1.3</w:t>
      </w:r>
      <w:r w:rsidRPr="00046966">
        <w:tab/>
        <w:t xml:space="preserve">Transmission Wages and Salaries </w:t>
      </w:r>
      <w:r w:rsidRPr="00046966">
        <w:t>Allocation Factor shall be fixed at 0.13.</w:t>
      </w:r>
    </w:p>
    <w:p w:rsidR="004C2F99" w:rsidRPr="00046966" w:rsidRDefault="00A72A25" w:rsidP="00BE013F">
      <w:pPr>
        <w:pStyle w:val="alphapara"/>
      </w:pPr>
      <w:r w:rsidRPr="00046966">
        <w:t>14.1.9.1.4</w:t>
      </w:r>
      <w:r w:rsidRPr="00046966">
        <w:tab/>
        <w:t>Gross Electric Plant Allocation Factor shall equal Gross Electric Plant divided by the sum of Total Gas Plant, Total Electric Plant, and total Common Plant.</w:t>
      </w:r>
    </w:p>
    <w:p w:rsidR="004C2F99" w:rsidRPr="008F5C8B" w:rsidRDefault="00A72A25"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A72A25" w:rsidP="00BE013F">
      <w:pPr>
        <w:pStyle w:val="alphapara"/>
      </w:pPr>
      <w:r w:rsidRPr="00046966">
        <w:t>14.1.9.1.5</w:t>
      </w:r>
      <w:r w:rsidRPr="00046966">
        <w:tab/>
        <w:t>Administ</w:t>
      </w:r>
      <w:r w:rsidRPr="00046966">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t>ng Treatment for Pension and Post-Retirement Benefits Other than Pensions.  In addition, Administrative and General Expenses shall exclude the actual Post-Employment Benefits Other than Pensions (“PBOP”) expenses included in FERC Account No. 926, and shall</w:t>
      </w:r>
      <w:r w:rsidRPr="00046966">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A72A25" w:rsidP="00BE013F">
      <w:pPr>
        <w:pStyle w:val="alphapara"/>
      </w:pPr>
      <w:r w:rsidRPr="00046966">
        <w:t>14.1.9.1.6</w:t>
      </w:r>
      <w:r w:rsidRPr="00046966">
        <w:tab/>
        <w:t>Amortization of Invest</w:t>
      </w:r>
      <w:r w:rsidRPr="00046966">
        <w:t>ment Tax Credits shall equal credits as recorded in FERC Account No. 420, per 18 C.F.R. Parts 101 (Electric) and 201 (Gas).</w:t>
      </w:r>
    </w:p>
    <w:p w:rsidR="004C2F99" w:rsidRPr="00046966" w:rsidRDefault="00A72A25" w:rsidP="00BE013F">
      <w:pPr>
        <w:pStyle w:val="alphapara"/>
      </w:pPr>
      <w:r w:rsidRPr="00046966">
        <w:t>14.1.9.1.7</w:t>
      </w:r>
      <w:r w:rsidRPr="00046966">
        <w:tab/>
        <w:t>Amortization of Debt Discount Expense shall equal expenses as recorded in FERC Account No. 428.</w:t>
      </w:r>
    </w:p>
    <w:p w:rsidR="004C2F99" w:rsidRPr="00046966" w:rsidRDefault="00A72A25" w:rsidP="00BE013F">
      <w:pPr>
        <w:pStyle w:val="alphapara"/>
      </w:pPr>
      <w:r w:rsidRPr="00046966">
        <w:t>14.1.9.1.8</w:t>
      </w:r>
      <w:r w:rsidRPr="00046966">
        <w:tab/>
        <w:t>Amortization o</w:t>
      </w:r>
      <w:r w:rsidRPr="00046966">
        <w:t xml:space="preserve">f Loss on Reacquired Debt shall equal expenses as recorded in FERC Account No. 428.1. </w:t>
      </w:r>
    </w:p>
    <w:p w:rsidR="004C2F99" w:rsidRPr="00046966" w:rsidRDefault="00A72A25" w:rsidP="00BE013F">
      <w:pPr>
        <w:pStyle w:val="alphapara"/>
      </w:pPr>
      <w:r w:rsidRPr="00046966">
        <w:t>14.1.9.1.9</w:t>
      </w:r>
      <w:r w:rsidRPr="00046966">
        <w:tab/>
        <w:t>Amortization of Premium on Debt –Credit shall equal the expenses as recorded in FERC Account 429.</w:t>
      </w:r>
    </w:p>
    <w:p w:rsidR="004C2F99" w:rsidRPr="00046966" w:rsidRDefault="00A72A25" w:rsidP="00BE013F">
      <w:pPr>
        <w:pStyle w:val="alphapara"/>
      </w:pPr>
      <w:r w:rsidRPr="00046966">
        <w:t>14.1.9.1.10</w:t>
      </w:r>
      <w:r w:rsidRPr="00046966">
        <w:tab/>
        <w:t xml:space="preserve">Amortization of Gain on Reacquired Debt--Credit </w:t>
      </w:r>
      <w:r w:rsidRPr="00046966">
        <w:t>shall equal the expenses as recorded in FERC Account No. 429.1.</w:t>
      </w:r>
    </w:p>
    <w:p w:rsidR="004C2F99" w:rsidRPr="00046966" w:rsidRDefault="00A72A25" w:rsidP="00BE013F">
      <w:pPr>
        <w:pStyle w:val="alphapara"/>
      </w:pPr>
      <w:r w:rsidRPr="00046966">
        <w:t>14.1.9.1.11</w:t>
      </w:r>
      <w:r w:rsidRPr="00046966">
        <w:tab/>
        <w:t xml:space="preserve">Common Plant shall equal the balance of plant recorded in FERC Account Nos. 389-399.  Common Plant shall be defined as the plant common to NMPC’s gas and electric functions per 18 </w:t>
      </w:r>
      <w:r w:rsidRPr="00046966">
        <w:t>C.F.R. Parts 101 (Electric) and 201 (Gas).</w:t>
      </w:r>
    </w:p>
    <w:p w:rsidR="004C2F99" w:rsidRPr="00046966" w:rsidRDefault="00A72A25" w:rsidP="00BE013F">
      <w:pPr>
        <w:pStyle w:val="alphapara"/>
      </w:pPr>
      <w:r w:rsidRPr="00046966">
        <w:t>14.1.9.1.12</w:t>
      </w:r>
      <w:r w:rsidRPr="00046966">
        <w:tab/>
        <w:t>Common Plant Depreciation Expense shall equal the common plant depreciation expenses as recorded in FERC Account No. 403</w:t>
      </w:r>
      <w:r>
        <w:t>, 404 and 405</w:t>
      </w:r>
      <w:r w:rsidRPr="00046966">
        <w:t xml:space="preserve"> associated with Common Plant per 18 C.F.R. Parts 101 (Electric) and</w:t>
      </w:r>
      <w:r w:rsidRPr="00046966">
        <w:t xml:space="preserve"> 201 (Gas).</w:t>
      </w:r>
    </w:p>
    <w:p w:rsidR="004C2F99" w:rsidRPr="00046966" w:rsidRDefault="00A72A25" w:rsidP="00BE013F">
      <w:pPr>
        <w:pStyle w:val="alphapara"/>
      </w:pPr>
      <w:r w:rsidRPr="00046966">
        <w:t>14.1.9.1.13</w:t>
      </w:r>
      <w:r w:rsidRPr="00046966">
        <w:tab/>
        <w:t>Common Plant Depreciation Reserve shall equal the common plant depreciation reserve balance as recorded in FERC Account No. 108 associated with Common Plant per 18 C.F.R. Parts 101 (Electric) and 201 (Gas).</w:t>
      </w:r>
    </w:p>
    <w:p w:rsidR="004C2F99" w:rsidRPr="00046966" w:rsidRDefault="00A72A25" w:rsidP="00BE013F">
      <w:pPr>
        <w:pStyle w:val="alphapara"/>
      </w:pPr>
      <w:r w:rsidRPr="00046966">
        <w:t>14.1.9.1.14</w:t>
      </w:r>
      <w:r w:rsidRPr="00046966">
        <w:tab/>
        <w:t xml:space="preserve">Depreciation </w:t>
      </w:r>
      <w:r w:rsidRPr="00046966">
        <w:t>Expense for Transmission Plant in Service shall equal depreciation expenses as recorded in FERC Account No. 403</w:t>
      </w:r>
      <w:r>
        <w:t>, 404 and 405</w:t>
      </w:r>
      <w:r w:rsidRPr="00046966">
        <w:t xml:space="preserve"> calculated using the depreciation rates set forth in the following table:</w:t>
      </w:r>
    </w:p>
    <w:p w:rsidR="004C2F99" w:rsidRPr="008F5C8B" w:rsidRDefault="00A72A25"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A72A25"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08</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44</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3.4</w:t>
      </w:r>
      <w:r w:rsidRPr="008F5C8B">
        <w:rPr>
          <w:rFonts w:ascii="Times New Roman" w:eastAsia="Times New Roman" w:hAnsi="Times New Roman" w:cs="Tahoma"/>
          <w:color w:val="000000"/>
          <w:sz w:val="24"/>
          <w:szCs w:val="24"/>
        </w:rPr>
        <w:t>0</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71</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00</w:t>
      </w:r>
    </w:p>
    <w:p w:rsidR="004C2F99" w:rsidRPr="008F5C8B"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0</w:t>
      </w:r>
    </w:p>
    <w:p w:rsidR="004C2F99" w:rsidRPr="009B678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33</w:t>
      </w:r>
    </w:p>
    <w:p w:rsidR="004C2F99" w:rsidRPr="009B678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48</w:t>
      </w:r>
    </w:p>
    <w:p w:rsidR="004C2F99" w:rsidRPr="009B678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ab/>
      </w:r>
      <w:r w:rsidRPr="009B6789">
        <w:rPr>
          <w:rFonts w:ascii="Times New Roman" w:eastAsia="Times New Roman" w:hAnsi="Times New Roman" w:cs="Tahoma"/>
          <w:color w:val="000000"/>
          <w:sz w:val="24"/>
          <w:szCs w:val="24"/>
        </w:rPr>
        <w:t>Meters</w:t>
      </w:r>
      <w:r w:rsidRPr="009B6789">
        <w:rPr>
          <w:rFonts w:ascii="Times New Roman" w:eastAsia="Times New Roman" w:hAnsi="Times New Roman" w:cs="Tahoma"/>
          <w:color w:val="000000"/>
          <w:sz w:val="24"/>
          <w:szCs w:val="24"/>
        </w:rPr>
        <w:tab/>
      </w:r>
    </w:p>
    <w:p w:rsidR="00F72DB0"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ab/>
        <w:t xml:space="preserve">Meters </w:t>
      </w:r>
      <w:r>
        <w:rPr>
          <w:rFonts w:ascii="Times New Roman" w:eastAsia="Times New Roman" w:hAnsi="Times New Roman" w:cs="Tahoma"/>
          <w:color w:val="000000"/>
          <w:sz w:val="24"/>
          <w:szCs w:val="24"/>
        </w:rPr>
        <w:tab/>
      </w:r>
      <w:r w:rsidRPr="009B6789">
        <w:rPr>
          <w:rFonts w:ascii="Times New Roman" w:eastAsia="Times New Roman" w:hAnsi="Times New Roman" w:cs="Tahoma"/>
          <w:color w:val="000000"/>
          <w:sz w:val="24"/>
          <w:szCs w:val="24"/>
        </w:rPr>
        <w:t>5.05</w:t>
      </w:r>
    </w:p>
    <w:p w:rsidR="004C2F9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ab/>
      </w:r>
      <w:r w:rsidRPr="009B6789">
        <w:rPr>
          <w:rFonts w:ascii="Times New Roman" w:eastAsia="Times New Roman" w:hAnsi="Times New Roman" w:cs="Tahoma"/>
          <w:color w:val="000000"/>
          <w:sz w:val="24"/>
          <w:szCs w:val="24"/>
        </w:rPr>
        <w:t>Installation</w:t>
      </w:r>
      <w:r w:rsidRPr="009B6789">
        <w:rPr>
          <w:rFonts w:ascii="Times New Roman" w:eastAsia="Times New Roman" w:hAnsi="Times New Roman" w:cs="Tahoma"/>
          <w:color w:val="000000"/>
          <w:sz w:val="24"/>
          <w:szCs w:val="24"/>
        </w:rPr>
        <w:tab/>
        <w:t>5.05</w:t>
      </w:r>
    </w:p>
    <w:p w:rsidR="004C2F99" w:rsidRPr="009B6789" w:rsidRDefault="00A72A25"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A72A25" w:rsidP="00BE013F">
      <w:pPr>
        <w:pStyle w:val="alphapara"/>
      </w:pPr>
      <w:r w:rsidRPr="00046966">
        <w:t>14.1.9.1.15</w:t>
      </w:r>
      <w:r w:rsidRPr="00046966">
        <w:tab/>
        <w:t>Distribution Plant shall equal the plant balance as recorded in FERC Account Nos. 360 – 374.</w:t>
      </w:r>
    </w:p>
    <w:p w:rsidR="004C2F99" w:rsidRPr="00046966" w:rsidRDefault="00A72A25" w:rsidP="00BE013F">
      <w:pPr>
        <w:pStyle w:val="alphapara"/>
      </w:pPr>
      <w:r w:rsidRPr="00046966">
        <w:t>14.1.9.1.16</w:t>
      </w:r>
      <w:r w:rsidRPr="00046966">
        <w:tab/>
        <w:t>Equity AFUDC Component of Depreciation Expense shall equal the activity recorded in FERC Account No. 419.1.</w:t>
      </w:r>
    </w:p>
    <w:p w:rsidR="004C2F99" w:rsidRPr="00046966" w:rsidRDefault="00A72A25" w:rsidP="00BE013F">
      <w:pPr>
        <w:pStyle w:val="alphapara"/>
      </w:pPr>
      <w:r w:rsidRPr="00046966">
        <w:t>14.1.9.1.17</w:t>
      </w:r>
      <w:r w:rsidRPr="00046966">
        <w:tab/>
        <w:t xml:space="preserve">Electric Environmental Remediation Expense shall be the environmental remediation expense as recorded in </w:t>
      </w:r>
      <w:r>
        <w:t xml:space="preserve">FERC </w:t>
      </w:r>
      <w:r w:rsidRPr="00046966">
        <w:t>Account 930.2.</w:t>
      </w:r>
    </w:p>
    <w:p w:rsidR="004C2F99" w:rsidRPr="00046966" w:rsidRDefault="00A72A25" w:rsidP="00BE013F">
      <w:pPr>
        <w:pStyle w:val="alphapara"/>
      </w:pPr>
      <w:r w:rsidRPr="00046966">
        <w:t>14.1.9.1.18</w:t>
      </w:r>
      <w:r w:rsidRPr="00046966">
        <w:tab/>
        <w:t>Electric General Plant shall equal the plant balance recorded in FERC Account Nos. 389-399.  Electric General Plant shall be defined as the general plant associated with NMPC’s electric function.</w:t>
      </w:r>
    </w:p>
    <w:p w:rsidR="004C2F99" w:rsidRPr="00046966" w:rsidRDefault="00A72A25" w:rsidP="00BE013F">
      <w:pPr>
        <w:pStyle w:val="alphapara"/>
      </w:pPr>
      <w:r w:rsidRPr="00046966">
        <w:t>14.1.9.1.19</w:t>
      </w:r>
      <w:r w:rsidRPr="00046966">
        <w:tab/>
        <w:t>Electric General Plant Depreciation</w:t>
      </w:r>
      <w:r w:rsidRPr="00046966">
        <w:t xml:space="preserve"> Expense shall equal general plant depreciation expenses as recorded in FERC Account No. 403</w:t>
      </w:r>
      <w:r>
        <w:t>, 404 and 405</w:t>
      </w:r>
      <w:r w:rsidRPr="00046966">
        <w:t xml:space="preserve"> associated with Electric General Plant.</w:t>
      </w:r>
    </w:p>
    <w:p w:rsidR="004C2F99" w:rsidRPr="00046966" w:rsidRDefault="00A72A25" w:rsidP="00BE013F">
      <w:pPr>
        <w:pStyle w:val="alphapara"/>
      </w:pPr>
      <w:r w:rsidRPr="00046966">
        <w:t>14.1.9.1.20</w:t>
      </w:r>
      <w:r w:rsidRPr="00046966">
        <w:tab/>
        <w:t>Electric General Plant Depreciation Reserve shall equal the general plant depreciation reserve bal</w:t>
      </w:r>
      <w:r w:rsidRPr="00046966">
        <w:t>ance as recorded in FERC Account No. 108 associated with Electric General Plant.</w:t>
      </w:r>
    </w:p>
    <w:p w:rsidR="004C2F99" w:rsidRPr="00046966" w:rsidRDefault="00A72A25" w:rsidP="00BE013F">
      <w:pPr>
        <w:pStyle w:val="alphapara"/>
      </w:pPr>
      <w:r w:rsidRPr="00046966">
        <w:t>14.1.9.1.21</w:t>
      </w:r>
      <w:r w:rsidRPr="00046966">
        <w:tab/>
        <w:t>Electric Property Insurance shall equal property insurance recorded in FERC Account No. 924.</w:t>
      </w:r>
    </w:p>
    <w:p w:rsidR="004C2F99" w:rsidRPr="00046966" w:rsidRDefault="00A72A25" w:rsidP="00BE013F">
      <w:pPr>
        <w:pStyle w:val="alphapara"/>
      </w:pPr>
      <w:r w:rsidRPr="00046966">
        <w:t>14.1.9.1.22</w:t>
      </w:r>
      <w:r w:rsidRPr="00046966">
        <w:tab/>
        <w:t>Electric Research and Development Expense shall equal rese</w:t>
      </w:r>
      <w:r w:rsidRPr="00046966">
        <w:t xml:space="preserve">arch and development expenses as recorded in </w:t>
      </w:r>
      <w:r>
        <w:t xml:space="preserve">FERC </w:t>
      </w:r>
      <w:r w:rsidRPr="00046966">
        <w:t>Account No. 930.2.</w:t>
      </w:r>
    </w:p>
    <w:p w:rsidR="004C2F99" w:rsidRPr="00046966" w:rsidRDefault="00A72A25" w:rsidP="00BE013F">
      <w:pPr>
        <w:pStyle w:val="alphapara"/>
      </w:pPr>
      <w:r w:rsidRPr="00046966">
        <w:t>14.1.9.1.23</w:t>
      </w:r>
      <w:r w:rsidRPr="00046966">
        <w:tab/>
        <w:t xml:space="preserve">Gain on Reacquired Debt shall equal the balance as recorded in FERC Account No. 257. </w:t>
      </w:r>
    </w:p>
    <w:p w:rsidR="004C2F99" w:rsidRPr="00046966" w:rsidRDefault="00A72A25" w:rsidP="00BE013F">
      <w:pPr>
        <w:pStyle w:val="alphapara"/>
      </w:pPr>
      <w:r w:rsidRPr="00046966">
        <w:t>14.1.9.1.24</w:t>
      </w:r>
      <w:r w:rsidRPr="00046966">
        <w:tab/>
        <w:t xml:space="preserve">Gross Electric Plant shall equal Total Electric Plant plus an allocation of </w:t>
      </w:r>
      <w:r w:rsidRPr="00046966">
        <w:t>Common Plant determined by multiplying Common Plant by the Electric Wages and Salaries Allocation Factor.</w:t>
      </w:r>
    </w:p>
    <w:p w:rsidR="004C2F99" w:rsidRPr="00046966" w:rsidRDefault="00A72A25" w:rsidP="00BE013F">
      <w:pPr>
        <w:pStyle w:val="alphapara"/>
      </w:pPr>
      <w:r w:rsidRPr="00046966">
        <w:t>14.1.9.1.25</w:t>
      </w:r>
      <w:r w:rsidRPr="00046966">
        <w:tab/>
        <w:t xml:space="preserve">Gross Plant (Gas &amp; Electric) shall equal Total Gas Plant plus Total Electric Plant plus Total Common Plant.  </w:t>
      </w:r>
    </w:p>
    <w:p w:rsidR="004C2F99" w:rsidRPr="00046966" w:rsidRDefault="00A72A25" w:rsidP="00BE013F">
      <w:pPr>
        <w:pStyle w:val="alphapara"/>
      </w:pPr>
      <w:r w:rsidRPr="00046966">
        <w:t>14.1.9.1.26</w:t>
      </w:r>
      <w:r w:rsidRPr="00046966">
        <w:tab/>
        <w:t>Gross Transmissi</w:t>
      </w:r>
      <w:r w:rsidRPr="00046966">
        <w:t>on Investment shall equal the total of Transmission Plant in Service, Transmission Related Electric General Plant, Transmission Related Common Plant and Transmission Related Intangible Plant.</w:t>
      </w:r>
    </w:p>
    <w:p w:rsidR="004C2F99" w:rsidRPr="00046966" w:rsidRDefault="00A72A25" w:rsidP="00BE013F">
      <w:pPr>
        <w:pStyle w:val="alphapara"/>
      </w:pPr>
      <w:r w:rsidRPr="00046966">
        <w:t>14.1.9.1.27</w:t>
      </w:r>
      <w:r w:rsidRPr="00046966">
        <w:tab/>
        <w:t>Intangible Electric Plant shall equal the balance of</w:t>
      </w:r>
      <w:r w:rsidRPr="00046966">
        <w:t xml:space="preserve"> plant recorded in FERC Account Nos. 301-303.  Intangible Electric Plant shall be defined as the intangible plant associated with NMPC’s electric functions.</w:t>
      </w:r>
    </w:p>
    <w:p w:rsidR="004C2F99" w:rsidRPr="00046966" w:rsidRDefault="00A72A25" w:rsidP="00BE013F">
      <w:pPr>
        <w:pStyle w:val="alphapara"/>
      </w:pPr>
      <w:r w:rsidRPr="00046966">
        <w:t>14.1.9.1.28</w:t>
      </w:r>
      <w:r w:rsidRPr="00046966">
        <w:tab/>
        <w:t>Intangible Electric Plant Depreciation Expense shall equal the intangible electric plan</w:t>
      </w:r>
      <w:r w:rsidRPr="00046966">
        <w:t>t depreciation expenses as recorded in FERC Account No. 40</w:t>
      </w:r>
      <w:r>
        <w:t>3, 404 and 405</w:t>
      </w:r>
      <w:r w:rsidRPr="00046966">
        <w:t xml:space="preserve"> associated with Intangible Electric Plant.</w:t>
      </w:r>
    </w:p>
    <w:p w:rsidR="004C2F99" w:rsidRPr="00046966" w:rsidRDefault="00A72A25" w:rsidP="00BE013F">
      <w:pPr>
        <w:pStyle w:val="alphapara"/>
      </w:pPr>
      <w:r w:rsidRPr="00046966">
        <w:t>14.1.9.1.29</w:t>
      </w:r>
      <w:r w:rsidRPr="00046966">
        <w:tab/>
        <w:t>Intangible Electric Plant Depreciation Reserve shall equal the intangible plant depreciation reserve balance as recorded in FERC</w:t>
      </w:r>
      <w:r w:rsidRPr="00046966">
        <w:t xml:space="preserve"> Account No. 108 associated with</w:t>
      </w:r>
      <w:r>
        <w:rPr>
          <w:rFonts w:cs="Tahoma"/>
          <w:color w:val="000000"/>
        </w:rPr>
        <w:t xml:space="preserve"> </w:t>
      </w:r>
      <w:r w:rsidRPr="00046966">
        <w:t>Intangible Electric Plant.</w:t>
      </w:r>
    </w:p>
    <w:p w:rsidR="004C2F99" w:rsidRPr="00046966" w:rsidRDefault="00A72A25" w:rsidP="00BE013F">
      <w:pPr>
        <w:pStyle w:val="alphapara"/>
      </w:pPr>
      <w:r w:rsidRPr="00046966">
        <w:t>14.1.9.1.30</w:t>
      </w:r>
      <w:r w:rsidRPr="00046966">
        <w:tab/>
        <w:t>Loss on Reacquired Debt shall equal the loss on reacquired debt as recorded in FERC Account No. 189.</w:t>
      </w:r>
    </w:p>
    <w:p w:rsidR="004C2F99" w:rsidRPr="00046966" w:rsidRDefault="00A72A25" w:rsidP="00BE013F">
      <w:pPr>
        <w:pStyle w:val="alphapara"/>
      </w:pPr>
      <w:r w:rsidRPr="00046966">
        <w:t>14.1.9.1.31</w:t>
      </w:r>
      <w:r w:rsidRPr="00046966">
        <w:tab/>
        <w:t>Materials and Supplies shall equal materials and supplies balance as re</w:t>
      </w:r>
      <w:r w:rsidRPr="00046966">
        <w:t>corded in FERC Account No. 154 per 18 C.F.R. Parts 101 (Electric) and 201 (Gas).</w:t>
      </w:r>
    </w:p>
    <w:p w:rsidR="004C2F99" w:rsidRPr="00046966" w:rsidRDefault="00A72A25" w:rsidP="00BE013F">
      <w:pPr>
        <w:pStyle w:val="alphapara"/>
      </w:pPr>
      <w:r w:rsidRPr="00046966">
        <w:t>14.1.9.1.32</w:t>
      </w:r>
      <w:r w:rsidRPr="00046966">
        <w:tab/>
        <w:t xml:space="preserve">Payroll Taxes shall equal the electric payroll tax expenses related to FICA and federal and state unemployment as recorded in </w:t>
      </w:r>
      <w:r>
        <w:t>FERC Account 408.1.</w:t>
      </w:r>
    </w:p>
    <w:p w:rsidR="004C2F99" w:rsidRPr="00046966" w:rsidRDefault="00A72A25" w:rsidP="00BE013F">
      <w:pPr>
        <w:pStyle w:val="alphapara"/>
      </w:pPr>
      <w:r w:rsidRPr="00046966">
        <w:t>14.1.9.1.33</w:t>
      </w:r>
      <w:r w:rsidRPr="00046966">
        <w:tab/>
        <w:t>Plant</w:t>
      </w:r>
      <w:r w:rsidRPr="00046966">
        <w:t xml:space="preserve"> Held for Future Use shall equal the balance as recorded in FERC Account No. 105 for transmission uses within 5 years.</w:t>
      </w:r>
    </w:p>
    <w:p w:rsidR="004C2F99" w:rsidRPr="00046966" w:rsidRDefault="00A72A25" w:rsidP="00BE013F">
      <w:pPr>
        <w:pStyle w:val="alphapara"/>
      </w:pPr>
      <w:r w:rsidRPr="00046966">
        <w:t>14.1.9.1.34</w:t>
      </w:r>
      <w:r w:rsidRPr="00046966">
        <w:tab/>
        <w:t>Prepayments shall equal prepayment balance as recorded in FERC Account No. 165 per 18 C.F.R. Parts 101 (Electric) and 201 (Ga</w:t>
      </w:r>
      <w:r w:rsidRPr="00046966">
        <w:t>s) less prepaid state and Federal income taxes.</w:t>
      </w:r>
    </w:p>
    <w:p w:rsidR="004C2F99" w:rsidRPr="00046966" w:rsidRDefault="00A72A25" w:rsidP="00BE013F">
      <w:pPr>
        <w:pStyle w:val="alphapara"/>
      </w:pPr>
      <w:r w:rsidRPr="00046966">
        <w:t>14.1.9.1.35</w:t>
      </w:r>
      <w:r w:rsidRPr="00046966">
        <w:tab/>
        <w:t xml:space="preserve">Real Estate Tax Expenses shall equal electric real estate tax expense as recorded in </w:t>
      </w:r>
      <w:r>
        <w:t>FERC Account 408.1.</w:t>
      </w:r>
    </w:p>
    <w:p w:rsidR="004C2F99" w:rsidRPr="00046966" w:rsidRDefault="00A72A25" w:rsidP="00BE013F">
      <w:pPr>
        <w:pStyle w:val="alphapara"/>
      </w:pPr>
      <w:r w:rsidRPr="00046966">
        <w:t>14.1.9.1.36</w:t>
      </w:r>
      <w:r w:rsidRPr="00046966">
        <w:tab/>
        <w:t>Regulatory Assets and Liabilities shall equal state and federal regulatory asse</w:t>
      </w:r>
      <w:r w:rsidRPr="00046966">
        <w:t>t balances in FERC Account Nos. 182.3 and 254, assets and liabilities solely related to FAS109, and excess AFUDC.</w:t>
      </w:r>
    </w:p>
    <w:p w:rsidR="004C2F99" w:rsidRPr="00046966" w:rsidRDefault="00A72A25" w:rsidP="00BE013F">
      <w:pPr>
        <w:pStyle w:val="alphapara"/>
      </w:pPr>
      <w:r w:rsidRPr="00046966">
        <w:t>14.1.9.1.37</w:t>
      </w:r>
      <w:r w:rsidRPr="00046966">
        <w:tab/>
        <w:t xml:space="preserve">Total Accumulated Deferred Income Taxes shall equal the sum of deferred tax balances recorded in FERC Account Nos. 281 - 283 plus </w:t>
      </w:r>
      <w:r w:rsidRPr="00046966">
        <w:t>accumulated deferred investment tax credits as reflected in FERC Account No. 255, minus the deferred tax balance in FERC Account No. 190.  Total Accumulated Deferred Income Taxes shall exclude the specifically identified generation-related stranded cost de</w:t>
      </w:r>
      <w:r w:rsidRPr="00046966">
        <w:t xml:space="preserve">ferred taxes. </w:t>
      </w:r>
    </w:p>
    <w:p w:rsidR="004C2F99" w:rsidRPr="00046966" w:rsidRDefault="00A72A25" w:rsidP="00BE013F">
      <w:pPr>
        <w:pStyle w:val="alphapara"/>
      </w:pPr>
      <w:r w:rsidRPr="00046966">
        <w:t>14.1.9.1.38</w:t>
      </w:r>
      <w:r w:rsidRPr="00046966">
        <w:tab/>
        <w:t>Total Electric Plant shall equal the sum of Transmission Plant, Distribution Plant, Electric General Plant and Intangible Electric Plant.</w:t>
      </w:r>
    </w:p>
    <w:p w:rsidR="004C2F99" w:rsidRPr="00046966" w:rsidRDefault="00A72A25" w:rsidP="00BE013F">
      <w:pPr>
        <w:pStyle w:val="alphapara"/>
      </w:pPr>
      <w:r w:rsidRPr="00046966">
        <w:t>14.1.9.1.39</w:t>
      </w:r>
      <w:r w:rsidRPr="00046966">
        <w:tab/>
        <w:t>Total Gas Plant shall equal the plant balance recorded in 18 C.F.R. Part 201, F</w:t>
      </w:r>
      <w:r w:rsidRPr="00046966">
        <w:t>ERC Account Nos. 301-399.  Total Gas Plant shall exclude Common Plant.</w:t>
      </w:r>
    </w:p>
    <w:p w:rsidR="004C2F99" w:rsidRPr="00046966" w:rsidRDefault="00A72A25" w:rsidP="00BE013F">
      <w:pPr>
        <w:pStyle w:val="alphapara"/>
      </w:pPr>
      <w:r w:rsidRPr="00046966">
        <w:t>14.1.9.1.40</w:t>
      </w:r>
      <w:r w:rsidRPr="00046966">
        <w:tab/>
        <w:t>Transmission Depreciation Reserve shall equal electric transmission plant related depreciation reserve balance as recorded in FERC Account No. 108, plus Transmission Related</w:t>
      </w:r>
      <w:r w:rsidRPr="00046966">
        <w:t xml:space="preserve"> General Plant Accumulated Depreciation, Transmission Related Amortization of Other Utility Plant, and Common Plant Accumulated Depreciation associated with Gross Electric Plant.</w:t>
      </w:r>
    </w:p>
    <w:p w:rsidR="004C2F99" w:rsidRPr="00046966" w:rsidRDefault="00A72A25" w:rsidP="00BE013F">
      <w:pPr>
        <w:pStyle w:val="alphapara"/>
      </w:pPr>
      <w:r w:rsidRPr="00046966">
        <w:t>14.1.9.1.41</w:t>
      </w:r>
      <w:r w:rsidRPr="00046966">
        <w:tab/>
        <w:t>Transmission Operation and Maintenance Expense shall equal the su</w:t>
      </w:r>
      <w:r w:rsidRPr="00046966">
        <w:t>m of electric expenses as recorded in FERC Account Nos. 560</w:t>
      </w:r>
      <w:r>
        <w:t xml:space="preserve"> and</w:t>
      </w:r>
      <w:r w:rsidRPr="00046966">
        <w:t xml:space="preserve"> 562-574</w:t>
      </w:r>
      <w:r>
        <w:t xml:space="preserve"> which shall include Transmission Support Payments, but shall exclude </w:t>
      </w:r>
      <w:r w:rsidRPr="00175663">
        <w:t>expenses incurred pursuant to agreements entered into with generators or other similar resources for the purpose of</w:t>
      </w:r>
      <w:r w:rsidRPr="00175663">
        <w:t xml:space="preserve"> supporting transmission reliability</w:t>
      </w:r>
      <w:r>
        <w:t xml:space="preserve"> that do not qualify a</w:t>
      </w:r>
      <w:r>
        <w:t>s Transmission Support Payments</w:t>
      </w:r>
      <w:r w:rsidRPr="00046966">
        <w:t>.</w:t>
      </w:r>
    </w:p>
    <w:p w:rsidR="004C2F99" w:rsidRPr="00046966" w:rsidRDefault="00A72A25" w:rsidP="00BE013F">
      <w:pPr>
        <w:pStyle w:val="alphapara"/>
      </w:pPr>
      <w:r w:rsidRPr="00046966">
        <w:t>14.1.9.1.42</w:t>
      </w:r>
      <w:r w:rsidRPr="00046966">
        <w:tab/>
        <w:t>Transmission Plant shall equal the gross plant balance as recorded in FERC Account Nos. 350-359.</w:t>
      </w:r>
    </w:p>
    <w:p w:rsidR="004C2F99" w:rsidRPr="00046966" w:rsidRDefault="00A72A25" w:rsidP="00BE013F">
      <w:pPr>
        <w:pStyle w:val="alphapara"/>
      </w:pPr>
      <w:r w:rsidRPr="00046966">
        <w:t>14.1.9.1.43</w:t>
      </w:r>
      <w:r w:rsidRPr="00046966">
        <w:tab/>
        <w:t xml:space="preserve">Transmission Related Bad Debt Expense shall </w:t>
      </w:r>
      <w:r w:rsidRPr="00046966">
        <w:t xml:space="preserve">equal Bad Debt Expense as reported in </w:t>
      </w:r>
      <w:r>
        <w:t xml:space="preserve">FERC </w:t>
      </w:r>
      <w:r w:rsidRPr="00046966">
        <w:t>Account 904 related to NMPC’s wholesale transmission billing.</w:t>
      </w:r>
    </w:p>
    <w:p w:rsidR="004C2F99" w:rsidRPr="00046966" w:rsidRDefault="00A72A25" w:rsidP="00BE013F">
      <w:pPr>
        <w:pStyle w:val="alphapara"/>
      </w:pPr>
      <w:r w:rsidRPr="00046966">
        <w:t>14.1.9.1.44</w:t>
      </w:r>
      <w:r w:rsidRPr="00046966">
        <w:tab/>
        <w:t>Unamortized Discount on Long-Term Debt shall equal the balance in FERC Account No. 226.</w:t>
      </w:r>
    </w:p>
    <w:p w:rsidR="004C2F99" w:rsidRPr="00046966" w:rsidRDefault="00A72A25" w:rsidP="00BE013F">
      <w:pPr>
        <w:pStyle w:val="alphapara"/>
      </w:pPr>
      <w:r w:rsidRPr="00046966">
        <w:t>14.1.9.1.45</w:t>
      </w:r>
      <w:r w:rsidRPr="00046966">
        <w:tab/>
        <w:t>Wholesale Metering Investment shall equ</w:t>
      </w:r>
      <w:r w:rsidRPr="00046966">
        <w:t>al the gross plant investment associated with any Revenue or Remote Terminal Unit (“RTU”) meters and associated equipment connected to an internal or external tie at voltages equal to or greater than 23 kV.  The gross plant investment shall be determined b</w:t>
      </w:r>
      <w:r w:rsidRPr="00046966">
        <w:t>y multiplying the number of such existing wholesale meters recorded in FERC Account No. 370.3 and in blanket metering accounts by the average cost of the meters plus the average costs of installation.  To the extent future gross plant investment for Wholes</w:t>
      </w:r>
      <w:r w:rsidRPr="00046966">
        <w:t xml:space="preserve">ale Metering can be specifically identified, actual gross meter costs will be used. </w:t>
      </w:r>
    </w:p>
    <w:p w:rsidR="004C2F99" w:rsidRPr="008F5C8B" w:rsidRDefault="00A72A25"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A72A25" w:rsidP="00BE013F">
      <w:pPr>
        <w:pStyle w:val="alphapara"/>
      </w:pPr>
      <w:r w:rsidRPr="00EC4874">
        <w:t>14.1.9.1.46</w:t>
      </w:r>
      <w:r w:rsidRPr="00EC4874">
        <w:tab/>
        <w:t xml:space="preserve">Forecast Period shall mean the calendar year immediately following the calendar year for which the most recent FERC Form 1 </w:t>
      </w:r>
      <w:r w:rsidRPr="00EC4874">
        <w:t>data is available, as of the beginning of the Update Year.</w:t>
      </w:r>
    </w:p>
    <w:p w:rsidR="004C2F99" w:rsidRPr="00EC4874" w:rsidRDefault="00A72A25" w:rsidP="00BE013F">
      <w:pPr>
        <w:pStyle w:val="alphapara"/>
      </w:pPr>
      <w:r w:rsidRPr="00EC4874">
        <w:t>14.1.9.1.47</w:t>
      </w:r>
      <w:r w:rsidRPr="00EC4874">
        <w:tab/>
        <w:t xml:space="preserve">Forecasted Transmission Plant Additions (“FTPA”) shall mean the sum of: </w:t>
      </w:r>
    </w:p>
    <w:p w:rsidR="004C2F99" w:rsidRPr="00EC4874" w:rsidRDefault="00A72A25" w:rsidP="00BE013F">
      <w:pPr>
        <w:pStyle w:val="alphapara"/>
      </w:pPr>
      <w:r w:rsidRPr="00EC4874">
        <w:t>14.1.9.1.47.1</w:t>
      </w:r>
      <w:r w:rsidRPr="00EC4874">
        <w:tab/>
        <w:t>NMPC’s actual Transmission Plant additions during the first quarter (January 1 through March 31) o</w:t>
      </w:r>
      <w:r w:rsidRPr="00EC4874">
        <w:t xml:space="preserve">f the Forecast Period; and </w:t>
      </w:r>
    </w:p>
    <w:p w:rsidR="004C2F99" w:rsidRPr="00EC4874" w:rsidRDefault="00A72A25" w:rsidP="00BE013F">
      <w:pPr>
        <w:pStyle w:val="alphapara"/>
      </w:pPr>
      <w:r w:rsidRPr="00EC4874">
        <w:t>14.1.9.1.47.2</w:t>
      </w:r>
      <w:r w:rsidRPr="00EC4874">
        <w:tab/>
        <w:t>NMPC’s forecasted transmission investment for the Forecast Period less the amount (i), divided by 2.</w:t>
      </w:r>
    </w:p>
    <w:p w:rsidR="004C2F99" w:rsidRPr="00EC4874" w:rsidRDefault="00A72A25" w:rsidP="00BE013F">
      <w:pPr>
        <w:pStyle w:val="alphapara"/>
      </w:pPr>
      <w:r w:rsidRPr="00EC4874">
        <w:t>14.1.9.1.48</w:t>
      </w:r>
      <w:r w:rsidRPr="00EC4874">
        <w:tab/>
        <w:t>Interest on refunds, surcharges, or adjustments, as applicable, shall mean interest calculated in acc</w:t>
      </w:r>
      <w:r w:rsidRPr="00EC4874">
        <w:t>ordance with the methodology specified in the Commission’s regulations at 18 C.F.R. § 35.19a (a) (2) (iii) (or as such provision may be renumbered in the future).</w:t>
      </w:r>
    </w:p>
    <w:p w:rsidR="004C2F99" w:rsidRPr="00EC4874" w:rsidRDefault="00A72A25" w:rsidP="00BE013F">
      <w:pPr>
        <w:pStyle w:val="alphapara"/>
      </w:pPr>
      <w:r w:rsidRPr="00EC4874">
        <w:t>14.1.9.1.49</w:t>
      </w:r>
      <w:r w:rsidRPr="00EC4874">
        <w:tab/>
      </w:r>
      <w:r w:rsidRPr="00EC4874">
        <w:t xml:space="preserve">Actual Transmission Revenue Requirement shall mean the current Historical Transmission Revenue Requirement (as defined in Attachment 1). </w:t>
      </w:r>
    </w:p>
    <w:p w:rsidR="004C2F99" w:rsidRPr="00EC4874" w:rsidRDefault="00A72A25" w:rsidP="00BE013F">
      <w:pPr>
        <w:pStyle w:val="alphapara"/>
      </w:pPr>
      <w:r w:rsidRPr="00EC4874">
        <w:t>14.1.9.1.50</w:t>
      </w:r>
      <w:r w:rsidRPr="00EC4874">
        <w:tab/>
        <w:t>Actual Scheduling, System Control and Dispatch cost shall mean the most recently established CCC (as defin</w:t>
      </w:r>
      <w:r w:rsidRPr="00EC4874">
        <w:t>ed in Attachment 1).</w:t>
      </w:r>
    </w:p>
    <w:p w:rsidR="004C2F99" w:rsidRPr="00EC4874" w:rsidRDefault="00A72A25" w:rsidP="00BE013F">
      <w:pPr>
        <w:pStyle w:val="alphapara"/>
      </w:pPr>
      <w:r w:rsidRPr="00EC4874">
        <w:t>14.1.9.1.51</w:t>
      </w:r>
      <w:r w:rsidRPr="00EC4874">
        <w:tab/>
        <w:t>Actual Billing Units shall mean the most recently established BU (as defined in Attachment 1).</w:t>
      </w:r>
    </w:p>
    <w:p w:rsidR="004C2F99" w:rsidRPr="00EC4874" w:rsidRDefault="00A72A25" w:rsidP="00BE013F">
      <w:pPr>
        <w:pStyle w:val="alphapara"/>
      </w:pPr>
      <w:r w:rsidRPr="00EC4874">
        <w:t>14.1.9.1.52</w:t>
      </w:r>
      <w:r w:rsidRPr="00EC4874">
        <w:tab/>
        <w:t xml:space="preserve">Prior Year Transmission Revenue Requirement shall equal RR less Annual True-Up (“ATU”), as defined in Attachment 1, </w:t>
      </w:r>
      <w:r w:rsidRPr="00EC4874">
        <w:t xml:space="preserve">for the most recently ended calendar year as of the beginning of the Update Year.  </w:t>
      </w:r>
    </w:p>
    <w:p w:rsidR="004C2F99" w:rsidRPr="00EC4874" w:rsidRDefault="00A72A25" w:rsidP="00BE013F">
      <w:pPr>
        <w:pStyle w:val="alphapara"/>
      </w:pPr>
      <w:r w:rsidRPr="00EC4874">
        <w:t>14.1.9.1.53</w:t>
      </w:r>
      <w:r w:rsidRPr="00EC4874">
        <w:tab/>
        <w:t>Prior Year Scheduling, System Control and Dispatch shall equal the CCC, as defined in Attachment 1, for the prior calendar year.</w:t>
      </w:r>
    </w:p>
    <w:p w:rsidR="004C2F99" w:rsidRPr="00EC4874" w:rsidRDefault="00A72A25" w:rsidP="00BE013F">
      <w:pPr>
        <w:pStyle w:val="alphapara"/>
      </w:pPr>
      <w:r w:rsidRPr="00EC4874">
        <w:t>14.1.9.1.54</w:t>
      </w:r>
      <w:r w:rsidRPr="00EC4874">
        <w:tab/>
        <w:t xml:space="preserve">Prior Year Billing </w:t>
      </w:r>
      <w:r w:rsidRPr="00EC4874">
        <w:t>Units shall equal the BU, as defined in Attachment 1, for the prior calendar year.</w:t>
      </w:r>
    </w:p>
    <w:p w:rsidR="004C2F99" w:rsidRPr="00EC4874" w:rsidRDefault="00A72A25" w:rsidP="00BE013F">
      <w:pPr>
        <w:pStyle w:val="alphapara"/>
      </w:pPr>
      <w:r w:rsidRPr="00EC4874">
        <w:t>14.1.9.1.55</w:t>
      </w:r>
      <w:r w:rsidRPr="00EC4874">
        <w:tab/>
        <w:t>Prior Year Unit Rate shall equal the sum of RR, as defined in Attachment 1, for the most recently ended Prior Year Revenue Requirement and the Prior Year Schedul</w:t>
      </w:r>
      <w:r w:rsidRPr="00EC4874">
        <w:t>ing, System Control and Dispatch divided by the Prior Year Billing Units.</w:t>
      </w:r>
    </w:p>
    <w:p w:rsidR="004C2F99" w:rsidRPr="00EC4874" w:rsidRDefault="00A72A25" w:rsidP="00BE013F">
      <w:pPr>
        <w:pStyle w:val="alphapara"/>
      </w:pPr>
      <w:r w:rsidRPr="00EC4874">
        <w:t>14.1.9.1.56</w:t>
      </w:r>
      <w:r w:rsidRPr="00EC4874">
        <w:tab/>
        <w:t>Annual Update shall mean the calculation of the RR, CCC, and BU components with Data Inputs for an Update Year in accordance with Section 14.1.9.4.</w:t>
      </w:r>
    </w:p>
    <w:p w:rsidR="004C2F99" w:rsidRPr="00EC4874" w:rsidRDefault="00A72A25" w:rsidP="00BE013F">
      <w:pPr>
        <w:pStyle w:val="alphapara"/>
      </w:pPr>
      <w:r w:rsidRPr="00EC4874">
        <w:t>14.1.9.1.57</w:t>
      </w:r>
      <w:r w:rsidRPr="00EC4874">
        <w:tab/>
        <w:t>Data Input</w:t>
      </w:r>
      <w:r w:rsidRPr="00EC4874">
        <w:t xml:space="preserve"> shall mean any data required for the calculation of RR, CCC and BU, in accordance with the Formula Rate.</w:t>
      </w:r>
    </w:p>
    <w:p w:rsidR="004C2F99" w:rsidRPr="00EC4874" w:rsidRDefault="00A72A25" w:rsidP="00BE013F">
      <w:pPr>
        <w:pStyle w:val="alphapara"/>
      </w:pPr>
      <w:r w:rsidRPr="00EC4874">
        <w:t>14.1.9.1.58</w:t>
      </w:r>
      <w:r w:rsidRPr="00EC4874">
        <w:tab/>
        <w:t>Formal Challenge shall mean a challenge presented in accordance with Section 14.1.9.4.3.2.</w:t>
      </w:r>
    </w:p>
    <w:p w:rsidR="004C2F99" w:rsidRPr="00EC4874" w:rsidRDefault="00A72A25" w:rsidP="00BE013F">
      <w:pPr>
        <w:pStyle w:val="alphapara"/>
      </w:pPr>
      <w:r w:rsidRPr="00EC4874">
        <w:t>14.1.9.1.59</w:t>
      </w:r>
      <w:r w:rsidRPr="00EC4874">
        <w:tab/>
        <w:t>Informational Filing shall mean the</w:t>
      </w:r>
      <w:r w:rsidRPr="00EC4874">
        <w:t xml:space="preserve"> filing that NMPC makes in accordance with Section 14.1.9.4 to establish the Annual Update for an Update Year.</w:t>
      </w:r>
    </w:p>
    <w:p w:rsidR="004C2F99" w:rsidRPr="00EC4874" w:rsidRDefault="00A72A25" w:rsidP="00BE013F">
      <w:pPr>
        <w:pStyle w:val="alphapara"/>
      </w:pPr>
      <w:r w:rsidRPr="00EC4874">
        <w:t>14.1.9.1.60</w:t>
      </w:r>
      <w:r w:rsidRPr="00EC4874">
        <w:tab/>
        <w:t>Interested Party shall mean a person that is (i) a party to FERC Docket No. ER08-552, (ii) the New York State Public Service Commissi</w:t>
      </w:r>
      <w:r w:rsidRPr="00EC4874">
        <w:t xml:space="preserve">on; (iii) a transmission customer under this Tariff that pays charges based on the Formula Rate during the calendar year prior to the submission of the Informational Filing; or (iv) a state regulatory authority having jurisdiction over the retail electric </w:t>
      </w:r>
      <w:r w:rsidRPr="00EC4874">
        <w:t>rates of such a transmission customer, provided that such regulatory authority or such customer notifies NMPC of that fact no later than 30 days prior to the Publication Date.  An Interested Person includes employees of or consultants to such person.</w:t>
      </w:r>
    </w:p>
    <w:p w:rsidR="004C2F99" w:rsidRPr="00EC4874" w:rsidRDefault="00A72A25" w:rsidP="00BE013F">
      <w:pPr>
        <w:pStyle w:val="alphapara"/>
      </w:pPr>
      <w:r w:rsidRPr="00EC4874">
        <w:t>14.1.</w:t>
      </w:r>
      <w:r w:rsidRPr="00EC4874">
        <w:t>9.1.61</w:t>
      </w:r>
      <w:r w:rsidRPr="00EC4874">
        <w:tab/>
        <w:t>Material Accounting Change shall mean an accounting policy or practice, including, but not limited to, a policy or practice affecting the allocation of costs or revenues, employed by NMPC during an Update Year that differs from the corresponding pol</w:t>
      </w:r>
      <w:r w:rsidRPr="00EC4874">
        <w:t xml:space="preserve">icy or practice in effect during any of the three previous calendar years which change affects any Data Input for the Update Year by $1.0 million or more, as compared to the previous calendar year.  </w:t>
      </w:r>
    </w:p>
    <w:p w:rsidR="004C2F99" w:rsidRPr="00EC4874" w:rsidRDefault="00A72A25" w:rsidP="00BE013F">
      <w:pPr>
        <w:pStyle w:val="alphapara"/>
      </w:pPr>
      <w:r w:rsidRPr="00EC4874">
        <w:t>14.1.9.1.62</w:t>
      </w:r>
      <w:r w:rsidRPr="00EC4874">
        <w:tab/>
        <w:t>Preliminary Challenge shall mean a challenge</w:t>
      </w:r>
      <w:r w:rsidRPr="00EC4874">
        <w:t xml:space="preserve"> presented by an Interested Party in accordance with Section 14.1.9.4.2.1.</w:t>
      </w:r>
    </w:p>
    <w:p w:rsidR="004C2F99" w:rsidRPr="00EC4874" w:rsidRDefault="00A72A25" w:rsidP="00BE013F">
      <w:pPr>
        <w:pStyle w:val="alphapara"/>
      </w:pPr>
      <w:r w:rsidRPr="00EC4874">
        <w:t>14.1.9.1.63</w:t>
      </w:r>
      <w:r w:rsidRPr="00EC4874">
        <w:tab/>
        <w:t>Publication Date shall be the date of an Informational Filing for an Update Year.</w:t>
      </w:r>
    </w:p>
    <w:p w:rsidR="004C2F99" w:rsidRPr="00EC4874" w:rsidRDefault="00A72A25" w:rsidP="00BE013F">
      <w:pPr>
        <w:pStyle w:val="alphapara"/>
      </w:pPr>
      <w:r w:rsidRPr="00EC4874">
        <w:t>14.1.9.1.64</w:t>
      </w:r>
      <w:r w:rsidRPr="00EC4874">
        <w:tab/>
        <w:t>Review Period shall be the period ending one-hundred and fifty (150) days a</w:t>
      </w:r>
      <w:r w:rsidRPr="00EC4874">
        <w:t>fter the Publication Date, unless extended in accordance with Section 14.1.9.4.2.1.</w:t>
      </w:r>
    </w:p>
    <w:p w:rsidR="004C2F99" w:rsidRPr="00EC4874" w:rsidRDefault="00A72A25" w:rsidP="00BE013F">
      <w:pPr>
        <w:pStyle w:val="alphapara"/>
      </w:pPr>
      <w:r w:rsidRPr="00EC4874">
        <w:t>14.1.9.1.65</w:t>
      </w:r>
      <w:r w:rsidRPr="00EC4874">
        <w:tab/>
        <w:t xml:space="preserve">Formula Rate shall be the formulas set forth in Attachment 1.   </w:t>
      </w:r>
    </w:p>
    <w:p w:rsidR="004C2F99" w:rsidRDefault="00A72A25" w:rsidP="00BE013F">
      <w:pPr>
        <w:pStyle w:val="alphapara"/>
      </w:pPr>
      <w:r w:rsidRPr="00EC4874">
        <w:t>14.1.9.1.66</w:t>
      </w:r>
      <w:r w:rsidRPr="00EC4874">
        <w:tab/>
        <w:t>Update Year shall be the period from July 1 of a given calendar year through June 3</w:t>
      </w:r>
      <w:r w:rsidRPr="00EC4874">
        <w:t>0 of the subsequent calendar year for a particular Annual Update.</w:t>
      </w:r>
    </w:p>
    <w:p w:rsidR="004C2F99" w:rsidRPr="00C3180D" w:rsidRDefault="00A72A25" w:rsidP="00BE013F">
      <w:pPr>
        <w:pStyle w:val="alphapara"/>
        <w:rPr>
          <w:color w:val="000000"/>
        </w:rPr>
      </w:pPr>
      <w:r w:rsidRPr="00175663">
        <w:t>14.</w:t>
      </w:r>
      <w:r w:rsidRPr="00175663">
        <w:rPr>
          <w:color w:val="000000"/>
        </w:rPr>
        <w:t>1.9.1.67</w:t>
      </w:r>
      <w:r w:rsidRPr="00175663">
        <w:rPr>
          <w:color w:val="000000"/>
        </w:rPr>
        <w:tab/>
      </w:r>
      <w:r w:rsidRPr="00175663">
        <w:t>Transmission Support Payments shall be expenses</w:t>
      </w:r>
      <w:r>
        <w:t xml:space="preserve"> accepted by FERC for inclusion in the Historical Transmission Revenue Requirement pursuant to</w:t>
      </w:r>
      <w:r w:rsidRPr="00175663">
        <w:t xml:space="preserve"> agreements entered into with generat</w:t>
      </w:r>
      <w:r w:rsidRPr="00175663">
        <w:t>ors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ransmission Support Payments shall include th</w:t>
      </w:r>
      <w:r w:rsidRPr="0053639E">
        <w:t>e costs incurred by Niagara Mohawk pursuant to the reliability support services agreements entered into between Niagara Mohawk and Dunkirk Power, LLC on July 12, 2012 and March 4, 2013, including the costs of extending the March 4, 2013 agreement through t</w:t>
      </w:r>
      <w:r w:rsidRPr="0053639E">
        <w:t>he end of 2015, less a sum total of $35 million.</w:t>
      </w:r>
      <w:r>
        <w:t xml:space="preserve">  </w:t>
      </w:r>
    </w:p>
    <w:p w:rsidR="004C2F99" w:rsidRPr="00EC4874" w:rsidRDefault="00A72A25" w:rsidP="00BE013F">
      <w:pPr>
        <w:pStyle w:val="Bodypara"/>
      </w:pPr>
      <w:r w:rsidRPr="00EC4874">
        <w:t>All references to FERC accounts in the above definitions are references to 18 C.F.R. Part 101, unless specifically noted otherwise.  In the event that the above-referenced FERC accounts are renumbered, ren</w:t>
      </w:r>
      <w:r w:rsidRPr="00EC4874">
        <w:t>amed, or otherwise modified, the above sections shall be deemed amended to incorporate such renumbered, renamed, modified or additional accounts.</w:t>
      </w:r>
    </w:p>
    <w:p w:rsidR="004C2F99" w:rsidRPr="00EC4874" w:rsidRDefault="00A72A25"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A72A25" w:rsidP="00BE013F">
      <w:pPr>
        <w:pStyle w:val="Bodypara"/>
      </w:pPr>
      <w:r w:rsidRPr="00EC4874">
        <w:t>The RR component shall equal the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A72A25"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A72A25" w:rsidP="00BE013F">
      <w:pPr>
        <w:pStyle w:val="Bodypara"/>
      </w:pPr>
      <w:r w:rsidRPr="00EC4874">
        <w:t>Formula Rate inputs fo</w:t>
      </w:r>
      <w:r w:rsidRPr="00EC4874">
        <w:t>r (i) the authorized return on common equity (“ROE”), (ii) any cap on the common equity component of the capital structure, (iii) amount and amortization period of extraordinary property losses, (iv) depreciation and/or amortization rates, (v)  PBOP expens</w:t>
      </w:r>
      <w:r w:rsidRPr="00EC4874">
        <w:t>es, and (vi) the electric wages and salaries allocation factor and transmission wages and salaries allocation factor shall be stated values until changed by the FERC pursuant to Section 205 or Section 206 of the Federal Power Act.  An application under Sec</w:t>
      </w:r>
      <w:r w:rsidRPr="00EC4874">
        <w:t>tion 205 or 206 or a proceeding initiated by FERC sua sponte under Section 206 to modify any of these stated values under the Formula Rate other than the ROE, the cap on the common equity component of the capital structure or the allocation factors in (vi)</w:t>
      </w:r>
      <w:r w:rsidRPr="00EC4874">
        <w:t xml:space="preserve"> shall not be deemed to open for review other components of the Formula Rate.</w:t>
      </w:r>
    </w:p>
    <w:p w:rsidR="004C2F99" w:rsidRPr="00EC4874" w:rsidRDefault="00A72A25"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A72A25"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A72A25" w:rsidP="00BE013F">
      <w:pPr>
        <w:pStyle w:val="alphapara"/>
      </w:pPr>
      <w:r w:rsidRPr="00EC4874">
        <w:t>14.1.9.4.1.1</w:t>
      </w:r>
      <w:r w:rsidRPr="00EC4874">
        <w:tab/>
        <w:t>On or before June 14th of each year, NMPC shall recalculate its RR, CCC, and BU components, applying the D</w:t>
      </w:r>
      <w:r w:rsidRPr="00EC4874">
        <w:t>ata Inputs called for in the Formula Rate to produce the Annual Update for the upcoming Update Year, and:</w:t>
      </w:r>
    </w:p>
    <w:p w:rsidR="004C2F99" w:rsidRPr="00EC4874" w:rsidRDefault="00A72A25"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A72A25" w:rsidP="00BE013F">
      <w:pPr>
        <w:pStyle w:val="alphapara"/>
      </w:pPr>
      <w:r w:rsidRPr="00EC4874">
        <w:t>14.1.9.4.1.1.2</w:t>
      </w:r>
      <w:r w:rsidRPr="00EC4874">
        <w:tab/>
      </w:r>
      <w:r w:rsidRPr="00EC4874">
        <w:tab/>
        <w:t>shall file such Annual Update with the FERC as the Informational Filing.  The submission of such Informational Filing with FERC shall not require any action by the agency; and</w:t>
      </w:r>
    </w:p>
    <w:p w:rsidR="004C2F99" w:rsidRPr="00EC4874" w:rsidRDefault="00A72A25" w:rsidP="00BE013F">
      <w:pPr>
        <w:pStyle w:val="alphapara"/>
      </w:pPr>
      <w:r w:rsidRPr="00EC4874">
        <w:t>14.1.9.4.1.1.3</w:t>
      </w:r>
      <w:r w:rsidRPr="00EC4874">
        <w:tab/>
      </w:r>
      <w:r w:rsidRPr="00EC4874">
        <w:tab/>
        <w:t xml:space="preserve">shall serve the Annual Update electronically on </w:t>
      </w:r>
      <w:r w:rsidRPr="00EC4874">
        <w:t>all Interested Parties.</w:t>
      </w:r>
    </w:p>
    <w:p w:rsidR="004C2F99" w:rsidRPr="00EC4874" w:rsidRDefault="00A72A25" w:rsidP="00BE013F">
      <w:pPr>
        <w:pStyle w:val="alphapara"/>
      </w:pPr>
      <w:r w:rsidRPr="00EC4874">
        <w:t>14.1.9.4.1.2</w:t>
      </w:r>
      <w:r w:rsidRPr="00EC4874">
        <w:tab/>
        <w:t>If the date for making the Informational Filing should fall on a weekend or a holiday recognized by the FERC, then the posting/filing shall coincide with the NYISO posting requirement for July rates.</w:t>
      </w:r>
    </w:p>
    <w:p w:rsidR="004C2F99" w:rsidRPr="00EC4874" w:rsidRDefault="00A72A25" w:rsidP="00BE013F">
      <w:pPr>
        <w:pStyle w:val="alphapara"/>
      </w:pPr>
      <w:r w:rsidRPr="00EC4874">
        <w:t>14.1.9.4.1.3</w:t>
      </w:r>
      <w:r w:rsidRPr="00EC4874">
        <w:tab/>
        <w:t>The An</w:t>
      </w:r>
      <w:r w:rsidRPr="00EC4874">
        <w:t>nual Update for the Update Year:</w:t>
      </w:r>
    </w:p>
    <w:p w:rsidR="004C2F99" w:rsidRPr="00EC4874" w:rsidRDefault="00A72A25" w:rsidP="00BE013F">
      <w:pPr>
        <w:pStyle w:val="alphapara"/>
      </w:pPr>
      <w:r w:rsidRPr="00EC4874">
        <w:t>14.1.9.4.1.3.1</w:t>
      </w:r>
      <w:r w:rsidRPr="00EC4874">
        <w:tab/>
      </w:r>
      <w:r w:rsidRPr="00EC4874">
        <w:tab/>
        <w:t xml:space="preserve">shall use the Data Inputs specified in NMPC’s Formula Rate, and therefore, to the extent specified in NMPC’s Formula Rate, be based upon NMPC’s FERC Form No. 1 data for the most recent calendar year; to the </w:t>
      </w:r>
      <w:r w:rsidRPr="00EC4874">
        <w:t>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A72A25" w:rsidP="00BE013F">
      <w:pPr>
        <w:pStyle w:val="alphapara"/>
      </w:pPr>
      <w:r w:rsidRPr="00EC4874">
        <w:t>14.1.9.4.1.3.2</w:t>
      </w:r>
      <w:r w:rsidRPr="00EC4874">
        <w:tab/>
      </w:r>
      <w:r w:rsidRPr="00EC4874">
        <w:tab/>
        <w:t>shal</w:t>
      </w:r>
      <w:r w:rsidRPr="00EC4874">
        <w:t>l provide supporting documentation for Data Inputs in the form of the data provided in Attachment C to the Offer of Settlement dated April 6, 2009, in Docket No. ER08-552;  and, with respect to Billing Units, shall include monthly documents in PDF format w</w:t>
      </w:r>
      <w:r w:rsidRPr="00EC4874">
        <w:t>ith redacted names and revised reference numbers for each entity to protect confidentiality, showing the Billing Units for each month of the most recently completed calendar billing year (the six-month updated BUs), including NMPC’s Transmission Owner Load</w:t>
      </w:r>
      <w:r w:rsidRPr="00EC4874">
        <w:t xml:space="preserve"> (“TOL”), consisting of metered loads for the December through November timeframe showing the calendar billing year BUs reported to the NYISO by NMPC.  The total MWh of generation (including load modifiers) and net interchange for each NMPC transmission zo</w:t>
      </w:r>
      <w:r w:rsidRPr="00EC4874">
        <w:t>ne will be displayed. National Grid will also provide a document as a “workable” Excel file summarizing the TOL for disputed station service, High Load Factor Fitzpatrick and any other entity excluded from the Billing Units calculation in Attachment 1, Sch</w:t>
      </w:r>
      <w:r w:rsidRPr="00EC4874">
        <w:t>edule 6.12, of the Formula Rate.  The summary will be labeled to show the reason for exclusion, consistent with the definition of Billing Units and will reconcile to the totals shown on Attachment 1, Schedule 6.12.</w:t>
      </w:r>
    </w:p>
    <w:p w:rsidR="004C2F99" w:rsidRPr="00EC4874" w:rsidRDefault="00A72A25" w:rsidP="00BE013F">
      <w:pPr>
        <w:pStyle w:val="alphapara"/>
      </w:pPr>
      <w:r w:rsidRPr="00EC4874">
        <w:t>14.1.9.4.1.3.3</w:t>
      </w:r>
      <w:r w:rsidRPr="00EC4874">
        <w:tab/>
      </w:r>
      <w:r w:rsidRPr="00EC4874">
        <w:tab/>
        <w:t>shall provide notice of a</w:t>
      </w:r>
      <w:r w:rsidRPr="00EC4874">
        <w:t>nd describe all Material Accounting Changes, which description shall include an explanation of the purpose for and the circumstances giving rise to the Material Accounting Change, including references to any relevant orders, policies or notices of the Secu</w:t>
      </w:r>
      <w:r w:rsidRPr="00EC4874">
        <w:t>rities and Exchange Commission, the FERC or a retail regulator, which explanation may incorporate by reference any applicable disclosure statements filed with any such agency;</w:t>
      </w:r>
    </w:p>
    <w:p w:rsidR="004C2F99" w:rsidRPr="00EC4874" w:rsidRDefault="00A72A25" w:rsidP="00BE013F">
      <w:pPr>
        <w:pStyle w:val="alphapara"/>
      </w:pPr>
      <w:r w:rsidRPr="00EC4874">
        <w:t>14.1.9.4.1.3.4</w:t>
      </w:r>
      <w:r w:rsidRPr="00EC4874">
        <w:tab/>
      </w:r>
      <w:r w:rsidRPr="00EC4874">
        <w:tab/>
        <w:t xml:space="preserve">shall provide notice of the date and location of the meeting to </w:t>
      </w:r>
      <w:r w:rsidRPr="00EC4874">
        <w:t>be held in accordance with Section 14.1.9.4.2.2;</w:t>
      </w:r>
    </w:p>
    <w:p w:rsidR="004C2F99" w:rsidRPr="00EC4874" w:rsidRDefault="00A72A25"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shall not preclude investigation of the Annua</w:t>
      </w:r>
      <w:r w:rsidRPr="00EC4874">
        <w:t>l Update by FERC, including through hearing procedures;</w:t>
      </w:r>
    </w:p>
    <w:p w:rsidR="004C2F99" w:rsidRPr="00EC4874" w:rsidRDefault="00A72A25" w:rsidP="00BE013F">
      <w:pPr>
        <w:pStyle w:val="alphapara"/>
      </w:pPr>
      <w:r w:rsidRPr="00EC4874">
        <w:t>14.1.9.4.1.3.6</w:t>
      </w:r>
      <w:r w:rsidRPr="00EC4874">
        <w:tab/>
      </w:r>
      <w:r w:rsidRPr="00EC4874">
        <w:tab/>
        <w:t>shall not seek to modify NMPC’s Formula Rate and shall not be subject to challenge by an Interested Party seeking to modify NMPC’s Formula Rate (i.e., all such modifications to the For</w:t>
      </w:r>
      <w:r w:rsidRPr="00EC4874">
        <w:t xml:space="preserve">mula Rate will require, as applicable, a Federal Power Act Section 205 or Section 206 proceeding), provided that an Interested Party may propose for consideration a change to the Formula Rate, as provided in Section 14.1.9.4.3.5; </w:t>
      </w:r>
    </w:p>
    <w:p w:rsidR="004C2F99" w:rsidRPr="00EC4874" w:rsidRDefault="00A72A25" w:rsidP="00BE013F">
      <w:pPr>
        <w:pStyle w:val="alphapara"/>
      </w:pPr>
      <w:r w:rsidRPr="00EC4874">
        <w:t>14.1.9.4.1.3.7</w:t>
      </w:r>
      <w:r w:rsidRPr="00EC4874">
        <w:tab/>
      </w:r>
      <w:r w:rsidRPr="00EC4874">
        <w:tab/>
        <w:t>shall inc</w:t>
      </w:r>
      <w:r w:rsidRPr="00EC4874">
        <w:t>lude a list of the email addresses of Interested Parties upon which the Annual Update was served; and</w:t>
      </w:r>
    </w:p>
    <w:p w:rsidR="004C2F99" w:rsidRPr="00EC4874" w:rsidRDefault="00A72A25" w:rsidP="00BE013F">
      <w:pPr>
        <w:pStyle w:val="alphapara"/>
      </w:pPr>
      <w:r w:rsidRPr="00EC4874">
        <w:t>14.1.9.4.1.3.8</w:t>
      </w:r>
      <w:r w:rsidRPr="00EC4874">
        <w:tab/>
      </w:r>
      <w:r w:rsidRPr="00EC4874">
        <w:tab/>
        <w:t>shall provide a description of, and workpapers for, any correction of an error discovered by NMPC that affects the calculation of any char</w:t>
      </w:r>
      <w:r w:rsidRPr="00EC4874">
        <w:t>ges under the Formula Rate during a prior year within the period applicable under Section 14.1.9.4.4.</w:t>
      </w:r>
    </w:p>
    <w:p w:rsidR="004C2F99" w:rsidRPr="00EC4874" w:rsidRDefault="00A72A25"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A72A25"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w:t>
      </w:r>
      <w:r w:rsidRPr="00EC4874">
        <w:rPr>
          <w:rFonts w:ascii="Times New Roman" w:eastAsia="Times New Roman" w:hAnsi="Times New Roman"/>
          <w:sz w:val="24"/>
          <w:szCs w:val="24"/>
        </w:rPr>
        <w:t xml:space="preserve"> Procedures</w:t>
      </w:r>
    </w:p>
    <w:p w:rsidR="004C2F99" w:rsidRPr="00EC4874" w:rsidRDefault="00A72A25" w:rsidP="00BE013F">
      <w:pPr>
        <w:pStyle w:val="Bodypara"/>
      </w:pPr>
      <w:r w:rsidRPr="00EC4874">
        <w:t>Each Annual Update shall be subject to the following review procedures:</w:t>
      </w:r>
    </w:p>
    <w:p w:rsidR="004C2F99" w:rsidRPr="00EC4874" w:rsidRDefault="00A72A25" w:rsidP="00BE013F">
      <w:pPr>
        <w:pStyle w:val="alphapara"/>
      </w:pPr>
      <w:r w:rsidRPr="00EC4874">
        <w:t>14.1.9.4.2.1</w:t>
      </w:r>
      <w:r w:rsidRPr="00EC4874">
        <w:tab/>
        <w:t>Any Interested Party shall have up to one hundred fifty (150) days after the Publication Date (unless such period is extended with the written consent of NMPC)</w:t>
      </w:r>
      <w:r w:rsidRPr="00EC4874">
        <w:t xml:space="preserve"> to review the calculations and to notify NMPC in writing of any specific challenges to the accuracy of any Data Input in the Annual Update or the conformance of any such Data Input with the requirements of the Formula Rate (“Preliminary Challenge”); provi</w:t>
      </w:r>
      <w:r w:rsidRPr="00EC4874">
        <w:t>ded, however, that each Interested Party shall make a good faith effort to submit Preliminary Challenges at the earliest practicable date so that they may be resolved as soon as possible, and provide NMPC with a non-binding list of potential Preliminary Ch</w:t>
      </w:r>
      <w:r w:rsidRPr="00EC4874">
        <w:t>allenges it may present, based on its review of the Annual Update and on responses to information requests provided to that point, within ninety (90) days of the Publication Date.  Any Preliminary Challenge shall be posted on the NYISO’s internet website a</w:t>
      </w:r>
      <w:r w:rsidRPr="00EC4874">
        <w:t>nd served by electronic service on all Interested Parties by the next business day following the date it is provided to NMPC.</w:t>
      </w:r>
    </w:p>
    <w:p w:rsidR="004C2F99" w:rsidRPr="00EC4874" w:rsidRDefault="00A72A25" w:rsidP="00BE013F">
      <w:pPr>
        <w:pStyle w:val="alphapara"/>
      </w:pPr>
      <w:r w:rsidRPr="00EC4874">
        <w:t>14.1.9.4.2.2</w:t>
      </w:r>
      <w:r w:rsidRPr="00EC4874">
        <w:tab/>
        <w:t>Within thirty (30) days of the Publication Date, NMPC shall hold a meeting open to all Interested Parties, at which m</w:t>
      </w:r>
      <w:r w:rsidRPr="00EC4874">
        <w:t>eeting: (a) NMPC shall present and explain the Annual Update; (b) NMPC shall respond to questions from Interested Parties, to the extent such questions can be answered immediately; and (c) Interested Parties shall identify any areas of potential Preliminar</w:t>
      </w:r>
      <w:r w:rsidRPr="00EC4874">
        <w:t xml:space="preserve">y Challenges, to the extent they have identified them at the time of the meeting.  </w:t>
      </w:r>
    </w:p>
    <w:p w:rsidR="004C2F99" w:rsidRPr="00EC4874" w:rsidRDefault="00A72A25" w:rsidP="00BE013F">
      <w:pPr>
        <w:pStyle w:val="alphapara"/>
      </w:pPr>
      <w:r w:rsidRPr="00EC4874">
        <w:t>14.1.9.4.2.3</w:t>
      </w:r>
      <w:r w:rsidRPr="00EC4874">
        <w:tab/>
        <w:t>Interested Parties shall have up to one hundred thirty (130) days after each annual Publication Date (unless such period is extended with the written consent o</w:t>
      </w:r>
      <w:r w:rsidRPr="00EC4874">
        <w:t>f NMPC) to serve reasonable information requests on NMPC; provided, however, that the Interested Parties shall make a good faith effort to submit consolidated sets of information requests that limit the number and overlap of questions to the extent practic</w:t>
      </w:r>
      <w:r w:rsidRPr="00EC4874">
        <w:t>able.  Such information requests may be directed to matters relevant to the accuracy of the Data Inputs included in the Annual Update and the conformance of those Data Inputs with the requirements of the corresponding provisions of the Formula Rate, includ</w:t>
      </w:r>
      <w:r w:rsidRPr="00EC4874">
        <w:t>ing:  (a) the reasons for any change in a Data Input from the corresponding Data Input in an earlier Annual Update; (b) the reasons for any change in a Data Input based on actual costs from the corresponding Data Input based on a cost projection in an earl</w:t>
      </w:r>
      <w:r w:rsidRPr="00EC4874">
        <w:t>ier Annual Update; (c) any reports or other materials provided to fulfill the requirements of a state or federal regulatory agency that explain the basis for projected or actual costs reflected in a Data Input; and (d) the impact of any Material Accounting</w:t>
      </w:r>
      <w:r w:rsidRPr="00EC4874">
        <w:t xml:space="preserve"> Change identified in the Annual Update on the charges produced by the Formula Rate.</w:t>
      </w:r>
    </w:p>
    <w:p w:rsidR="004C2F99" w:rsidRPr="00EC4874" w:rsidRDefault="00A72A25" w:rsidP="00BE013F">
      <w:pPr>
        <w:pStyle w:val="alphapara"/>
      </w:pPr>
      <w:r w:rsidRPr="00EC4874">
        <w:t>14.1.9.4.2.4</w:t>
      </w:r>
      <w:r w:rsidRPr="00EC4874">
        <w:tab/>
        <w:t>NMPC shall make a good faith effort to respond to information requests pertaining to the Annual Update within ten (10) business days of receipt of such reques</w:t>
      </w:r>
      <w:r w:rsidRPr="00EC4874">
        <w:t>ts. NMPC may give reasonable priority to responding to requests that satisfy the practicable coordination and consolidation provision of Section 14.1.9.4.2.3, above.  NMPC’s responses to information requests shall not be entitled to protection as privilege</w:t>
      </w:r>
      <w:r w:rsidRPr="00EC4874">
        <w:t>d settlement communications; provided, however, that: (a) any communications between NMPC and any Interested Party in connection with efforts to negotiate a resolution of a Preliminary Challenge or Formal Challenge shall be entitled to such protection; (b)</w:t>
      </w:r>
      <w:r w:rsidRPr="00EC4874">
        <w:t xml:space="preserve"> if NMPC’s response to an information request contains proprietary or trade secret information or critical energy infrastructure information, NMPC and the Interested Party or Parties receiving such information shall enter into a confidentiality agreement m</w:t>
      </w:r>
      <w:r w:rsidRPr="00EC4874">
        <w:t>aterially similar to the model protective order used by the FERC to protect the confidentiality of such information; and (c) nothing herein shall require NMPC to provide information that is protected by the attorney-client privilege, the attorney work prod</w:t>
      </w:r>
      <w:r w:rsidRPr="00EC4874">
        <w:t xml:space="preserve">uct doctrine, or any other legally recognized privilege. </w:t>
      </w:r>
    </w:p>
    <w:p w:rsidR="004C2F99" w:rsidRPr="00EC4874" w:rsidRDefault="00A72A25"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A72A25" w:rsidP="00BE013F">
      <w:pPr>
        <w:pStyle w:val="alphapara"/>
      </w:pPr>
      <w:r w:rsidRPr="00EC4874">
        <w:t>14.1.9.4.3.1</w:t>
      </w:r>
      <w:r w:rsidRPr="00EC4874">
        <w:tab/>
        <w:t xml:space="preserve">NMPC and the Interested Parties shall negotiate in good faith throughout the Review Period to attempt to resolve any Preliminary Challenges.  </w:t>
      </w:r>
    </w:p>
    <w:p w:rsidR="004C2F99" w:rsidRPr="00EC4874" w:rsidRDefault="00A72A25" w:rsidP="00BE013F">
      <w:pPr>
        <w:pStyle w:val="alphapara"/>
      </w:pPr>
      <w:r w:rsidRPr="00EC4874">
        <w:t>14.1.9</w:t>
      </w:r>
      <w:r w:rsidRPr="00EC4874">
        <w:t>.4.3.2</w:t>
      </w:r>
      <w:r w:rsidRPr="00EC4874">
        <w:tab/>
        <w:t>If NMPC and any Interested Party or Parties have not resolved any Preliminary Challenge to the Annual Update within the Review Period, an Interested Party shall have an additional twenty-one (21) days (unless such period is extended with the written</w:t>
      </w:r>
      <w:r w:rsidRPr="00EC4874">
        <w:t xml:space="preserve"> consent of NMPC to continue efforts to resolve a Preliminary Challenge) to present the subject matter of the Preliminary Challenge to the FERC as a Formal Challenge, which shall be served on NMPC and all other Interested Parties by electronic service on t</w:t>
      </w:r>
      <w:r w:rsidRPr="00EC4874">
        <w:t>he date of such filing and posted on the NYISO’s internet website, however, there shall be no need to make a Formal Challenge or to await conclusion of the time periods in Section 14.1.9.4.2 if the FERC already has initiated a proceeding to investigate the</w:t>
      </w:r>
      <w:r w:rsidRPr="00EC4874">
        <w:t xml:space="preserve"> Annual Update.  By no later than five (5) business days after the end of the Review Period, NMPC shall apprise Interested Parties of the resolution of all Preliminary Challenges that have been resolved and of the impact of the resolution of all such Preli</w:t>
      </w:r>
      <w:r w:rsidRPr="00EC4874">
        <w:t>minary Challenges on the Annual Update.  Within an additional fifteen (15) business days, NMPC shall submit a supplement to its Informational Filing to the FERC, with electronic service upon the Interested Parties, reflecting the impact of all successfully</w:t>
      </w:r>
      <w:r w:rsidRPr="00EC4874">
        <w:t xml:space="preserve"> resolved Preliminary Challenges.</w:t>
      </w:r>
    </w:p>
    <w:p w:rsidR="004C2F99" w:rsidRPr="00EC4874" w:rsidRDefault="00A72A25" w:rsidP="00BE013F">
      <w:pPr>
        <w:pStyle w:val="alphapara"/>
      </w:pPr>
      <w:r w:rsidRPr="00EC4874">
        <w:t>14.1.9.4.3.3</w:t>
      </w:r>
      <w:r w:rsidRPr="00EC4874">
        <w:tab/>
        <w:t>Any response by NMPC to a Formal Challenge must be submitted to the FERC within twenty-one (21) days of the date of the filing of the Formal Challenge, and shall be posted on the NYISO’s Internet website and s</w:t>
      </w:r>
      <w:r w:rsidRPr="00EC4874">
        <w:t xml:space="preserve">erved on all Interested Parties by electronic service on the date of such filing. </w:t>
      </w:r>
    </w:p>
    <w:p w:rsidR="004C2F99" w:rsidRPr="00EC4874" w:rsidRDefault="00A72A25" w:rsidP="00BE013F">
      <w:pPr>
        <w:pStyle w:val="alphapara"/>
      </w:pPr>
      <w:r w:rsidRPr="00EC4874">
        <w:t>14.1.9.4.3.4</w:t>
      </w:r>
      <w:r w:rsidRPr="00EC4874">
        <w:tab/>
        <w:t>In any proceeding initiated by the FERC concerning the Annual Update or in response to a Formal Challenge, NMPC shall bear the burden of proving that the Data I</w:t>
      </w:r>
      <w:r w:rsidRPr="00EC4874">
        <w:t>nputs in that year’s Annual Update are correct and conform to the terms of the Formula Rate and refunds or adjustments may be made, in either case with interest, to charges collected under the Formula Rate if the FERC concludes that the Data Inputs are inc</w:t>
      </w:r>
      <w:r w:rsidRPr="00EC4874">
        <w:t>orrect or do not conform to the terms of the Formula Rate.  In all other respects, any such proceeding shall be governed by the rules and requirements applicable to proceedings under Section 206 of the Federal Power Act.</w:t>
      </w:r>
    </w:p>
    <w:p w:rsidR="004C2F99" w:rsidRPr="00EC4874" w:rsidRDefault="00A72A25" w:rsidP="00BE013F">
      <w:pPr>
        <w:pStyle w:val="alphapara"/>
      </w:pPr>
      <w:r w:rsidRPr="00EC4874">
        <w:t>14.1.9.4.3.5</w:t>
      </w:r>
      <w:r w:rsidRPr="00EC4874">
        <w:tab/>
        <w:t>An Interested Party ma</w:t>
      </w:r>
      <w:r w:rsidRPr="00EC4874">
        <w:t>y propose that resolution of a Preliminary Challenge or Formal Challenge concerning a Material Accounting Change necessitates changes to the Formula Rate to ensure that the resulting charges, including the effect of the Material Accounting Change, are just</w:t>
      </w:r>
      <w:r w:rsidRPr="00EC4874">
        <w:t xml:space="preserve"> and reasonable.  If NMPC agrees to such a proposed change to the Formula Rate to resolve a Preliminary Challenge, NMPC shall file the change to the Formula Rate with the FERC for approval pursuant to Section 205 of the Federal Power Act.  If NMPC does not</w:t>
      </w:r>
      <w:r w:rsidRPr="00EC4874">
        <w:t xml:space="preserve"> agree to such a proposed change, the Interested Party may file the proposed change with the FERC for approval pursuant to Section 206 of the Federal Power Act concurrent with its submission of a Formal Challenge; provided that if FERC approves the propose</w:t>
      </w:r>
      <w:r w:rsidRPr="00EC4874">
        <w:t>d change, the change to the Formula Rate shall take effect as of the beginning of the Update Year during which the Section 206 filing is made, and refunds or surcharges shall be made, in either case with interest, to charges under the Formula Rate after th</w:t>
      </w:r>
      <w:r w:rsidRPr="00EC4874">
        <w:t xml:space="preserve">e beginning of such Update Year to reflect the proposed change. </w:t>
      </w:r>
    </w:p>
    <w:p w:rsidR="004C2F99" w:rsidRPr="00EC4874" w:rsidRDefault="00A72A25" w:rsidP="00BE013F">
      <w:pPr>
        <w:pStyle w:val="alphapara"/>
      </w:pPr>
      <w:r w:rsidRPr="00EC4874">
        <w:t>14.1.9.4.3.6</w:t>
      </w:r>
      <w:r w:rsidRPr="00EC4874">
        <w:tab/>
        <w:t>Nothing herein shall be deemed to limit in any way the right of NMPC to file unilaterally, pursuant to Section 205 of the Federal Power Act and the regulations thereunder, change</w:t>
      </w:r>
      <w:r w:rsidRPr="00EC4874">
        <w:t>s to NMPC’s Formula Rate (including changes in connection with any incentive mechanism) or any of its Data Inputs (including, but not limited to, any fixed Data Inputs) or the right of any other party to file for such changes pursuant to Section 206 of the</w:t>
      </w:r>
      <w:r w:rsidRPr="00EC4874">
        <w:t xml:space="preserve"> Federal Power Act and the regulations thereunder.  All parties reserve all rights to challenge, or take any position in response to, any such filing by any other party.</w:t>
      </w:r>
    </w:p>
    <w:p w:rsidR="004C2F99" w:rsidRPr="00EC4874" w:rsidRDefault="00A72A25"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A72A25" w:rsidP="00BE013F">
      <w:pPr>
        <w:pStyle w:val="alphapara"/>
      </w:pPr>
      <w:r w:rsidRPr="00EC4874">
        <w:t>14.1.9.4.4.1</w:t>
      </w:r>
      <w:r w:rsidRPr="00EC4874">
        <w:tab/>
      </w:r>
      <w:r w:rsidRPr="00EC4874">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t>date Year and the impact of such changes shall be incorporated into the charges produced by the Formula Rate (with interest determined in accordance with 18 C.F.R. § 35.19(a)) in the Annual Update for the next effective Update Year.  This mechanism shall a</w:t>
      </w:r>
      <w:r w:rsidRPr="00EC4874">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t xml:space="preserve">ced by the Formula Rate during the remainder of the year preceding the next effective Update Year, in which case the impact reflected in subsequent charges shall be reduced accordingly.  </w:t>
      </w:r>
    </w:p>
    <w:p w:rsidR="004C2F99" w:rsidRDefault="00A72A25" w:rsidP="00BE013F">
      <w:pPr>
        <w:pStyle w:val="alphapara"/>
      </w:pPr>
      <w:r w:rsidRPr="00EC4874">
        <w:t>14.1.9.4.4.2</w:t>
      </w:r>
      <w:r w:rsidRPr="00EC4874">
        <w:tab/>
        <w:t>The impact of an error affecting a Data Input on charge</w:t>
      </w:r>
      <w:r w:rsidRPr="00EC4874">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t>od into the charges produced by the Formula Rate (with interest determined in accordance with 18 C.F.R. § 35.19(a)) in the Annual Update for the next effective Update Year.  Charges collected before the five-year period shall not be subject to correction.</w:t>
      </w:r>
    </w:p>
    <w:p w:rsidR="004C2F99" w:rsidRDefault="00A72A25"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2A25">
      <w:pPr>
        <w:spacing w:after="0" w:line="240" w:lineRule="auto"/>
      </w:pPr>
      <w:r>
        <w:separator/>
      </w:r>
    </w:p>
  </w:endnote>
  <w:endnote w:type="continuationSeparator" w:id="0">
    <w:p w:rsidR="00000000" w:rsidRDefault="00A7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jc w:val="right"/>
      <w:rPr>
        <w:rFonts w:ascii="Arial" w:eastAsia="Arial" w:hAnsi="Arial" w:cs="Arial"/>
        <w:color w:val="000000"/>
        <w:sz w:val="16"/>
      </w:rPr>
    </w:pPr>
    <w:r>
      <w:rPr>
        <w:rFonts w:ascii="Arial" w:eastAsia="Arial" w:hAnsi="Arial" w:cs="Arial"/>
        <w:color w:val="000000"/>
        <w:sz w:val="16"/>
      </w:rPr>
      <w:t xml:space="preserve">Effective Date: 9/19/2018 -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2A25">
      <w:pPr>
        <w:spacing w:after="0" w:line="240" w:lineRule="auto"/>
      </w:pPr>
      <w:r>
        <w:separator/>
      </w:r>
    </w:p>
  </w:footnote>
  <w:footnote w:type="continuationSeparator" w:id="0">
    <w:p w:rsidR="00000000" w:rsidRDefault="00A72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A4" w:rsidRDefault="00A72A25">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12652E">
      <w:start w:val="1"/>
      <w:numFmt w:val="bullet"/>
      <w:pStyle w:val="Bulletpara"/>
      <w:lvlText w:val=""/>
      <w:lvlJc w:val="left"/>
      <w:pPr>
        <w:tabs>
          <w:tab w:val="num" w:pos="720"/>
        </w:tabs>
        <w:ind w:left="720" w:hanging="360"/>
      </w:pPr>
      <w:rPr>
        <w:rFonts w:ascii="Symbol" w:hAnsi="Symbol" w:hint="default"/>
      </w:rPr>
    </w:lvl>
    <w:lvl w:ilvl="1" w:tplc="18D4E600" w:tentative="1">
      <w:start w:val="1"/>
      <w:numFmt w:val="bullet"/>
      <w:lvlText w:val="o"/>
      <w:lvlJc w:val="left"/>
      <w:pPr>
        <w:tabs>
          <w:tab w:val="num" w:pos="1440"/>
        </w:tabs>
        <w:ind w:left="1440" w:hanging="360"/>
      </w:pPr>
      <w:rPr>
        <w:rFonts w:ascii="Courier New" w:hAnsi="Courier New" w:cs="Courier New" w:hint="default"/>
      </w:rPr>
    </w:lvl>
    <w:lvl w:ilvl="2" w:tplc="5282BE96" w:tentative="1">
      <w:start w:val="1"/>
      <w:numFmt w:val="bullet"/>
      <w:lvlText w:val=""/>
      <w:lvlJc w:val="left"/>
      <w:pPr>
        <w:tabs>
          <w:tab w:val="num" w:pos="2160"/>
        </w:tabs>
        <w:ind w:left="2160" w:hanging="360"/>
      </w:pPr>
      <w:rPr>
        <w:rFonts w:ascii="Wingdings" w:hAnsi="Wingdings" w:hint="default"/>
      </w:rPr>
    </w:lvl>
    <w:lvl w:ilvl="3" w:tplc="35BE4906" w:tentative="1">
      <w:start w:val="1"/>
      <w:numFmt w:val="bullet"/>
      <w:lvlText w:val=""/>
      <w:lvlJc w:val="left"/>
      <w:pPr>
        <w:tabs>
          <w:tab w:val="num" w:pos="2880"/>
        </w:tabs>
        <w:ind w:left="2880" w:hanging="360"/>
      </w:pPr>
      <w:rPr>
        <w:rFonts w:ascii="Symbol" w:hAnsi="Symbol" w:hint="default"/>
      </w:rPr>
    </w:lvl>
    <w:lvl w:ilvl="4" w:tplc="FA960916" w:tentative="1">
      <w:start w:val="1"/>
      <w:numFmt w:val="bullet"/>
      <w:lvlText w:val="o"/>
      <w:lvlJc w:val="left"/>
      <w:pPr>
        <w:tabs>
          <w:tab w:val="num" w:pos="3600"/>
        </w:tabs>
        <w:ind w:left="3600" w:hanging="360"/>
      </w:pPr>
      <w:rPr>
        <w:rFonts w:ascii="Courier New" w:hAnsi="Courier New" w:cs="Courier New" w:hint="default"/>
      </w:rPr>
    </w:lvl>
    <w:lvl w:ilvl="5" w:tplc="F5E03F7C" w:tentative="1">
      <w:start w:val="1"/>
      <w:numFmt w:val="bullet"/>
      <w:lvlText w:val=""/>
      <w:lvlJc w:val="left"/>
      <w:pPr>
        <w:tabs>
          <w:tab w:val="num" w:pos="4320"/>
        </w:tabs>
        <w:ind w:left="4320" w:hanging="360"/>
      </w:pPr>
      <w:rPr>
        <w:rFonts w:ascii="Wingdings" w:hAnsi="Wingdings" w:hint="default"/>
      </w:rPr>
    </w:lvl>
    <w:lvl w:ilvl="6" w:tplc="08587DD8" w:tentative="1">
      <w:start w:val="1"/>
      <w:numFmt w:val="bullet"/>
      <w:lvlText w:val=""/>
      <w:lvlJc w:val="left"/>
      <w:pPr>
        <w:tabs>
          <w:tab w:val="num" w:pos="5040"/>
        </w:tabs>
        <w:ind w:left="5040" w:hanging="360"/>
      </w:pPr>
      <w:rPr>
        <w:rFonts w:ascii="Symbol" w:hAnsi="Symbol" w:hint="default"/>
      </w:rPr>
    </w:lvl>
    <w:lvl w:ilvl="7" w:tplc="44504214" w:tentative="1">
      <w:start w:val="1"/>
      <w:numFmt w:val="bullet"/>
      <w:lvlText w:val="o"/>
      <w:lvlJc w:val="left"/>
      <w:pPr>
        <w:tabs>
          <w:tab w:val="num" w:pos="5760"/>
        </w:tabs>
        <w:ind w:left="5760" w:hanging="360"/>
      </w:pPr>
      <w:rPr>
        <w:rFonts w:ascii="Courier New" w:hAnsi="Courier New" w:cs="Courier New" w:hint="default"/>
      </w:rPr>
    </w:lvl>
    <w:lvl w:ilvl="8" w:tplc="505C4FD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BF65F6A">
      <w:start w:val="1"/>
      <w:numFmt w:val="decimal"/>
      <w:lvlText w:val="%1."/>
      <w:lvlJc w:val="left"/>
      <w:pPr>
        <w:tabs>
          <w:tab w:val="num" w:pos="360"/>
        </w:tabs>
        <w:ind w:left="360" w:hanging="360"/>
      </w:pPr>
      <w:rPr>
        <w:rFonts w:hint="default"/>
      </w:rPr>
    </w:lvl>
    <w:lvl w:ilvl="1" w:tplc="BD2E28CC" w:tentative="1">
      <w:start w:val="1"/>
      <w:numFmt w:val="lowerLetter"/>
      <w:lvlText w:val="%2."/>
      <w:lvlJc w:val="left"/>
      <w:pPr>
        <w:tabs>
          <w:tab w:val="num" w:pos="1080"/>
        </w:tabs>
        <w:ind w:left="1080" w:hanging="360"/>
      </w:pPr>
    </w:lvl>
    <w:lvl w:ilvl="2" w:tplc="75BE7752" w:tentative="1">
      <w:start w:val="1"/>
      <w:numFmt w:val="lowerRoman"/>
      <w:lvlText w:val="%3."/>
      <w:lvlJc w:val="right"/>
      <w:pPr>
        <w:tabs>
          <w:tab w:val="num" w:pos="1800"/>
        </w:tabs>
        <w:ind w:left="1800" w:hanging="180"/>
      </w:pPr>
    </w:lvl>
    <w:lvl w:ilvl="3" w:tplc="FA8A1AC8" w:tentative="1">
      <w:start w:val="1"/>
      <w:numFmt w:val="decimal"/>
      <w:lvlText w:val="%4."/>
      <w:lvlJc w:val="left"/>
      <w:pPr>
        <w:tabs>
          <w:tab w:val="num" w:pos="2520"/>
        </w:tabs>
        <w:ind w:left="2520" w:hanging="360"/>
      </w:pPr>
    </w:lvl>
    <w:lvl w:ilvl="4" w:tplc="E71CBA7C" w:tentative="1">
      <w:start w:val="1"/>
      <w:numFmt w:val="lowerLetter"/>
      <w:lvlText w:val="%5."/>
      <w:lvlJc w:val="left"/>
      <w:pPr>
        <w:tabs>
          <w:tab w:val="num" w:pos="3240"/>
        </w:tabs>
        <w:ind w:left="3240" w:hanging="360"/>
      </w:pPr>
    </w:lvl>
    <w:lvl w:ilvl="5" w:tplc="DFCE7216" w:tentative="1">
      <w:start w:val="1"/>
      <w:numFmt w:val="lowerRoman"/>
      <w:lvlText w:val="%6."/>
      <w:lvlJc w:val="right"/>
      <w:pPr>
        <w:tabs>
          <w:tab w:val="num" w:pos="3960"/>
        </w:tabs>
        <w:ind w:left="3960" w:hanging="180"/>
      </w:pPr>
    </w:lvl>
    <w:lvl w:ilvl="6" w:tplc="1576AFFE" w:tentative="1">
      <w:start w:val="1"/>
      <w:numFmt w:val="decimal"/>
      <w:lvlText w:val="%7."/>
      <w:lvlJc w:val="left"/>
      <w:pPr>
        <w:tabs>
          <w:tab w:val="num" w:pos="4680"/>
        </w:tabs>
        <w:ind w:left="4680" w:hanging="360"/>
      </w:pPr>
    </w:lvl>
    <w:lvl w:ilvl="7" w:tplc="4E28AF9A" w:tentative="1">
      <w:start w:val="1"/>
      <w:numFmt w:val="lowerLetter"/>
      <w:lvlText w:val="%8."/>
      <w:lvlJc w:val="left"/>
      <w:pPr>
        <w:tabs>
          <w:tab w:val="num" w:pos="5400"/>
        </w:tabs>
        <w:ind w:left="5400" w:hanging="360"/>
      </w:pPr>
    </w:lvl>
    <w:lvl w:ilvl="8" w:tplc="44DAF4A2"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4C8885A8">
      <w:start w:val="1"/>
      <w:numFmt w:val="lowerRoman"/>
      <w:lvlText w:val="(%1)"/>
      <w:lvlJc w:val="left"/>
      <w:pPr>
        <w:tabs>
          <w:tab w:val="num" w:pos="2448"/>
        </w:tabs>
        <w:ind w:left="2448" w:hanging="648"/>
      </w:pPr>
      <w:rPr>
        <w:rFonts w:hint="default"/>
        <w:b w:val="0"/>
        <w:i w:val="0"/>
        <w:u w:val="none"/>
      </w:rPr>
    </w:lvl>
    <w:lvl w:ilvl="1" w:tplc="FD4A8C64" w:tentative="1">
      <w:start w:val="1"/>
      <w:numFmt w:val="lowerLetter"/>
      <w:lvlText w:val="%2."/>
      <w:lvlJc w:val="left"/>
      <w:pPr>
        <w:tabs>
          <w:tab w:val="num" w:pos="1440"/>
        </w:tabs>
        <w:ind w:left="1440" w:hanging="360"/>
      </w:pPr>
    </w:lvl>
    <w:lvl w:ilvl="2" w:tplc="60D08E80" w:tentative="1">
      <w:start w:val="1"/>
      <w:numFmt w:val="lowerRoman"/>
      <w:lvlText w:val="%3."/>
      <w:lvlJc w:val="right"/>
      <w:pPr>
        <w:tabs>
          <w:tab w:val="num" w:pos="2160"/>
        </w:tabs>
        <w:ind w:left="2160" w:hanging="180"/>
      </w:pPr>
    </w:lvl>
    <w:lvl w:ilvl="3" w:tplc="6EBA4242" w:tentative="1">
      <w:start w:val="1"/>
      <w:numFmt w:val="decimal"/>
      <w:lvlText w:val="%4."/>
      <w:lvlJc w:val="left"/>
      <w:pPr>
        <w:tabs>
          <w:tab w:val="num" w:pos="2880"/>
        </w:tabs>
        <w:ind w:left="2880" w:hanging="360"/>
      </w:pPr>
    </w:lvl>
    <w:lvl w:ilvl="4" w:tplc="6F685110" w:tentative="1">
      <w:start w:val="1"/>
      <w:numFmt w:val="lowerLetter"/>
      <w:lvlText w:val="%5."/>
      <w:lvlJc w:val="left"/>
      <w:pPr>
        <w:tabs>
          <w:tab w:val="num" w:pos="3600"/>
        </w:tabs>
        <w:ind w:left="3600" w:hanging="360"/>
      </w:pPr>
    </w:lvl>
    <w:lvl w:ilvl="5" w:tplc="23ACCBFA" w:tentative="1">
      <w:start w:val="1"/>
      <w:numFmt w:val="lowerRoman"/>
      <w:lvlText w:val="%6."/>
      <w:lvlJc w:val="right"/>
      <w:pPr>
        <w:tabs>
          <w:tab w:val="num" w:pos="4320"/>
        </w:tabs>
        <w:ind w:left="4320" w:hanging="180"/>
      </w:pPr>
    </w:lvl>
    <w:lvl w:ilvl="6" w:tplc="BAF277A0" w:tentative="1">
      <w:start w:val="1"/>
      <w:numFmt w:val="decimal"/>
      <w:lvlText w:val="%7."/>
      <w:lvlJc w:val="left"/>
      <w:pPr>
        <w:tabs>
          <w:tab w:val="num" w:pos="5040"/>
        </w:tabs>
        <w:ind w:left="5040" w:hanging="360"/>
      </w:pPr>
    </w:lvl>
    <w:lvl w:ilvl="7" w:tplc="B7E66DF8" w:tentative="1">
      <w:start w:val="1"/>
      <w:numFmt w:val="lowerLetter"/>
      <w:lvlText w:val="%8."/>
      <w:lvlJc w:val="left"/>
      <w:pPr>
        <w:tabs>
          <w:tab w:val="num" w:pos="5760"/>
        </w:tabs>
        <w:ind w:left="5760" w:hanging="360"/>
      </w:pPr>
    </w:lvl>
    <w:lvl w:ilvl="8" w:tplc="504E562A"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1F69E54">
      <w:start w:val="1"/>
      <w:numFmt w:val="lowerRoman"/>
      <w:lvlText w:val="(%1)"/>
      <w:lvlJc w:val="left"/>
      <w:pPr>
        <w:tabs>
          <w:tab w:val="num" w:pos="2880"/>
        </w:tabs>
        <w:ind w:left="2880" w:hanging="720"/>
      </w:pPr>
      <w:rPr>
        <w:rFonts w:hint="default"/>
      </w:rPr>
    </w:lvl>
    <w:lvl w:ilvl="1" w:tplc="90442340" w:tentative="1">
      <w:start w:val="1"/>
      <w:numFmt w:val="lowerLetter"/>
      <w:lvlText w:val="%2."/>
      <w:lvlJc w:val="left"/>
      <w:pPr>
        <w:tabs>
          <w:tab w:val="num" w:pos="3240"/>
        </w:tabs>
        <w:ind w:left="3240" w:hanging="360"/>
      </w:pPr>
    </w:lvl>
    <w:lvl w:ilvl="2" w:tplc="C492D18E" w:tentative="1">
      <w:start w:val="1"/>
      <w:numFmt w:val="lowerRoman"/>
      <w:lvlText w:val="%3."/>
      <w:lvlJc w:val="right"/>
      <w:pPr>
        <w:tabs>
          <w:tab w:val="num" w:pos="3960"/>
        </w:tabs>
        <w:ind w:left="3960" w:hanging="180"/>
      </w:pPr>
    </w:lvl>
    <w:lvl w:ilvl="3" w:tplc="C37C27B2" w:tentative="1">
      <w:start w:val="1"/>
      <w:numFmt w:val="decimal"/>
      <w:lvlText w:val="%4."/>
      <w:lvlJc w:val="left"/>
      <w:pPr>
        <w:tabs>
          <w:tab w:val="num" w:pos="4680"/>
        </w:tabs>
        <w:ind w:left="4680" w:hanging="360"/>
      </w:pPr>
    </w:lvl>
    <w:lvl w:ilvl="4" w:tplc="56542C7E" w:tentative="1">
      <w:start w:val="1"/>
      <w:numFmt w:val="lowerLetter"/>
      <w:lvlText w:val="%5."/>
      <w:lvlJc w:val="left"/>
      <w:pPr>
        <w:tabs>
          <w:tab w:val="num" w:pos="5400"/>
        </w:tabs>
        <w:ind w:left="5400" w:hanging="360"/>
      </w:pPr>
    </w:lvl>
    <w:lvl w:ilvl="5" w:tplc="3E8C0C48" w:tentative="1">
      <w:start w:val="1"/>
      <w:numFmt w:val="lowerRoman"/>
      <w:lvlText w:val="%6."/>
      <w:lvlJc w:val="right"/>
      <w:pPr>
        <w:tabs>
          <w:tab w:val="num" w:pos="6120"/>
        </w:tabs>
        <w:ind w:left="6120" w:hanging="180"/>
      </w:pPr>
    </w:lvl>
    <w:lvl w:ilvl="6" w:tplc="9A2CF9A2" w:tentative="1">
      <w:start w:val="1"/>
      <w:numFmt w:val="decimal"/>
      <w:lvlText w:val="%7."/>
      <w:lvlJc w:val="left"/>
      <w:pPr>
        <w:tabs>
          <w:tab w:val="num" w:pos="6840"/>
        </w:tabs>
        <w:ind w:left="6840" w:hanging="360"/>
      </w:pPr>
    </w:lvl>
    <w:lvl w:ilvl="7" w:tplc="42EA8CAC" w:tentative="1">
      <w:start w:val="1"/>
      <w:numFmt w:val="lowerLetter"/>
      <w:lvlText w:val="%8."/>
      <w:lvlJc w:val="left"/>
      <w:pPr>
        <w:tabs>
          <w:tab w:val="num" w:pos="7560"/>
        </w:tabs>
        <w:ind w:left="7560" w:hanging="360"/>
      </w:pPr>
    </w:lvl>
    <w:lvl w:ilvl="8" w:tplc="45D0B24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92E26BA4">
      <w:start w:val="3"/>
      <w:numFmt w:val="lowerLetter"/>
      <w:lvlText w:val="(%1)"/>
      <w:lvlJc w:val="left"/>
      <w:pPr>
        <w:tabs>
          <w:tab w:val="num" w:pos="1440"/>
        </w:tabs>
        <w:ind w:left="1440" w:hanging="720"/>
      </w:pPr>
      <w:rPr>
        <w:rFonts w:hint="default"/>
      </w:rPr>
    </w:lvl>
    <w:lvl w:ilvl="1" w:tplc="03A080DE" w:tentative="1">
      <w:start w:val="1"/>
      <w:numFmt w:val="lowerLetter"/>
      <w:lvlText w:val="%2."/>
      <w:lvlJc w:val="left"/>
      <w:pPr>
        <w:tabs>
          <w:tab w:val="num" w:pos="1800"/>
        </w:tabs>
        <w:ind w:left="1800" w:hanging="360"/>
      </w:pPr>
    </w:lvl>
    <w:lvl w:ilvl="2" w:tplc="3E3CEFB2" w:tentative="1">
      <w:start w:val="1"/>
      <w:numFmt w:val="lowerRoman"/>
      <w:lvlText w:val="%3."/>
      <w:lvlJc w:val="right"/>
      <w:pPr>
        <w:tabs>
          <w:tab w:val="num" w:pos="2520"/>
        </w:tabs>
        <w:ind w:left="2520" w:hanging="180"/>
      </w:pPr>
    </w:lvl>
    <w:lvl w:ilvl="3" w:tplc="002E2342" w:tentative="1">
      <w:start w:val="1"/>
      <w:numFmt w:val="decimal"/>
      <w:lvlText w:val="%4."/>
      <w:lvlJc w:val="left"/>
      <w:pPr>
        <w:tabs>
          <w:tab w:val="num" w:pos="3240"/>
        </w:tabs>
        <w:ind w:left="3240" w:hanging="360"/>
      </w:pPr>
    </w:lvl>
    <w:lvl w:ilvl="4" w:tplc="0FD0F364" w:tentative="1">
      <w:start w:val="1"/>
      <w:numFmt w:val="lowerLetter"/>
      <w:lvlText w:val="%5."/>
      <w:lvlJc w:val="left"/>
      <w:pPr>
        <w:tabs>
          <w:tab w:val="num" w:pos="3960"/>
        </w:tabs>
        <w:ind w:left="3960" w:hanging="360"/>
      </w:pPr>
    </w:lvl>
    <w:lvl w:ilvl="5" w:tplc="07EEA7E2" w:tentative="1">
      <w:start w:val="1"/>
      <w:numFmt w:val="lowerRoman"/>
      <w:lvlText w:val="%6."/>
      <w:lvlJc w:val="right"/>
      <w:pPr>
        <w:tabs>
          <w:tab w:val="num" w:pos="4680"/>
        </w:tabs>
        <w:ind w:left="4680" w:hanging="180"/>
      </w:pPr>
    </w:lvl>
    <w:lvl w:ilvl="6" w:tplc="37B0CA02" w:tentative="1">
      <w:start w:val="1"/>
      <w:numFmt w:val="decimal"/>
      <w:lvlText w:val="%7."/>
      <w:lvlJc w:val="left"/>
      <w:pPr>
        <w:tabs>
          <w:tab w:val="num" w:pos="5400"/>
        </w:tabs>
        <w:ind w:left="5400" w:hanging="360"/>
      </w:pPr>
    </w:lvl>
    <w:lvl w:ilvl="7" w:tplc="2A5EE1EA" w:tentative="1">
      <w:start w:val="1"/>
      <w:numFmt w:val="lowerLetter"/>
      <w:lvlText w:val="%8."/>
      <w:lvlJc w:val="left"/>
      <w:pPr>
        <w:tabs>
          <w:tab w:val="num" w:pos="6120"/>
        </w:tabs>
        <w:ind w:left="6120" w:hanging="360"/>
      </w:pPr>
    </w:lvl>
    <w:lvl w:ilvl="8" w:tplc="65A6EC9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21CAC9D4">
      <w:start w:val="1"/>
      <w:numFmt w:val="decimal"/>
      <w:lvlText w:val="%1."/>
      <w:lvlJc w:val="left"/>
      <w:pPr>
        <w:tabs>
          <w:tab w:val="num" w:pos="720"/>
        </w:tabs>
        <w:ind w:left="720" w:hanging="360"/>
      </w:pPr>
      <w:rPr>
        <w:rFonts w:hint="default"/>
      </w:rPr>
    </w:lvl>
    <w:lvl w:ilvl="1" w:tplc="87F8CA96" w:tentative="1">
      <w:start w:val="1"/>
      <w:numFmt w:val="lowerLetter"/>
      <w:lvlText w:val="%2."/>
      <w:lvlJc w:val="left"/>
      <w:pPr>
        <w:tabs>
          <w:tab w:val="num" w:pos="1440"/>
        </w:tabs>
        <w:ind w:left="1440" w:hanging="360"/>
      </w:pPr>
    </w:lvl>
    <w:lvl w:ilvl="2" w:tplc="8662E87C" w:tentative="1">
      <w:start w:val="1"/>
      <w:numFmt w:val="lowerRoman"/>
      <w:lvlText w:val="%3."/>
      <w:lvlJc w:val="right"/>
      <w:pPr>
        <w:tabs>
          <w:tab w:val="num" w:pos="2160"/>
        </w:tabs>
        <w:ind w:left="2160" w:hanging="180"/>
      </w:pPr>
    </w:lvl>
    <w:lvl w:ilvl="3" w:tplc="A1606F22" w:tentative="1">
      <w:start w:val="1"/>
      <w:numFmt w:val="decimal"/>
      <w:lvlText w:val="%4."/>
      <w:lvlJc w:val="left"/>
      <w:pPr>
        <w:tabs>
          <w:tab w:val="num" w:pos="2880"/>
        </w:tabs>
        <w:ind w:left="2880" w:hanging="360"/>
      </w:pPr>
    </w:lvl>
    <w:lvl w:ilvl="4" w:tplc="DA06B09A" w:tentative="1">
      <w:start w:val="1"/>
      <w:numFmt w:val="lowerLetter"/>
      <w:lvlText w:val="%5."/>
      <w:lvlJc w:val="left"/>
      <w:pPr>
        <w:tabs>
          <w:tab w:val="num" w:pos="3600"/>
        </w:tabs>
        <w:ind w:left="3600" w:hanging="360"/>
      </w:pPr>
    </w:lvl>
    <w:lvl w:ilvl="5" w:tplc="8DF8D86A" w:tentative="1">
      <w:start w:val="1"/>
      <w:numFmt w:val="lowerRoman"/>
      <w:lvlText w:val="%6."/>
      <w:lvlJc w:val="right"/>
      <w:pPr>
        <w:tabs>
          <w:tab w:val="num" w:pos="4320"/>
        </w:tabs>
        <w:ind w:left="4320" w:hanging="180"/>
      </w:pPr>
    </w:lvl>
    <w:lvl w:ilvl="6" w:tplc="1A9E85C4" w:tentative="1">
      <w:start w:val="1"/>
      <w:numFmt w:val="decimal"/>
      <w:lvlText w:val="%7."/>
      <w:lvlJc w:val="left"/>
      <w:pPr>
        <w:tabs>
          <w:tab w:val="num" w:pos="5040"/>
        </w:tabs>
        <w:ind w:left="5040" w:hanging="360"/>
      </w:pPr>
    </w:lvl>
    <w:lvl w:ilvl="7" w:tplc="253831B0" w:tentative="1">
      <w:start w:val="1"/>
      <w:numFmt w:val="lowerLetter"/>
      <w:lvlText w:val="%8."/>
      <w:lvlJc w:val="left"/>
      <w:pPr>
        <w:tabs>
          <w:tab w:val="num" w:pos="5760"/>
        </w:tabs>
        <w:ind w:left="5760" w:hanging="360"/>
      </w:pPr>
    </w:lvl>
    <w:lvl w:ilvl="8" w:tplc="8494C04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1CC28886">
      <w:start w:val="1"/>
      <w:numFmt w:val="decimal"/>
      <w:lvlText w:val="%1."/>
      <w:lvlJc w:val="left"/>
      <w:pPr>
        <w:tabs>
          <w:tab w:val="num" w:pos="720"/>
        </w:tabs>
        <w:ind w:left="720" w:hanging="360"/>
      </w:pPr>
      <w:rPr>
        <w:rFonts w:hint="default"/>
      </w:rPr>
    </w:lvl>
    <w:lvl w:ilvl="1" w:tplc="27B0E8B0" w:tentative="1">
      <w:start w:val="1"/>
      <w:numFmt w:val="lowerLetter"/>
      <w:lvlText w:val="%2."/>
      <w:lvlJc w:val="left"/>
      <w:pPr>
        <w:tabs>
          <w:tab w:val="num" w:pos="1440"/>
        </w:tabs>
        <w:ind w:left="1440" w:hanging="360"/>
      </w:pPr>
    </w:lvl>
    <w:lvl w:ilvl="2" w:tplc="5518105C" w:tentative="1">
      <w:start w:val="1"/>
      <w:numFmt w:val="lowerRoman"/>
      <w:lvlText w:val="%3."/>
      <w:lvlJc w:val="right"/>
      <w:pPr>
        <w:tabs>
          <w:tab w:val="num" w:pos="2160"/>
        </w:tabs>
        <w:ind w:left="2160" w:hanging="180"/>
      </w:pPr>
    </w:lvl>
    <w:lvl w:ilvl="3" w:tplc="EC2CF134" w:tentative="1">
      <w:start w:val="1"/>
      <w:numFmt w:val="decimal"/>
      <w:lvlText w:val="%4."/>
      <w:lvlJc w:val="left"/>
      <w:pPr>
        <w:tabs>
          <w:tab w:val="num" w:pos="2880"/>
        </w:tabs>
        <w:ind w:left="2880" w:hanging="360"/>
      </w:pPr>
    </w:lvl>
    <w:lvl w:ilvl="4" w:tplc="E988A744" w:tentative="1">
      <w:start w:val="1"/>
      <w:numFmt w:val="lowerLetter"/>
      <w:lvlText w:val="%5."/>
      <w:lvlJc w:val="left"/>
      <w:pPr>
        <w:tabs>
          <w:tab w:val="num" w:pos="3600"/>
        </w:tabs>
        <w:ind w:left="3600" w:hanging="360"/>
      </w:pPr>
    </w:lvl>
    <w:lvl w:ilvl="5" w:tplc="82EAAE92" w:tentative="1">
      <w:start w:val="1"/>
      <w:numFmt w:val="lowerRoman"/>
      <w:lvlText w:val="%6."/>
      <w:lvlJc w:val="right"/>
      <w:pPr>
        <w:tabs>
          <w:tab w:val="num" w:pos="4320"/>
        </w:tabs>
        <w:ind w:left="4320" w:hanging="180"/>
      </w:pPr>
    </w:lvl>
    <w:lvl w:ilvl="6" w:tplc="B70000DE" w:tentative="1">
      <w:start w:val="1"/>
      <w:numFmt w:val="decimal"/>
      <w:lvlText w:val="%7."/>
      <w:lvlJc w:val="left"/>
      <w:pPr>
        <w:tabs>
          <w:tab w:val="num" w:pos="5040"/>
        </w:tabs>
        <w:ind w:left="5040" w:hanging="360"/>
      </w:pPr>
    </w:lvl>
    <w:lvl w:ilvl="7" w:tplc="8108A0DC" w:tentative="1">
      <w:start w:val="1"/>
      <w:numFmt w:val="lowerLetter"/>
      <w:lvlText w:val="%8."/>
      <w:lvlJc w:val="left"/>
      <w:pPr>
        <w:tabs>
          <w:tab w:val="num" w:pos="5760"/>
        </w:tabs>
        <w:ind w:left="5760" w:hanging="360"/>
      </w:pPr>
    </w:lvl>
    <w:lvl w:ilvl="8" w:tplc="A3DA6530"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E13EA320">
      <w:start w:val="1"/>
      <w:numFmt w:val="decimal"/>
      <w:lvlText w:val="%1."/>
      <w:lvlJc w:val="left"/>
      <w:pPr>
        <w:tabs>
          <w:tab w:val="num" w:pos="720"/>
        </w:tabs>
        <w:ind w:left="720" w:hanging="360"/>
      </w:pPr>
      <w:rPr>
        <w:rFonts w:hint="default"/>
      </w:rPr>
    </w:lvl>
    <w:lvl w:ilvl="1" w:tplc="A08A35D8">
      <w:start w:val="1"/>
      <w:numFmt w:val="lowerLetter"/>
      <w:lvlText w:val="%2."/>
      <w:lvlJc w:val="left"/>
      <w:pPr>
        <w:tabs>
          <w:tab w:val="num" w:pos="1440"/>
        </w:tabs>
        <w:ind w:left="1440" w:hanging="360"/>
      </w:pPr>
    </w:lvl>
    <w:lvl w:ilvl="2" w:tplc="F9B40C6C">
      <w:start w:val="1"/>
      <w:numFmt w:val="lowerRoman"/>
      <w:lvlText w:val="(%3)"/>
      <w:lvlJc w:val="left"/>
      <w:pPr>
        <w:tabs>
          <w:tab w:val="num" w:pos="2700"/>
        </w:tabs>
        <w:ind w:left="2700" w:hanging="720"/>
      </w:pPr>
      <w:rPr>
        <w:rFonts w:hint="default"/>
      </w:rPr>
    </w:lvl>
    <w:lvl w:ilvl="3" w:tplc="D8142514" w:tentative="1">
      <w:start w:val="1"/>
      <w:numFmt w:val="decimal"/>
      <w:lvlText w:val="%4."/>
      <w:lvlJc w:val="left"/>
      <w:pPr>
        <w:tabs>
          <w:tab w:val="num" w:pos="2880"/>
        </w:tabs>
        <w:ind w:left="2880" w:hanging="360"/>
      </w:pPr>
    </w:lvl>
    <w:lvl w:ilvl="4" w:tplc="F6B89A5E" w:tentative="1">
      <w:start w:val="1"/>
      <w:numFmt w:val="lowerLetter"/>
      <w:lvlText w:val="%5."/>
      <w:lvlJc w:val="left"/>
      <w:pPr>
        <w:tabs>
          <w:tab w:val="num" w:pos="3600"/>
        </w:tabs>
        <w:ind w:left="3600" w:hanging="360"/>
      </w:pPr>
    </w:lvl>
    <w:lvl w:ilvl="5" w:tplc="96D04A66" w:tentative="1">
      <w:start w:val="1"/>
      <w:numFmt w:val="lowerRoman"/>
      <w:lvlText w:val="%6."/>
      <w:lvlJc w:val="right"/>
      <w:pPr>
        <w:tabs>
          <w:tab w:val="num" w:pos="4320"/>
        </w:tabs>
        <w:ind w:left="4320" w:hanging="180"/>
      </w:pPr>
    </w:lvl>
    <w:lvl w:ilvl="6" w:tplc="A0BE0962" w:tentative="1">
      <w:start w:val="1"/>
      <w:numFmt w:val="decimal"/>
      <w:lvlText w:val="%7."/>
      <w:lvlJc w:val="left"/>
      <w:pPr>
        <w:tabs>
          <w:tab w:val="num" w:pos="5040"/>
        </w:tabs>
        <w:ind w:left="5040" w:hanging="360"/>
      </w:pPr>
    </w:lvl>
    <w:lvl w:ilvl="7" w:tplc="5E984F50" w:tentative="1">
      <w:start w:val="1"/>
      <w:numFmt w:val="lowerLetter"/>
      <w:lvlText w:val="%8."/>
      <w:lvlJc w:val="left"/>
      <w:pPr>
        <w:tabs>
          <w:tab w:val="num" w:pos="5760"/>
        </w:tabs>
        <w:ind w:left="5760" w:hanging="360"/>
      </w:pPr>
    </w:lvl>
    <w:lvl w:ilvl="8" w:tplc="114E21D6"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E0CD124">
      <w:start w:val="1"/>
      <w:numFmt w:val="decimal"/>
      <w:lvlText w:val="%1."/>
      <w:lvlJc w:val="left"/>
      <w:pPr>
        <w:tabs>
          <w:tab w:val="num" w:pos="1080"/>
        </w:tabs>
        <w:ind w:left="1080" w:hanging="360"/>
      </w:pPr>
      <w:rPr>
        <w:b w:val="0"/>
      </w:rPr>
    </w:lvl>
    <w:lvl w:ilvl="1" w:tplc="D302A222">
      <w:start w:val="1"/>
      <w:numFmt w:val="lowerLetter"/>
      <w:lvlText w:val="%2."/>
      <w:lvlJc w:val="left"/>
      <w:pPr>
        <w:tabs>
          <w:tab w:val="num" w:pos="1800"/>
        </w:tabs>
        <w:ind w:left="1800" w:hanging="360"/>
      </w:pPr>
    </w:lvl>
    <w:lvl w:ilvl="2" w:tplc="8462220A">
      <w:start w:val="1"/>
      <w:numFmt w:val="lowerRoman"/>
      <w:lvlText w:val="%3."/>
      <w:lvlJc w:val="right"/>
      <w:pPr>
        <w:tabs>
          <w:tab w:val="num" w:pos="2520"/>
        </w:tabs>
        <w:ind w:left="2520" w:hanging="180"/>
      </w:pPr>
    </w:lvl>
    <w:lvl w:ilvl="3" w:tplc="4EEC32C6">
      <w:start w:val="1"/>
      <w:numFmt w:val="decimal"/>
      <w:lvlText w:val="%4."/>
      <w:lvlJc w:val="left"/>
      <w:pPr>
        <w:tabs>
          <w:tab w:val="num" w:pos="3240"/>
        </w:tabs>
        <w:ind w:left="3240" w:hanging="360"/>
      </w:pPr>
    </w:lvl>
    <w:lvl w:ilvl="4" w:tplc="32287A78">
      <w:start w:val="1"/>
      <w:numFmt w:val="lowerLetter"/>
      <w:lvlText w:val="%5."/>
      <w:lvlJc w:val="left"/>
      <w:pPr>
        <w:tabs>
          <w:tab w:val="num" w:pos="3960"/>
        </w:tabs>
        <w:ind w:left="3960" w:hanging="360"/>
      </w:pPr>
    </w:lvl>
    <w:lvl w:ilvl="5" w:tplc="E3EEA27C">
      <w:start w:val="1"/>
      <w:numFmt w:val="lowerRoman"/>
      <w:lvlText w:val="%6."/>
      <w:lvlJc w:val="right"/>
      <w:pPr>
        <w:tabs>
          <w:tab w:val="num" w:pos="4680"/>
        </w:tabs>
        <w:ind w:left="4680" w:hanging="180"/>
      </w:pPr>
    </w:lvl>
    <w:lvl w:ilvl="6" w:tplc="F140D58E">
      <w:start w:val="1"/>
      <w:numFmt w:val="decimal"/>
      <w:lvlText w:val="%7."/>
      <w:lvlJc w:val="left"/>
      <w:pPr>
        <w:tabs>
          <w:tab w:val="num" w:pos="5400"/>
        </w:tabs>
        <w:ind w:left="5400" w:hanging="360"/>
      </w:pPr>
    </w:lvl>
    <w:lvl w:ilvl="7" w:tplc="4BB23BDA">
      <w:start w:val="1"/>
      <w:numFmt w:val="lowerLetter"/>
      <w:lvlText w:val="%8."/>
      <w:lvlJc w:val="left"/>
      <w:pPr>
        <w:tabs>
          <w:tab w:val="num" w:pos="6120"/>
        </w:tabs>
        <w:ind w:left="6120" w:hanging="360"/>
      </w:pPr>
    </w:lvl>
    <w:lvl w:ilvl="8" w:tplc="AD669EB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AD3A1796">
      <w:start w:val="1"/>
      <w:numFmt w:val="decimal"/>
      <w:lvlText w:val="%1."/>
      <w:lvlJc w:val="left"/>
      <w:pPr>
        <w:tabs>
          <w:tab w:val="num" w:pos="720"/>
        </w:tabs>
        <w:ind w:left="720" w:hanging="360"/>
      </w:pPr>
      <w:rPr>
        <w:rFonts w:hint="default"/>
      </w:rPr>
    </w:lvl>
    <w:lvl w:ilvl="1" w:tplc="31B4506A" w:tentative="1">
      <w:start w:val="1"/>
      <w:numFmt w:val="lowerLetter"/>
      <w:lvlText w:val="%2."/>
      <w:lvlJc w:val="left"/>
      <w:pPr>
        <w:tabs>
          <w:tab w:val="num" w:pos="1440"/>
        </w:tabs>
        <w:ind w:left="1440" w:hanging="360"/>
      </w:pPr>
    </w:lvl>
    <w:lvl w:ilvl="2" w:tplc="4ABC6730" w:tentative="1">
      <w:start w:val="1"/>
      <w:numFmt w:val="lowerRoman"/>
      <w:lvlText w:val="%3."/>
      <w:lvlJc w:val="right"/>
      <w:pPr>
        <w:tabs>
          <w:tab w:val="num" w:pos="2160"/>
        </w:tabs>
        <w:ind w:left="2160" w:hanging="180"/>
      </w:pPr>
    </w:lvl>
    <w:lvl w:ilvl="3" w:tplc="FD50A5BE" w:tentative="1">
      <w:start w:val="1"/>
      <w:numFmt w:val="decimal"/>
      <w:lvlText w:val="%4."/>
      <w:lvlJc w:val="left"/>
      <w:pPr>
        <w:tabs>
          <w:tab w:val="num" w:pos="2880"/>
        </w:tabs>
        <w:ind w:left="2880" w:hanging="360"/>
      </w:pPr>
    </w:lvl>
    <w:lvl w:ilvl="4" w:tplc="0548E90A" w:tentative="1">
      <w:start w:val="1"/>
      <w:numFmt w:val="lowerLetter"/>
      <w:lvlText w:val="%5."/>
      <w:lvlJc w:val="left"/>
      <w:pPr>
        <w:tabs>
          <w:tab w:val="num" w:pos="3600"/>
        </w:tabs>
        <w:ind w:left="3600" w:hanging="360"/>
      </w:pPr>
    </w:lvl>
    <w:lvl w:ilvl="5" w:tplc="B238BE6C" w:tentative="1">
      <w:start w:val="1"/>
      <w:numFmt w:val="lowerRoman"/>
      <w:lvlText w:val="%6."/>
      <w:lvlJc w:val="right"/>
      <w:pPr>
        <w:tabs>
          <w:tab w:val="num" w:pos="4320"/>
        </w:tabs>
        <w:ind w:left="4320" w:hanging="180"/>
      </w:pPr>
    </w:lvl>
    <w:lvl w:ilvl="6" w:tplc="CC3CD3B4" w:tentative="1">
      <w:start w:val="1"/>
      <w:numFmt w:val="decimal"/>
      <w:lvlText w:val="%7."/>
      <w:lvlJc w:val="left"/>
      <w:pPr>
        <w:tabs>
          <w:tab w:val="num" w:pos="5040"/>
        </w:tabs>
        <w:ind w:left="5040" w:hanging="360"/>
      </w:pPr>
    </w:lvl>
    <w:lvl w:ilvl="7" w:tplc="236E983E" w:tentative="1">
      <w:start w:val="1"/>
      <w:numFmt w:val="lowerLetter"/>
      <w:lvlText w:val="%8."/>
      <w:lvlJc w:val="left"/>
      <w:pPr>
        <w:tabs>
          <w:tab w:val="num" w:pos="5760"/>
        </w:tabs>
        <w:ind w:left="5760" w:hanging="360"/>
      </w:pPr>
    </w:lvl>
    <w:lvl w:ilvl="8" w:tplc="316C4DE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AF724FC4">
      <w:start w:val="1"/>
      <w:numFmt w:val="bullet"/>
      <w:lvlText w:val=""/>
      <w:lvlJc w:val="left"/>
      <w:pPr>
        <w:tabs>
          <w:tab w:val="num" w:pos="5760"/>
        </w:tabs>
        <w:ind w:left="5760" w:hanging="360"/>
      </w:pPr>
      <w:rPr>
        <w:rFonts w:ascii="Symbol" w:hAnsi="Symbol" w:hint="default"/>
        <w:color w:val="auto"/>
        <w:u w:val="none"/>
      </w:rPr>
    </w:lvl>
    <w:lvl w:ilvl="1" w:tplc="885825D8" w:tentative="1">
      <w:start w:val="1"/>
      <w:numFmt w:val="bullet"/>
      <w:lvlText w:val="o"/>
      <w:lvlJc w:val="left"/>
      <w:pPr>
        <w:tabs>
          <w:tab w:val="num" w:pos="3600"/>
        </w:tabs>
        <w:ind w:left="3600" w:hanging="360"/>
      </w:pPr>
      <w:rPr>
        <w:rFonts w:ascii="Courier New" w:hAnsi="Courier New" w:hint="default"/>
      </w:rPr>
    </w:lvl>
    <w:lvl w:ilvl="2" w:tplc="1B0850C2" w:tentative="1">
      <w:start w:val="1"/>
      <w:numFmt w:val="bullet"/>
      <w:lvlText w:val=""/>
      <w:lvlJc w:val="left"/>
      <w:pPr>
        <w:tabs>
          <w:tab w:val="num" w:pos="4320"/>
        </w:tabs>
        <w:ind w:left="4320" w:hanging="360"/>
      </w:pPr>
      <w:rPr>
        <w:rFonts w:ascii="Wingdings" w:hAnsi="Wingdings" w:hint="default"/>
      </w:rPr>
    </w:lvl>
    <w:lvl w:ilvl="3" w:tplc="AEA45D8C">
      <w:start w:val="1"/>
      <w:numFmt w:val="bullet"/>
      <w:lvlText w:val=""/>
      <w:lvlJc w:val="left"/>
      <w:pPr>
        <w:tabs>
          <w:tab w:val="num" w:pos="5040"/>
        </w:tabs>
        <w:ind w:left="5040" w:hanging="360"/>
      </w:pPr>
      <w:rPr>
        <w:rFonts w:ascii="Symbol" w:hAnsi="Symbol" w:hint="default"/>
      </w:rPr>
    </w:lvl>
    <w:lvl w:ilvl="4" w:tplc="4B6AB36A" w:tentative="1">
      <w:start w:val="1"/>
      <w:numFmt w:val="bullet"/>
      <w:lvlText w:val="o"/>
      <w:lvlJc w:val="left"/>
      <w:pPr>
        <w:tabs>
          <w:tab w:val="num" w:pos="5760"/>
        </w:tabs>
        <w:ind w:left="5760" w:hanging="360"/>
      </w:pPr>
      <w:rPr>
        <w:rFonts w:ascii="Courier New" w:hAnsi="Courier New" w:hint="default"/>
      </w:rPr>
    </w:lvl>
    <w:lvl w:ilvl="5" w:tplc="7B504BF2" w:tentative="1">
      <w:start w:val="1"/>
      <w:numFmt w:val="bullet"/>
      <w:lvlText w:val=""/>
      <w:lvlJc w:val="left"/>
      <w:pPr>
        <w:tabs>
          <w:tab w:val="num" w:pos="6480"/>
        </w:tabs>
        <w:ind w:left="6480" w:hanging="360"/>
      </w:pPr>
      <w:rPr>
        <w:rFonts w:ascii="Wingdings" w:hAnsi="Wingdings" w:hint="default"/>
      </w:rPr>
    </w:lvl>
    <w:lvl w:ilvl="6" w:tplc="0F56AE70" w:tentative="1">
      <w:start w:val="1"/>
      <w:numFmt w:val="bullet"/>
      <w:lvlText w:val=""/>
      <w:lvlJc w:val="left"/>
      <w:pPr>
        <w:tabs>
          <w:tab w:val="num" w:pos="7200"/>
        </w:tabs>
        <w:ind w:left="7200" w:hanging="360"/>
      </w:pPr>
      <w:rPr>
        <w:rFonts w:ascii="Symbol" w:hAnsi="Symbol" w:hint="default"/>
      </w:rPr>
    </w:lvl>
    <w:lvl w:ilvl="7" w:tplc="6A629A9C" w:tentative="1">
      <w:start w:val="1"/>
      <w:numFmt w:val="bullet"/>
      <w:lvlText w:val="o"/>
      <w:lvlJc w:val="left"/>
      <w:pPr>
        <w:tabs>
          <w:tab w:val="num" w:pos="7920"/>
        </w:tabs>
        <w:ind w:left="7920" w:hanging="360"/>
      </w:pPr>
      <w:rPr>
        <w:rFonts w:ascii="Courier New" w:hAnsi="Courier New" w:hint="default"/>
      </w:rPr>
    </w:lvl>
    <w:lvl w:ilvl="8" w:tplc="E9CCC13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343E9CD0">
      <w:start w:val="1"/>
      <w:numFmt w:val="lowerRoman"/>
      <w:lvlText w:val="(%1)"/>
      <w:lvlJc w:val="left"/>
      <w:pPr>
        <w:tabs>
          <w:tab w:val="num" w:pos="1080"/>
        </w:tabs>
        <w:ind w:left="1080" w:hanging="720"/>
      </w:pPr>
      <w:rPr>
        <w:rFonts w:hint="default"/>
      </w:rPr>
    </w:lvl>
    <w:lvl w:ilvl="1" w:tplc="6B58A6A8">
      <w:start w:val="1"/>
      <w:numFmt w:val="lowerLetter"/>
      <w:lvlText w:val="%2."/>
      <w:lvlJc w:val="left"/>
      <w:pPr>
        <w:tabs>
          <w:tab w:val="num" w:pos="1440"/>
        </w:tabs>
        <w:ind w:left="1440" w:hanging="360"/>
      </w:pPr>
    </w:lvl>
    <w:lvl w:ilvl="2" w:tplc="119E564C" w:tentative="1">
      <w:start w:val="1"/>
      <w:numFmt w:val="lowerRoman"/>
      <w:lvlText w:val="%3."/>
      <w:lvlJc w:val="right"/>
      <w:pPr>
        <w:tabs>
          <w:tab w:val="num" w:pos="2160"/>
        </w:tabs>
        <w:ind w:left="2160" w:hanging="180"/>
      </w:pPr>
    </w:lvl>
    <w:lvl w:ilvl="3" w:tplc="247869AC" w:tentative="1">
      <w:start w:val="1"/>
      <w:numFmt w:val="decimal"/>
      <w:lvlText w:val="%4."/>
      <w:lvlJc w:val="left"/>
      <w:pPr>
        <w:tabs>
          <w:tab w:val="num" w:pos="2880"/>
        </w:tabs>
        <w:ind w:left="2880" w:hanging="360"/>
      </w:pPr>
    </w:lvl>
    <w:lvl w:ilvl="4" w:tplc="536A7220" w:tentative="1">
      <w:start w:val="1"/>
      <w:numFmt w:val="lowerLetter"/>
      <w:lvlText w:val="%5."/>
      <w:lvlJc w:val="left"/>
      <w:pPr>
        <w:tabs>
          <w:tab w:val="num" w:pos="3600"/>
        </w:tabs>
        <w:ind w:left="3600" w:hanging="360"/>
      </w:pPr>
    </w:lvl>
    <w:lvl w:ilvl="5" w:tplc="981629A6" w:tentative="1">
      <w:start w:val="1"/>
      <w:numFmt w:val="lowerRoman"/>
      <w:lvlText w:val="%6."/>
      <w:lvlJc w:val="right"/>
      <w:pPr>
        <w:tabs>
          <w:tab w:val="num" w:pos="4320"/>
        </w:tabs>
        <w:ind w:left="4320" w:hanging="180"/>
      </w:pPr>
    </w:lvl>
    <w:lvl w:ilvl="6" w:tplc="53C656BA" w:tentative="1">
      <w:start w:val="1"/>
      <w:numFmt w:val="decimal"/>
      <w:lvlText w:val="%7."/>
      <w:lvlJc w:val="left"/>
      <w:pPr>
        <w:tabs>
          <w:tab w:val="num" w:pos="5040"/>
        </w:tabs>
        <w:ind w:left="5040" w:hanging="360"/>
      </w:pPr>
    </w:lvl>
    <w:lvl w:ilvl="7" w:tplc="AA82D40E" w:tentative="1">
      <w:start w:val="1"/>
      <w:numFmt w:val="lowerLetter"/>
      <w:lvlText w:val="%8."/>
      <w:lvlJc w:val="left"/>
      <w:pPr>
        <w:tabs>
          <w:tab w:val="num" w:pos="5760"/>
        </w:tabs>
        <w:ind w:left="5760" w:hanging="360"/>
      </w:pPr>
    </w:lvl>
    <w:lvl w:ilvl="8" w:tplc="D95AF4D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A4"/>
    <w:rsid w:val="005954A4"/>
    <w:rsid w:val="00A7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17895-BF3D-4C83-95B6-72A18657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9463</Words>
  <Characters>53944</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2019-02-25T19:19:00Z</dcterms:created>
  <dcterms:modified xsi:type="dcterms:W3CDTF">2019-02-25T19:19:00Z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