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130290"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130290"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130290"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130290"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130290"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130290"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130290"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130290"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130290"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130290"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130290"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130290" w:rsidP="0094074F">
      <w:pPr>
        <w:pStyle w:val="Bodypara"/>
        <w:rPr>
          <w:szCs w:val="24"/>
        </w:rPr>
      </w:pPr>
      <w:r w:rsidRPr="00EA3055">
        <w:rPr>
          <w:szCs w:val="24"/>
        </w:rPr>
        <w:t>Sections 14.1.2-14.1.6 do not apply to the development of the NYPA TSC, which is described in Section 14.1.7.</w:t>
      </w:r>
    </w:p>
    <w:p w:rsidR="0094074F" w:rsidRPr="00EA3055" w:rsidRDefault="00130290" w:rsidP="0094074F">
      <w:pPr>
        <w:pStyle w:val="Heading4"/>
        <w:rPr>
          <w:szCs w:val="24"/>
        </w:rPr>
      </w:pPr>
      <w:bookmarkStart w:id="4" w:name="_Toc263255396"/>
      <w:r w:rsidRPr="00EA3055">
        <w:rPr>
          <w:szCs w:val="24"/>
        </w:rPr>
        <w:t>14.1.2.1</w:t>
      </w:r>
      <w:r w:rsidRPr="00EA3055">
        <w:rPr>
          <w:szCs w:val="24"/>
        </w:rPr>
        <w:tab/>
        <w:t>Wholesale TSC Formula</w:t>
      </w:r>
      <w:bookmarkEnd w:id="4"/>
    </w:p>
    <w:p w:rsidR="0094074F" w:rsidRPr="009D5A79" w:rsidRDefault="00130290"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046966" w:rsidRDefault="00130290" w:rsidP="00837825">
      <w:pPr>
        <w:pStyle w:val="equation"/>
      </w:pPr>
      <w:r w:rsidRPr="00EB2942">
        <w:t>WHOLESALE TSC = {(RR</w:t>
      </w:r>
      <w:r w:rsidRPr="00EB2942">
        <w:rPr>
          <w:strike/>
        </w:rPr>
        <w:t>:</w:t>
      </w:r>
      <w:r w:rsidRPr="00EB2942">
        <w:t>12) + (CCC</w:t>
      </w:r>
      <w:r w:rsidRPr="00EB2942">
        <w:rPr>
          <w:strike/>
        </w:rPr>
        <w:t>:</w:t>
      </w:r>
      <w:r w:rsidRPr="00EB2942">
        <w:t>12) - SR - ECR - CRR - WR - Reserved}/(BU</w:t>
      </w:r>
      <w:r w:rsidRPr="00EB2942">
        <w:rPr>
          <w:strike/>
        </w:rPr>
        <w:t>:</w:t>
      </w:r>
      <w:r w:rsidRPr="00EB2942">
        <w:t>12)</w:t>
      </w:r>
      <w:r w:rsidRPr="00046966">
        <w:t>.</w:t>
      </w:r>
    </w:p>
    <w:p w:rsidR="0094074F" w:rsidRPr="00EA3055" w:rsidRDefault="00130290">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130290"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130290"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130290"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130290"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130290"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130290"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130290"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130290"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130290" w:rsidP="008F24D5">
      <w:pPr>
        <w:pStyle w:val="subhead"/>
        <w:rPr>
          <w:lang w:val="pt-PT"/>
        </w:rPr>
      </w:pPr>
      <w:r w:rsidRPr="008F24D5">
        <w:rPr>
          <w:lang w:val="pt-PT"/>
        </w:rPr>
        <w:t>14.1.2.1.1</w:t>
      </w:r>
      <w:r w:rsidRPr="008F24D5">
        <w:rPr>
          <w:lang w:val="pt-PT"/>
        </w:rPr>
        <w:tab/>
        <w:t>Elements of SR Component</w:t>
      </w:r>
    </w:p>
    <w:p w:rsidR="0094074F" w:rsidRPr="008F24D5" w:rsidRDefault="00130290"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130290"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130290"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130290"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130290"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r w:rsidRPr="00320F96">
        <w:rPr>
          <w:szCs w:val="24"/>
        </w:rPr>
        <w:t xml:space="preserve"> (including extensions of Historic Fixed Price TCCs </w:t>
      </w:r>
      <w:r w:rsidRPr="00320F96">
        <w:rPr>
          <w:szCs w:val="24"/>
        </w:rPr>
        <w:t xml:space="preserve">awarded </w:t>
      </w:r>
      <w:r w:rsidRPr="00320F96">
        <w:rPr>
          <w:szCs w:val="24"/>
        </w:rPr>
        <w:t xml:space="preserve">pursuant to </w:t>
      </w:r>
      <w:r w:rsidRPr="00320F96">
        <w:rPr>
          <w:szCs w:val="24"/>
        </w:rPr>
        <w:t>Section 19.2.1.4 of Attachment M of the OATT)</w:t>
      </w:r>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r w:rsidRPr="00320F96">
        <w:rPr>
          <w:szCs w:val="24"/>
        </w:rPr>
        <w:t xml:space="preserve">(including extensions of Historic Fixed Price TCCs </w:t>
      </w:r>
      <w:r w:rsidRPr="00320F96">
        <w:rPr>
          <w:szCs w:val="24"/>
        </w:rPr>
        <w:t xml:space="preserve">awarded </w:t>
      </w:r>
      <w:r w:rsidRPr="00320F96">
        <w:rPr>
          <w:szCs w:val="24"/>
        </w:rPr>
        <w:t>pursuant to Section 19.2.1.4 of Attachment M of the OATT)</w:t>
      </w:r>
      <w:r>
        <w:rPr>
          <w:szCs w:val="24"/>
        </w:rPr>
        <w:t xml:space="preserve"> </w:t>
      </w:r>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130290"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130290" w:rsidP="00837825">
      <w:pPr>
        <w:pStyle w:val="subhead"/>
      </w:pPr>
      <w:bookmarkStart w:id="5" w:name="_Toc263255397"/>
      <w:r w:rsidRPr="00046966">
        <w:t>14.1.2.1.</w:t>
      </w:r>
      <w:r>
        <w:t>2</w:t>
      </w:r>
      <w:r>
        <w:tab/>
      </w:r>
      <w:r w:rsidRPr="00046966">
        <w:t>Elements of the WR Component</w:t>
      </w:r>
      <w:bookmarkEnd w:id="5"/>
    </w:p>
    <w:p w:rsidR="0094074F" w:rsidRPr="00046966" w:rsidRDefault="00130290"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130290"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130290" w:rsidP="00837825">
      <w:pPr>
        <w:pStyle w:val="subhead"/>
      </w:pPr>
      <w:bookmarkStart w:id="6" w:name="_Toc263255398"/>
      <w:r w:rsidRPr="00046966">
        <w:t>14.1.2.1.2</w:t>
      </w:r>
      <w:r>
        <w:t>.1</w:t>
      </w:r>
      <w:r w:rsidRPr="00046966">
        <w:tab/>
        <w:t>Treatment of Schedule 1 Associated with Grandfathered OATT Service</w:t>
      </w:r>
      <w:bookmarkEnd w:id="6"/>
    </w:p>
    <w:p w:rsidR="0094074F" w:rsidRDefault="00130290"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130290" w:rsidP="00837825">
      <w:pPr>
        <w:pStyle w:val="subhead"/>
      </w:pPr>
      <w:r w:rsidRPr="008F24D5">
        <w:t>14.1.2.1.3</w:t>
      </w:r>
      <w:r w:rsidRPr="008F24D5">
        <w:tab/>
      </w:r>
      <w:r w:rsidRPr="00837825">
        <w:t>Elements</w:t>
      </w:r>
      <w:r w:rsidRPr="008F24D5">
        <w:t xml:space="preserve"> of</w:t>
      </w:r>
      <w:r w:rsidRPr="008F24D5">
        <w:t xml:space="preserve"> the Reserved Component </w:t>
      </w:r>
    </w:p>
    <w:p w:rsidR="0094074F" w:rsidRPr="00837825" w:rsidRDefault="00130290" w:rsidP="00837825">
      <w:pPr>
        <w:pStyle w:val="equationtext"/>
      </w:pPr>
      <w:r w:rsidRPr="00837825">
        <w:t>Reserved =</w:t>
      </w:r>
      <w:r w:rsidRPr="00837825">
        <w:tab/>
        <w:t>Reserved1 + Reserved2 + Reserved3 + Reserved4</w:t>
      </w:r>
    </w:p>
    <w:p w:rsidR="0094074F" w:rsidRDefault="00130290"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Owner’s ETCNL TCCs.  </w:t>
      </w:r>
    </w:p>
    <w:p w:rsidR="0094074F" w:rsidRDefault="00130290"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w:t>
      </w:r>
      <w:r w:rsidRPr="00046966">
        <w:rPr>
          <w:rFonts w:eastAsia="Times New Roman"/>
          <w:szCs w:val="24"/>
        </w:rPr>
        <w:t xml:space="preserve"> received pursuant to Section 20.2.3 of Attachment N of this Tariff for the Transmission Owner’s RCRR TCCs.  </w:t>
      </w:r>
    </w:p>
    <w:p w:rsidR="0094074F" w:rsidRDefault="00130290"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Owner receives for the sale of its ETCNL TCCs in a month, with the value for each ETCNL TCC sol</w:t>
      </w:r>
      <w:r w:rsidRPr="00046966">
        <w:rPr>
          <w:rFonts w:eastAsia="Times New Roman"/>
          <w:szCs w:val="24"/>
        </w:rPr>
        <w:t>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130290"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130290"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said TCCs or from the collection of Congestion Rents for said TCCs.  The ECR, CRR, WR, and Rese</w:t>
      </w:r>
      <w:r w:rsidRPr="00046966">
        <w:rPr>
          <w:rFonts w:eastAsia="Times New Roman"/>
          <w:szCs w:val="24"/>
        </w:rPr>
        <w:t>rved shall be updated prior to the start of each month based on actual data for the calendar month prior to the month in which the adjustment is made (e.g., January actual data will be used in February to calculate the TSC effective in March).  The TSC sha</w:t>
      </w:r>
      <w:r w:rsidRPr="00046966">
        <w:rPr>
          <w:rFonts w:eastAsia="Times New Roman"/>
          <w:szCs w:val="24"/>
        </w:rPr>
        <w:t>ll not apply to the scheduled quantities physically Curtailed by the ISO.</w:t>
      </w:r>
    </w:p>
    <w:p w:rsidR="0094074F" w:rsidRPr="00046966" w:rsidRDefault="00130290" w:rsidP="0094074F">
      <w:pPr>
        <w:pStyle w:val="Bodypara"/>
        <w:rPr>
          <w:rFonts w:eastAsia="Times New Roman"/>
          <w:szCs w:val="24"/>
        </w:rPr>
      </w:pPr>
      <w:r w:rsidRPr="00046966">
        <w:rPr>
          <w:rFonts w:eastAsia="Times New Roman"/>
          <w:szCs w:val="24"/>
        </w:rPr>
        <w:t xml:space="preserve">Each Member System is responsible for calculating: (1) the RR component of its TSC charge;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w:t>
      </w:r>
      <w:r>
        <w:rPr>
          <w:rFonts w:eastAsia="Times New Roman"/>
          <w:szCs w:val="24"/>
        </w:rPr>
        <w:t xml:space="preserve">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130290"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Member System's TSC charge based on informatio</w:t>
      </w:r>
      <w:r w:rsidRPr="00046966">
        <w:rPr>
          <w:rFonts w:eastAsia="Times New Roman"/>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eastAsia="Times New Roman"/>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eastAsia="Times New Roman"/>
          <w:szCs w:val="24"/>
        </w:rPr>
        <w:t xml:space="preserve">n information provided by the Member System and information derived from ISO operation.  Any calculations that the ISO is responsible for are subject to review and comment by all affected parties.  </w:t>
      </w:r>
    </w:p>
    <w:p w:rsidR="0094074F" w:rsidRPr="00046966" w:rsidRDefault="00130290" w:rsidP="0094074F">
      <w:pPr>
        <w:pStyle w:val="Bodypara"/>
        <w:rPr>
          <w:rFonts w:eastAsia="Times New Roman"/>
          <w:szCs w:val="24"/>
        </w:rPr>
      </w:pPr>
      <w:r w:rsidRPr="00046966">
        <w:rPr>
          <w:rFonts w:eastAsia="Times New Roman"/>
          <w:szCs w:val="24"/>
        </w:rPr>
        <w:t>The RR term will be updated based on Transmission Owner f</w:t>
      </w:r>
      <w:r w:rsidRPr="00046966">
        <w:rPr>
          <w:rFonts w:eastAsia="Times New Roman"/>
          <w:szCs w:val="24"/>
        </w:rPr>
        <w:t>ilings to FERC (or a NYISO filing to FERC on behalf of LIPA) under the FPA.  These filings will be made when a Transmission Owner determines that a change to its RR is required under Section 205.</w:t>
      </w:r>
    </w:p>
    <w:p w:rsidR="0094074F" w:rsidRPr="00046966" w:rsidRDefault="00130290" w:rsidP="0094074F">
      <w:pPr>
        <w:pStyle w:val="Bodypara"/>
        <w:rPr>
          <w:rFonts w:eastAsia="Times New Roman"/>
          <w:szCs w:val="24"/>
        </w:rPr>
      </w:pPr>
      <w:r w:rsidRPr="00046966">
        <w:rPr>
          <w:rFonts w:eastAsia="Times New Roman"/>
          <w:szCs w:val="24"/>
        </w:rPr>
        <w:t>The CCC term will be updated based on Transmission Owner fil</w:t>
      </w:r>
      <w:r w:rsidRPr="00046966">
        <w:rPr>
          <w:rFonts w:eastAsia="Times New Roman"/>
          <w:szCs w:val="24"/>
        </w:rPr>
        <w:t>ings to FERC (or a NYISO filing to FERC on behalf of LIPA) under the FPA. These filings will be made when the Transmission Owner determines that a change to the CCC is required.</w:t>
      </w:r>
    </w:p>
    <w:p w:rsidR="0094074F" w:rsidRDefault="00130290" w:rsidP="0094074F">
      <w:pPr>
        <w:pStyle w:val="Bodypara"/>
        <w:rPr>
          <w:rFonts w:eastAsia="Times New Roman"/>
          <w:szCs w:val="24"/>
        </w:rPr>
      </w:pPr>
      <w:r w:rsidRPr="00046966">
        <w:rPr>
          <w:rFonts w:eastAsia="Times New Roman"/>
          <w:szCs w:val="24"/>
        </w:rPr>
        <w:t>SR: The revenue from the Direct Sale of TCCs will be determined monthly and wi</w:t>
      </w:r>
      <w:r w:rsidRPr="00046966">
        <w:rPr>
          <w:rFonts w:eastAsia="Times New Roman"/>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eastAsia="Times New Roman"/>
          <w:szCs w:val="24"/>
        </w:rPr>
        <w:t xml:space="preserve">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 month-by-month through the SR term</w:t>
      </w:r>
      <w:r>
        <w:rPr>
          <w:rFonts w:eastAsia="Times New Roman"/>
          <w:szCs w:val="24"/>
        </w:rPr>
        <w:t xml:space="preserve"> with a two-month lag (e.g., January actual data will be us</w:t>
      </w:r>
      <w:r>
        <w:rPr>
          <w:rFonts w:eastAsia="Times New Roman"/>
          <w:szCs w:val="24"/>
        </w:rPr>
        <w:t>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information regarding their respective share of Net Auction Revenues for each month covered by each Bala</w:t>
      </w:r>
      <w:r w:rsidRPr="00357FB0">
        <w:rPr>
          <w:rFonts w:eastAsia="Times New Roman"/>
          <w:szCs w:val="24"/>
        </w:rPr>
        <w:t>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Transmission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130290" w:rsidP="0094074F">
      <w:pPr>
        <w:pStyle w:val="Bodypara"/>
        <w:rPr>
          <w:rFonts w:eastAsia="Times New Roman"/>
          <w:szCs w:val="24"/>
        </w:rPr>
      </w:pPr>
      <w:r w:rsidRPr="00046966">
        <w:rPr>
          <w:rFonts w:eastAsia="Times New Roman"/>
          <w:szCs w:val="24"/>
        </w:rPr>
        <w:t xml:space="preserve">The ECR revenue will be calculated monthly and will enter the TSC formula with a two-month lag (e.g., January actual data will be used in February to calculate the ECR term used in the TSC for March).  The ISO is responsible for calculating the ECR </w:t>
      </w:r>
      <w:r w:rsidRPr="00046966">
        <w:rPr>
          <w:rFonts w:eastAsia="Times New Roman"/>
          <w:szCs w:val="24"/>
        </w:rPr>
        <w:t>component of each Transmission Owner’s TSC.   The Transmission Owner will not adjust the ISO's calculation.</w:t>
      </w:r>
    </w:p>
    <w:p w:rsidR="0094074F" w:rsidRPr="00046966" w:rsidRDefault="00130290"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130290"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130290"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130290"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130290" w:rsidP="008F24D5">
      <w:pPr>
        <w:pStyle w:val="Heading3"/>
      </w:pPr>
      <w:bookmarkStart w:id="7" w:name="_Toc263255400"/>
      <w:r w:rsidRPr="008F24D5">
        <w:t>14.1.3</w:t>
      </w:r>
      <w:r w:rsidRPr="008F24D5">
        <w:tab/>
        <w:t>Filing and Posting of Wholesale TSCs</w:t>
      </w:r>
      <w:bookmarkEnd w:id="7"/>
    </w:p>
    <w:p w:rsidR="0094074F" w:rsidRPr="00EC4874" w:rsidRDefault="00130290"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130290" w:rsidP="008F24D5">
      <w:pPr>
        <w:pStyle w:val="Heading3"/>
      </w:pPr>
      <w:bookmarkStart w:id="8" w:name="_Toc263255401"/>
      <w:r w:rsidRPr="008F24D5">
        <w:t>14.1.4</w:t>
      </w:r>
      <w:r w:rsidRPr="008F24D5">
        <w:tab/>
      </w:r>
      <w:r w:rsidRPr="008F24D5">
        <w:t>TSC Calculation Information</w:t>
      </w:r>
      <w:bookmarkEnd w:id="8"/>
    </w:p>
    <w:p w:rsidR="008F24D5" w:rsidRPr="00837825" w:rsidRDefault="00130290"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130290"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6D6CD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130290"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6D6CD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C54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w:t>
            </w:r>
            <w:r>
              <w:rPr>
                <w:sz w:val="24"/>
                <w:szCs w:val="24"/>
              </w:rPr>
              <w:t>375,919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C54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7441</w:t>
            </w:r>
          </w:p>
        </w:tc>
      </w:tr>
      <w:tr w:rsidR="006D6CDA"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6D6CDA"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130290"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6D6CD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New York</w:t>
            </w:r>
            <w:r>
              <w:rPr>
                <w:sz w:val="24"/>
                <w:szCs w:val="24"/>
              </w:rPr>
              <w:t xml:space="preserv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130290"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130290"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130290"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130290"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130290"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30290"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$6.4639</w:t>
            </w:r>
          </w:p>
        </w:tc>
      </w:tr>
      <w:tr w:rsidR="006D6CD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130290"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6D6CD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6D6CDA"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130290" w:rsidP="0094074F">
            <w:pPr>
              <w:spacing w:after="0" w:line="240" w:lineRule="auto"/>
              <w:rPr>
                <w:sz w:val="24"/>
                <w:szCs w:val="24"/>
              </w:rPr>
            </w:pPr>
          </w:p>
          <w:p w:rsidR="0094074F" w:rsidRPr="008F5C8B" w:rsidRDefault="00130290" w:rsidP="00316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w:t>
            </w:r>
            <w:r>
              <w:rPr>
                <w:sz w:val="24"/>
                <w:szCs w:val="24"/>
              </w:rPr>
              <w:t>5</w:t>
            </w:r>
            <w:r>
              <w:rPr>
                <w:sz w:val="24"/>
                <w:szCs w:val="24"/>
              </w:rPr>
              <w:t>,</w:t>
            </w:r>
            <w:r>
              <w:rPr>
                <w:sz w:val="24"/>
                <w:szCs w:val="24"/>
              </w:rPr>
              <w:t>795,509</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130290" w:rsidP="0094074F">
            <w:pPr>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130290" w:rsidP="0094074F">
            <w:pPr>
              <w:spacing w:after="0" w:line="240" w:lineRule="auto"/>
              <w:rPr>
                <w:sz w:val="24"/>
                <w:szCs w:val="24"/>
              </w:rPr>
            </w:pPr>
          </w:p>
          <w:p w:rsidR="0094074F" w:rsidRPr="008F5C8B" w:rsidRDefault="00130290"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130290" w:rsidP="0094074F">
            <w:pPr>
              <w:spacing w:after="0" w:line="240" w:lineRule="auto"/>
              <w:rPr>
                <w:sz w:val="24"/>
                <w:szCs w:val="24"/>
              </w:rPr>
            </w:pPr>
          </w:p>
          <w:p w:rsidR="0094074F" w:rsidRPr="008F5C8B" w:rsidRDefault="00130290" w:rsidP="00316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7860</w:t>
            </w:r>
          </w:p>
        </w:tc>
      </w:tr>
    </w:tbl>
    <w:p w:rsidR="0094074F" w:rsidRDefault="00130290" w:rsidP="0094074F">
      <w:pPr>
        <w:rPr>
          <w:sz w:val="20"/>
        </w:rPr>
      </w:pPr>
      <w:r>
        <w:rPr>
          <w:sz w:val="28"/>
          <w:vertAlign w:val="superscript"/>
        </w:rPr>
        <w:t>1</w:t>
      </w:r>
      <w:r>
        <w:rPr>
          <w:sz w:val="20"/>
        </w:rPr>
        <w:t xml:space="preserve">The rate column represents the unit rate prior to crediting; the actual rate will be determined pursuant to the applicable TSC </w:t>
      </w:r>
      <w:r>
        <w:rPr>
          <w:sz w:val="20"/>
        </w:rPr>
        <w:t>formula rate.</w:t>
      </w:r>
    </w:p>
    <w:p w:rsidR="0094074F" w:rsidRDefault="00130290" w:rsidP="0094074F">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w:t>
      </w:r>
      <w:r>
        <w:rPr>
          <w:sz w:val="20"/>
        </w:rPr>
        <w:t xml:space="preserve"> No. EL04-56-000.  For any Transmission Customer that “opts out” of the Settlement Agreement as described in paragraph 1.E thereof, the applicable NYSEG “RR” shall be $100,541,739; the “BU” shall be 13,741,901 MWh; and, the “Rate” prior to adjustment pursu</w:t>
      </w:r>
      <w:r>
        <w:rPr>
          <w:sz w:val="20"/>
        </w:rPr>
        <w:t>ant to Attachment H, shall be $7.4235 effective as of March 1, 2004.</w:t>
      </w:r>
    </w:p>
    <w:p w:rsidR="0094074F" w:rsidRPr="008F24D5" w:rsidRDefault="00130290" w:rsidP="008F24D5">
      <w:pPr>
        <w:pStyle w:val="Heading3"/>
      </w:pPr>
      <w:bookmarkStart w:id="9" w:name="_Toc263255402"/>
      <w:r w:rsidRPr="008F24D5">
        <w:t xml:space="preserve">14.1.5 </w:t>
      </w:r>
      <w:r w:rsidRPr="008F24D5">
        <w:tab/>
        <w:t>Treatment of Gross Receipts Tax</w:t>
      </w:r>
      <w:bookmarkEnd w:id="9"/>
    </w:p>
    <w:p w:rsidR="0094074F" w:rsidRPr="00EC4874" w:rsidRDefault="00130290" w:rsidP="0094074F">
      <w:pPr>
        <w:pStyle w:val="Heading4"/>
        <w:rPr>
          <w:szCs w:val="24"/>
        </w:rPr>
      </w:pPr>
      <w:bookmarkStart w:id="10" w:name="_Toc263255403"/>
      <w:r w:rsidRPr="00EC4874">
        <w:rPr>
          <w:szCs w:val="24"/>
        </w:rPr>
        <w:t>14.1.5.1</w:t>
      </w:r>
      <w:r w:rsidRPr="00EC4874">
        <w:rPr>
          <w:szCs w:val="24"/>
        </w:rPr>
        <w:tab/>
        <w:t>Central Hudson Gas &amp; Electric Corporation</w:t>
      </w:r>
      <w:bookmarkEnd w:id="10"/>
    </w:p>
    <w:p w:rsidR="0094074F" w:rsidRPr="00EC4874" w:rsidRDefault="00130290" w:rsidP="0094074F">
      <w:pPr>
        <w:pStyle w:val="Bodypara"/>
        <w:rPr>
          <w:rFonts w:eastAsia="Times New Roman"/>
          <w:szCs w:val="24"/>
        </w:rPr>
      </w:pPr>
      <w:r w:rsidRPr="00EC4874">
        <w:rPr>
          <w:rFonts w:eastAsia="Times New Roman"/>
          <w:szCs w:val="24"/>
        </w:rPr>
        <w:t>Central Hudson’s TSC shall be increased by dividing the following surcharge factors into the tot</w:t>
      </w:r>
      <w:r w:rsidRPr="00EC4874">
        <w:rPr>
          <w:rFonts w:eastAsia="Times New Roman"/>
          <w:szCs w:val="24"/>
        </w:rPr>
        <w:t>al of all applicable rates and charges to reflect the New York State GRT (0.94922 in the MTA regions and 0.95750 in the non-MTA regions), which is not specifically provided for in the transmission rate, to the extent such tax is imposed on Central Hudson a</w:t>
      </w:r>
      <w:r w:rsidRPr="00EC4874">
        <w:rPr>
          <w:rFonts w:eastAsia="Times New Roman"/>
          <w:szCs w:val="24"/>
        </w:rPr>
        <w:t xml:space="preserve">s a result of the transmission service provided to such Customer.  Central Hudson shall make an appropriate filing pursuant to Section 205 of the Federal Power Act to implement any change in the specified tax rate prior to altering the tax rate under this </w:t>
      </w:r>
      <w:r w:rsidRPr="00EC4874">
        <w:rPr>
          <w:rFonts w:eastAsia="Times New Roman"/>
          <w:szCs w:val="24"/>
        </w:rPr>
        <w:t>provision.</w:t>
      </w:r>
    </w:p>
    <w:p w:rsidR="0094074F" w:rsidRPr="00046966" w:rsidRDefault="00130290" w:rsidP="0094074F">
      <w:pPr>
        <w:pStyle w:val="Heading4"/>
        <w:rPr>
          <w:szCs w:val="24"/>
        </w:rPr>
      </w:pPr>
      <w:bookmarkStart w:id="11" w:name="_Toc263255404"/>
      <w:r w:rsidRPr="00046966">
        <w:rPr>
          <w:szCs w:val="24"/>
        </w:rPr>
        <w:t>14.1.5.2</w:t>
      </w:r>
      <w:r w:rsidRPr="00046966">
        <w:rPr>
          <w:szCs w:val="24"/>
        </w:rPr>
        <w:tab/>
        <w:t>Consolidated Edison Company of New York, Inc.</w:t>
      </w:r>
      <w:bookmarkEnd w:id="11"/>
    </w:p>
    <w:p w:rsidR="0094074F" w:rsidRPr="00EC4874" w:rsidRDefault="00130290"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130290" w:rsidP="0094074F">
      <w:pPr>
        <w:pStyle w:val="Heading4"/>
        <w:rPr>
          <w:szCs w:val="24"/>
        </w:rPr>
      </w:pPr>
      <w:r w:rsidRPr="00046966">
        <w:rPr>
          <w:szCs w:val="24"/>
        </w:rPr>
        <w:t>14.1.5.3</w:t>
      </w:r>
      <w:r w:rsidRPr="00046966">
        <w:rPr>
          <w:szCs w:val="24"/>
        </w:rPr>
        <w:tab/>
        <w:t>LIPA</w:t>
      </w:r>
    </w:p>
    <w:p w:rsidR="0094074F" w:rsidRPr="00EC4874" w:rsidRDefault="00130290" w:rsidP="0094074F">
      <w:pPr>
        <w:pStyle w:val="Bodypara"/>
        <w:rPr>
          <w:rFonts w:eastAsia="Times New Roman"/>
          <w:szCs w:val="24"/>
        </w:rPr>
      </w:pPr>
      <w:r w:rsidRPr="00EC4874">
        <w:rPr>
          <w:rFonts w:eastAsia="Times New Roman"/>
          <w:szCs w:val="24"/>
        </w:rPr>
        <w:t>The GRT is included in LIPA's TSC rate.  LIPA will not charge separately for GRT.</w:t>
      </w:r>
    </w:p>
    <w:p w:rsidR="0094074F" w:rsidRPr="00046966" w:rsidRDefault="00130290" w:rsidP="0094074F">
      <w:pPr>
        <w:pStyle w:val="Heading4"/>
        <w:rPr>
          <w:szCs w:val="24"/>
        </w:rPr>
      </w:pPr>
      <w:bookmarkStart w:id="12" w:name="_Toc263255405"/>
      <w:r w:rsidRPr="00046966">
        <w:rPr>
          <w:szCs w:val="24"/>
        </w:rPr>
        <w:t>14.1.5.4</w:t>
      </w:r>
      <w:r w:rsidRPr="00046966">
        <w:rPr>
          <w:szCs w:val="24"/>
        </w:rPr>
        <w:tab/>
        <w:t>New York State Electric &amp; Gas Corporation</w:t>
      </w:r>
      <w:bookmarkEnd w:id="12"/>
    </w:p>
    <w:p w:rsidR="0094074F" w:rsidRPr="00EC4874" w:rsidRDefault="00130290"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the tota</w:t>
      </w:r>
      <w:r w:rsidRPr="00EC4874">
        <w:rPr>
          <w:rFonts w:eastAsia="Times New Roman"/>
          <w:szCs w:val="24"/>
        </w:rPr>
        <w:t>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130290"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w:t>
      </w:r>
      <w:r w:rsidRPr="009B6789">
        <w:rPr>
          <w:rFonts w:ascii="Times New Roman" w:hAnsi="Times New Roman"/>
          <w:sz w:val="24"/>
          <w:szCs w:val="24"/>
        </w:rPr>
        <w:t>itan Commuter Transportation District:</w:t>
      </w:r>
      <w:r w:rsidRPr="009B6789">
        <w:rPr>
          <w:rFonts w:ascii="Times New Roman" w:hAnsi="Times New Roman"/>
          <w:sz w:val="24"/>
          <w:szCs w:val="24"/>
        </w:rPr>
        <w:tab/>
        <w:t>0.984583</w:t>
      </w:r>
    </w:p>
    <w:p w:rsidR="0094074F" w:rsidRPr="009B6789" w:rsidRDefault="00130290"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130290"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represents </w:t>
      </w:r>
      <w:r w:rsidRPr="00EC4874">
        <w:rPr>
          <w:rFonts w:eastAsia="Times New Roman"/>
          <w:szCs w:val="24"/>
        </w:rPr>
        <w:t>the Franchise Tax on Gross Earnings, the Gross Income Tax, and where applicable the Metropolitan Commuter Transportation District Surcharge.</w:t>
      </w:r>
    </w:p>
    <w:p w:rsidR="0094074F" w:rsidRPr="00EC4874" w:rsidRDefault="00130290"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130290" w:rsidP="0094074F">
      <w:pPr>
        <w:pStyle w:val="Heading4"/>
        <w:rPr>
          <w:szCs w:val="24"/>
        </w:rPr>
      </w:pPr>
      <w:bookmarkStart w:id="13" w:name="_Toc263255406"/>
      <w:r w:rsidRPr="00046966">
        <w:rPr>
          <w:szCs w:val="24"/>
        </w:rPr>
        <w:t>14.1.5.5</w:t>
      </w:r>
      <w:r w:rsidRPr="00046966">
        <w:rPr>
          <w:szCs w:val="24"/>
        </w:rPr>
        <w:tab/>
        <w:t>Niagara Mohawk Power C</w:t>
      </w:r>
      <w:r w:rsidRPr="00046966">
        <w:rPr>
          <w:szCs w:val="24"/>
        </w:rPr>
        <w:t>orporation</w:t>
      </w:r>
      <w:bookmarkEnd w:id="13"/>
    </w:p>
    <w:p w:rsidR="0094074F" w:rsidRPr="00EC4874" w:rsidRDefault="00130290"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assessed; however</w:t>
      </w:r>
      <w:r w:rsidRPr="00EC4874">
        <w:rPr>
          <w:rFonts w:eastAsia="Times New Roman"/>
          <w:szCs w:val="24"/>
        </w:rPr>
        <w:t>, this issue with regard to GRT is subject to final Commission action in Docket No.  OA96-194-000, including all stipulations executed in connection therewith.</w:t>
      </w:r>
    </w:p>
    <w:p w:rsidR="0094074F" w:rsidRPr="00046966" w:rsidRDefault="00130290" w:rsidP="0094074F">
      <w:pPr>
        <w:pStyle w:val="Heading4"/>
        <w:rPr>
          <w:szCs w:val="24"/>
        </w:rPr>
      </w:pPr>
      <w:bookmarkStart w:id="14" w:name="_Toc263255407"/>
      <w:r w:rsidRPr="00046966">
        <w:rPr>
          <w:szCs w:val="24"/>
        </w:rPr>
        <w:t>14.1.5.6</w:t>
      </w:r>
      <w:r w:rsidRPr="00046966">
        <w:rPr>
          <w:szCs w:val="24"/>
        </w:rPr>
        <w:tab/>
        <w:t>Orange and Rockland Utilities, Inc.</w:t>
      </w:r>
      <w:bookmarkEnd w:id="14"/>
    </w:p>
    <w:p w:rsidR="0094074F" w:rsidRPr="00EC4874" w:rsidRDefault="00130290" w:rsidP="0094074F">
      <w:pPr>
        <w:pStyle w:val="Bodypara"/>
        <w:rPr>
          <w:rFonts w:eastAsia="Times New Roman"/>
          <w:szCs w:val="24"/>
        </w:rPr>
      </w:pPr>
      <w:r w:rsidRPr="00EC4874">
        <w:rPr>
          <w:rFonts w:eastAsia="Times New Roman"/>
          <w:szCs w:val="24"/>
        </w:rPr>
        <w:t xml:space="preserve">The Transmission Customer’s rate will be increased </w:t>
      </w:r>
      <w:r w:rsidRPr="00EC4874">
        <w:rPr>
          <w:rFonts w:eastAsia="Times New Roman"/>
          <w:szCs w:val="24"/>
        </w:rPr>
        <w:t xml:space="preserve">to reflect the gross receipts tax (“GRT”) which is not specifically provided for in the transmission rate and ancillary service rates, that a governmental authority may impose on Orange and Rockland as a result of the Transmission Service provided to such </w:t>
      </w:r>
      <w:r w:rsidRPr="00EC4874">
        <w:rPr>
          <w:rFonts w:eastAsia="Times New Roman"/>
          <w:szCs w:val="24"/>
        </w:rPr>
        <w:t>Transmission Customer pursuant to Sections 186 and 186-a of the New York Tax Law.  The current effective GRT rate for the Section 186-a tax is 3.25% from October 1, 1998 through October 31, 1999 and 2.5% on and after January 1, 2000. The maximum locality r</w:t>
      </w:r>
      <w:r w:rsidRPr="00EC4874">
        <w:rPr>
          <w:rFonts w:eastAsia="Times New Roman"/>
          <w:szCs w:val="24"/>
        </w:rPr>
        <w:t>ate allowable under state law for each locality is specified below.   However, if the actual locality rate is less than the maximum locality rate permitted under state law, O&amp;R shall charge the actual tax rate levied by the locality.  The currently effecti</w:t>
      </w:r>
      <w:r w:rsidRPr="00EC4874">
        <w:rPr>
          <w:rFonts w:eastAsia="Times New Roman"/>
          <w:szCs w:val="24"/>
        </w:rPr>
        <w:t>ve GRT rate for the Section 186 tax is .75%.</w:t>
      </w:r>
    </w:p>
    <w:p w:rsidR="00837825" w:rsidRDefault="0013029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130290" w:rsidP="0094074F">
      <w:pPr>
        <w:pStyle w:val="Heading4"/>
        <w:rPr>
          <w:szCs w:val="24"/>
        </w:rPr>
      </w:pPr>
      <w:bookmarkStart w:id="15" w:name="_Toc263255408"/>
      <w:r w:rsidRPr="00046966">
        <w:rPr>
          <w:szCs w:val="24"/>
        </w:rPr>
        <w:t>14.1.5.7</w:t>
      </w:r>
      <w:r w:rsidRPr="00046966">
        <w:rPr>
          <w:szCs w:val="24"/>
        </w:rPr>
        <w:tab/>
        <w:t>Rochester Gas &amp; Electric Corporation</w:t>
      </w:r>
      <w:bookmarkEnd w:id="15"/>
    </w:p>
    <w:p w:rsidR="0094074F" w:rsidRPr="00EC4874" w:rsidRDefault="00130290"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for in the</w:t>
      </w:r>
      <w:r w:rsidRPr="00EC4874">
        <w:rPr>
          <w:rFonts w:eastAsia="Times New Roman"/>
          <w:szCs w:val="24"/>
        </w:rPr>
        <w:t xml:space="preserve"> transmission rate and ancillary service rates, that a governmental authority may impose on RG&amp;E as a result of the Transmission Service provided to such Transmission Customer pursuant to Sections 186 and 186-a of the New York Tax Law.  The currently effec</w:t>
      </w:r>
      <w:r w:rsidRPr="00EC4874">
        <w:rPr>
          <w:rFonts w:eastAsia="Times New Roman"/>
          <w:szCs w:val="24"/>
        </w:rPr>
        <w:t>tive GRT rate for the Section 186-a tax is 3.5% and each locality rate is specified below.  The currently effective GRT rate for the Section 186 tax is .75%.</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130290"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130290" w:rsidP="008F24D5">
      <w:pPr>
        <w:pStyle w:val="Heading3"/>
      </w:pPr>
      <w:bookmarkStart w:id="16" w:name="_Toc263255409"/>
      <w:r w:rsidRPr="008F24D5">
        <w:t>14.1.6</w:t>
      </w:r>
      <w:r w:rsidRPr="008F24D5">
        <w:tab/>
      </w:r>
      <w:r w:rsidRPr="008F24D5">
        <w:t>TSC For Retail Access Customers (“RTSC”)</w:t>
      </w:r>
      <w:bookmarkEnd w:id="16"/>
    </w:p>
    <w:p w:rsidR="0094074F" w:rsidRPr="00EC4874" w:rsidRDefault="00130290"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 xml:space="preserve">approved by the Long Island Power </w:t>
      </w:r>
      <w:r w:rsidRPr="00EC4874">
        <w:rPr>
          <w:rFonts w:eastAsia="Times New Roman"/>
          <w:szCs w:val="24"/>
        </w:rPr>
        <w:t>Authority’s Board of Trustees, will be responsible for paying a retail transmission service charge as detailed in Section 5 of this Tariff.</w:t>
      </w:r>
    </w:p>
    <w:p w:rsidR="0094074F" w:rsidRPr="008F24D5" w:rsidRDefault="00130290" w:rsidP="008F24D5">
      <w:pPr>
        <w:pStyle w:val="Heading3"/>
      </w:pPr>
      <w:bookmarkStart w:id="17" w:name="_Toc263255410"/>
      <w:r w:rsidRPr="008F24D5">
        <w:t>14.1.7</w:t>
      </w:r>
      <w:r w:rsidRPr="008F24D5">
        <w:tab/>
        <w:t>NYPA Transmission Service Charge</w:t>
      </w:r>
      <w:bookmarkEnd w:id="17"/>
    </w:p>
    <w:p w:rsidR="0094074F" w:rsidRPr="00EC4874" w:rsidRDefault="00130290" w:rsidP="0094074F">
      <w:pPr>
        <w:pStyle w:val="Bodypara"/>
        <w:widowControl w:val="0"/>
        <w:rPr>
          <w:rFonts w:eastAsia="Times New Roman"/>
          <w:szCs w:val="24"/>
        </w:rPr>
      </w:pPr>
      <w:r w:rsidRPr="00EC4874">
        <w:rPr>
          <w:rFonts w:eastAsia="Times New Roman"/>
          <w:szCs w:val="24"/>
        </w:rPr>
        <w:t>The NYPA TSC for service to its directly connected Loads (Reynolds Metals, G</w:t>
      </w:r>
      <w:r w:rsidRPr="00EC4874">
        <w:rPr>
          <w:rFonts w:eastAsia="Times New Roman"/>
          <w:szCs w:val="24"/>
        </w:rPr>
        <w:t>M-Massena, Town of Massena and the City of Plattsburgh) shall, at the Eligible Customer’s option, be (a) $1.30 per kilowatt-month or (b) no more than $3.75 per MWh; not to exceed $60.00 per MW Day applied to peak MWh scheduled any hour each day; not to exc</w:t>
      </w:r>
      <w:r w:rsidRPr="00EC4874">
        <w:rPr>
          <w:rFonts w:eastAsia="Times New Roman"/>
          <w:szCs w:val="24"/>
        </w:rPr>
        <w:t>eed $300.00 per MW-Week applied to the peak MWh scheduled any hour each week.  The TSC applicable to service over the Vermont intertie and the Ontario-Hydro intertie shall be the same as (b)</w:t>
      </w:r>
      <w:r w:rsidRPr="00DF5EE5">
        <w:rPr>
          <w:rFonts w:eastAsia="Times New Roman"/>
          <w:szCs w:val="24"/>
        </w:rPr>
        <w:t xml:space="preserve">; provided, however, that the NYPA TSC shall not apply to service </w:t>
      </w:r>
      <w:r w:rsidRPr="00DF5EE5">
        <w:rPr>
          <w:rFonts w:eastAsia="Times New Roman"/>
          <w:szCs w:val="24"/>
        </w:rPr>
        <w:t>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applied to p</w:t>
      </w:r>
      <w:r w:rsidRPr="00EC4874">
        <w:rPr>
          <w:rFonts w:eastAsia="Times New Roman"/>
          <w:szCs w:val="24"/>
        </w:rPr>
        <w:t>eak MWh scheduled each day; not to exceed $369.23 per MW-Week applied to the peak MWh scheduled any hour each week.  NYPA shall coordinate with the ISO to update its TSC.  Such updates shall be subject to FERC filings.</w:t>
      </w:r>
    </w:p>
    <w:p w:rsidR="0094074F" w:rsidRPr="008F24D5" w:rsidRDefault="00130290" w:rsidP="008F24D5">
      <w:pPr>
        <w:pStyle w:val="Heading3"/>
      </w:pPr>
      <w:bookmarkStart w:id="18" w:name="_Toc263255411"/>
      <w:r w:rsidRPr="008F24D5">
        <w:t>14.1.8</w:t>
      </w:r>
      <w:r w:rsidRPr="008F24D5">
        <w:tab/>
        <w:t>Discounting</w:t>
      </w:r>
      <w:bookmarkEnd w:id="18"/>
    </w:p>
    <w:p w:rsidR="0094074F" w:rsidRPr="00EC4874" w:rsidRDefault="00130290" w:rsidP="0094074F">
      <w:pPr>
        <w:pStyle w:val="Bodypara"/>
        <w:rPr>
          <w:rFonts w:eastAsia="Times New Roman"/>
          <w:szCs w:val="24"/>
        </w:rPr>
      </w:pPr>
      <w:r w:rsidRPr="00EC4874">
        <w:rPr>
          <w:rFonts w:eastAsia="Times New Roman"/>
          <w:szCs w:val="24"/>
        </w:rPr>
        <w:t xml:space="preserve">Each Transmission </w:t>
      </w:r>
      <w:r w:rsidRPr="00EC4874">
        <w:rPr>
          <w:rFonts w:eastAsia="Times New Roman"/>
          <w:szCs w:val="24"/>
        </w:rPr>
        <w:t>Owner may advise the ISO of discounts to its TSC applicable during a specified period to all deliveries to a particular Interconnection between the NYCA and another Control Area.  The ISO shall post the discounts on the OASIS for the specified period.</w:t>
      </w:r>
    </w:p>
    <w:p w:rsidR="0094074F" w:rsidRDefault="00130290" w:rsidP="0094074F">
      <w:pPr>
        <w:pStyle w:val="Bodypara"/>
        <w:rPr>
          <w:rFonts w:eastAsia="Times New Roman"/>
          <w:szCs w:val="24"/>
        </w:rPr>
      </w:pPr>
      <w:r w:rsidRPr="00EC4874">
        <w:rPr>
          <w:rFonts w:eastAsia="Times New Roman"/>
          <w:szCs w:val="24"/>
        </w:rPr>
        <w:t>Thre</w:t>
      </w:r>
      <w:r w:rsidRPr="00EC4874">
        <w:rPr>
          <w:rFonts w:eastAsia="Times New Roman"/>
          <w:szCs w:val="24"/>
        </w:rPr>
        <w:t>e principal requirements apply to discounts for Transmission Service as follows: (1) any offer of a discount made by a Transmission Owner must be announced to all Eligible Customers solely by posting on the OASIS; (2) any customer-initiated requests for di</w:t>
      </w:r>
      <w:r w:rsidRPr="00EC4874">
        <w:rPr>
          <w:rFonts w:eastAsia="Times New Roman"/>
          <w:szCs w:val="24"/>
        </w:rPr>
        <w:t>scounts (including requests for use by a Transmission Owner's wholesale merchant or an Affiliate's use) must occur solely by posting on the OASIS; and (3) once a discount is negotiated, details must be immediately posted on the OASIS.  For any discount tha</w:t>
      </w:r>
      <w:r w:rsidRPr="00EC4874">
        <w:rPr>
          <w:rFonts w:eastAsia="Times New Roman"/>
          <w:szCs w:val="24"/>
        </w:rPr>
        <w:t>t the Transmission Owner agrees to and advises the ISO of, the same discounted Transmission Service rate will be offered to all Transmission Customers for the same period for all deliveries to a particular Interconnection between the NYCA and another Contr</w:t>
      </w:r>
      <w:r w:rsidRPr="00EC4874">
        <w:rPr>
          <w:rFonts w:eastAsia="Times New Roman"/>
          <w:szCs w:val="24"/>
        </w:rPr>
        <w:t>ol Area.  The ISO will post the discounts on the OASIS for the specified period.</w:t>
      </w:r>
    </w:p>
    <w:p w:rsidR="0094074F" w:rsidRPr="008F5C8B" w:rsidRDefault="00130290"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6D6CDA"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w:t>
            </w:r>
            <w:r w:rsidRPr="009B6789">
              <w:rPr>
                <w:rFonts w:eastAsia="Times New Roman"/>
                <w:sz w:val="16"/>
                <w:szCs w:val="24"/>
              </w:rPr>
              <w:t>&amp;R/PJM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w:t>
            </w:r>
            <w:r w:rsidRPr="009B6789">
              <w:rPr>
                <w:rFonts w:eastAsia="Times New Roman"/>
                <w:sz w:val="16"/>
                <w:szCs w:val="24"/>
              </w:rPr>
              <w:t>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Falconer / </w:t>
            </w:r>
            <w:r w:rsidRPr="009B6789">
              <w:rPr>
                <w:rFonts w:eastAsia="Times New Roman"/>
                <w:sz w:val="16"/>
                <w:szCs w:val="24"/>
              </w:rPr>
              <w:t>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St. </w:t>
            </w:r>
            <w:r w:rsidRPr="009B6789">
              <w:rPr>
                <w:rFonts w:eastAsia="Times New Roman"/>
                <w:sz w:val="16"/>
                <w:szCs w:val="24"/>
              </w:rPr>
              <w:t>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6CD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D6CDA">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130290"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130290" w:rsidP="00837825">
      <w:pPr>
        <w:pStyle w:val="tablehead"/>
      </w:pPr>
      <w:r w:rsidRPr="008F5C8B">
        <w:t>TABLE 3</w:t>
      </w:r>
      <w:r>
        <w:br/>
      </w:r>
      <w:r w:rsidRPr="008F5C8B">
        <w:t xml:space="preserve">Applicable </w:t>
      </w:r>
      <w:r w:rsidRPr="008F5C8B">
        <w:t>Wholesale TSC for Municipal Utilities,</w:t>
      </w:r>
      <w:r>
        <w:t xml:space="preserve"> </w:t>
      </w:r>
      <w:r w:rsidRPr="008F5C8B">
        <w:t>Electric Cooperatives and Loads</w:t>
      </w:r>
    </w:p>
    <w:p w:rsidR="0094074F" w:rsidRPr="00EC4874" w:rsidRDefault="00130290"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under an Existing Transmission Agreement, the following Loads shall be obligate</w:t>
      </w:r>
      <w:r w:rsidRPr="00EC4874">
        <w:rPr>
          <w:rFonts w:eastAsia="Times New Roman"/>
          <w:szCs w:val="24"/>
        </w:rPr>
        <w:t>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6D6CDA">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6D6CDA">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spacing w:after="0" w:line="240" w:lineRule="auto"/>
              <w:rPr>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130290"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D6CDA">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spacing w:after="0" w:line="240" w:lineRule="auto"/>
              <w:rPr>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spacing w:after="0" w:line="240" w:lineRule="auto"/>
              <w:rPr>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D6CD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D6CDA">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130290">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130290"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130290" w:rsidP="008F24D5">
      <w:pPr>
        <w:pStyle w:val="Heading3"/>
      </w:pPr>
      <w:bookmarkStart w:id="19" w:name="_Toc263255412"/>
      <w:r w:rsidRPr="008F24D5">
        <w:t>14.1.9</w:t>
      </w:r>
      <w:r w:rsidRPr="008F24D5">
        <w:tab/>
        <w:t>Niagara Mohawk Power Corporation Wholesale TSC Formula Components RR, CCC and BU and Sources of Data Inputs</w:t>
      </w:r>
      <w:bookmarkEnd w:id="19"/>
    </w:p>
    <w:p w:rsidR="0094074F" w:rsidRPr="00EC4874" w:rsidRDefault="00130290"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130290" w:rsidP="0094074F">
      <w:pPr>
        <w:pStyle w:val="Heading4"/>
        <w:rPr>
          <w:szCs w:val="24"/>
        </w:rPr>
      </w:pPr>
      <w:bookmarkStart w:id="20" w:name="_Toc263255413"/>
      <w:r w:rsidRPr="00046966">
        <w:rPr>
          <w:szCs w:val="24"/>
        </w:rPr>
        <w:t>14.1.9.1</w:t>
      </w:r>
      <w:r w:rsidRPr="00046966">
        <w:rPr>
          <w:szCs w:val="24"/>
        </w:rPr>
        <w:tab/>
        <w:t>Def</w:t>
      </w:r>
      <w:r w:rsidRPr="00046966">
        <w:rPr>
          <w:szCs w:val="24"/>
        </w:rPr>
        <w:t>initions</w:t>
      </w:r>
      <w:bookmarkEnd w:id="20"/>
    </w:p>
    <w:p w:rsidR="0094074F" w:rsidRPr="008F24D5" w:rsidRDefault="00130290" w:rsidP="008F24D5">
      <w:pPr>
        <w:pStyle w:val="Bodypara"/>
      </w:pPr>
      <w:r w:rsidRPr="008F24D5">
        <w:t>Capitalized terms used in this calculation will have the following definitions:</w:t>
      </w:r>
    </w:p>
    <w:p w:rsidR="0094074F" w:rsidRPr="008F5C8B" w:rsidRDefault="00130290" w:rsidP="008F24D5">
      <w:pPr>
        <w:pStyle w:val="subhead"/>
      </w:pPr>
      <w:bookmarkStart w:id="21" w:name="_Toc263255414"/>
      <w:r w:rsidRPr="008F5C8B">
        <w:t>Allocation Factors</w:t>
      </w:r>
      <w:bookmarkEnd w:id="21"/>
    </w:p>
    <w:p w:rsidR="0094074F" w:rsidRPr="00046966" w:rsidRDefault="00130290"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130290"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130290"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130290"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130290" w:rsidP="00837825">
      <w:pPr>
        <w:pStyle w:val="subhead"/>
      </w:pPr>
      <w:bookmarkStart w:id="22" w:name="_Toc263255415"/>
      <w:r w:rsidRPr="008F5C8B">
        <w:t>Ratebase and Expense Items</w:t>
      </w:r>
      <w:bookmarkEnd w:id="22"/>
    </w:p>
    <w:p w:rsidR="0094074F" w:rsidRPr="00046966" w:rsidRDefault="00130290"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130290"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130290"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130290"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130290"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130290"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130290"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130290"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130290"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130290"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130290" w:rsidP="00837825">
      <w:pPr>
        <w:pStyle w:val="tablehead"/>
      </w:pPr>
      <w:r w:rsidRPr="008F5C8B">
        <w:t>Depreciation Rates</w:t>
      </w:r>
    </w:p>
    <w:p w:rsidR="0094074F" w:rsidRPr="008F5C8B" w:rsidRDefault="00130290"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94074F" w:rsidRPr="008F5C8B"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94074F" w:rsidRPr="008F5C8B"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94074F" w:rsidRPr="008F5C8B"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94074F" w:rsidRPr="008F5C8B"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94074F" w:rsidRPr="008F5C8B"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1.60</w:t>
      </w:r>
    </w:p>
    <w:p w:rsidR="0094074F" w:rsidRPr="009B6789"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94074F" w:rsidRPr="009B6789"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94074F" w:rsidRPr="009B6789"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94074F" w:rsidRPr="009B6789"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94074F"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94074F" w:rsidRPr="009B6789" w:rsidRDefault="00130290"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130290" w:rsidP="0094074F">
      <w:pPr>
        <w:pStyle w:val="alphapara"/>
        <w:rPr>
          <w:szCs w:val="24"/>
        </w:rPr>
      </w:pPr>
      <w:r w:rsidRPr="00046966">
        <w:rPr>
          <w:szCs w:val="24"/>
        </w:rPr>
        <w:t>14.1.9.1.15</w:t>
      </w:r>
      <w:r w:rsidRPr="00046966">
        <w:rPr>
          <w:szCs w:val="24"/>
        </w:rPr>
        <w:tab/>
        <w:t xml:space="preserve">Distribution Plant shall equal the plant balance as recorded in FERC Account Nos. 360 – </w:t>
      </w:r>
      <w:r w:rsidRPr="00046966">
        <w:rPr>
          <w:szCs w:val="24"/>
        </w:rPr>
        <w:t>374.</w:t>
      </w:r>
    </w:p>
    <w:p w:rsidR="0094074F" w:rsidRPr="00046966" w:rsidRDefault="00130290"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130290" w:rsidP="0094074F">
      <w:pPr>
        <w:pStyle w:val="alphapara"/>
        <w:rPr>
          <w:szCs w:val="24"/>
        </w:rPr>
      </w:pPr>
      <w:r w:rsidRPr="00046966">
        <w:rPr>
          <w:szCs w:val="24"/>
        </w:rPr>
        <w:t>14.1.9.1.17</w:t>
      </w:r>
      <w:r w:rsidRPr="00046966">
        <w:rPr>
          <w:szCs w:val="24"/>
        </w:rPr>
        <w:tab/>
        <w:t xml:space="preserve">Electric Environmental Remediation Expense shall be the environmental remediation expense as recorded in </w:t>
      </w:r>
      <w:r>
        <w:rPr>
          <w:szCs w:val="24"/>
        </w:rPr>
        <w:t xml:space="preserve">FERC </w:t>
      </w:r>
      <w:r w:rsidRPr="00046966">
        <w:rPr>
          <w:szCs w:val="24"/>
        </w:rPr>
        <w:t>Account 9</w:t>
      </w:r>
      <w:r w:rsidRPr="00046966">
        <w:rPr>
          <w:szCs w:val="24"/>
        </w:rPr>
        <w:t>30.2.</w:t>
      </w:r>
    </w:p>
    <w:p w:rsidR="0094074F" w:rsidRPr="00046966" w:rsidRDefault="00130290"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shall be defined as the general plant associated with NMPC’s electric function.</w:t>
      </w:r>
    </w:p>
    <w:p w:rsidR="0094074F" w:rsidRPr="00046966" w:rsidRDefault="00130290" w:rsidP="0094074F">
      <w:pPr>
        <w:pStyle w:val="alphapara"/>
        <w:rPr>
          <w:szCs w:val="24"/>
        </w:rPr>
      </w:pPr>
      <w:r w:rsidRPr="00046966">
        <w:rPr>
          <w:szCs w:val="24"/>
        </w:rPr>
        <w:t>14.1.9.1.19</w:t>
      </w:r>
      <w:r w:rsidRPr="00046966">
        <w:rPr>
          <w:szCs w:val="24"/>
        </w:rPr>
        <w:tab/>
        <w:t>Electric General Plant Depreci</w:t>
      </w:r>
      <w:r w:rsidRPr="00046966">
        <w:rPr>
          <w:szCs w:val="24"/>
        </w:rPr>
        <w:t>ation Expense shall equal general plant depreciation expenses as recorded in FERC Account No. 403</w:t>
      </w:r>
      <w:r>
        <w:rPr>
          <w:szCs w:val="24"/>
        </w:rPr>
        <w:t>, 404 and 405</w:t>
      </w:r>
      <w:r w:rsidRPr="00046966">
        <w:rPr>
          <w:szCs w:val="24"/>
        </w:rPr>
        <w:t xml:space="preserve"> associated with Electric General Plant.</w:t>
      </w:r>
    </w:p>
    <w:p w:rsidR="0094074F" w:rsidRPr="00046966" w:rsidRDefault="00130290" w:rsidP="0094074F">
      <w:pPr>
        <w:pStyle w:val="alphapara"/>
        <w:rPr>
          <w:szCs w:val="24"/>
        </w:rPr>
      </w:pPr>
      <w:r w:rsidRPr="00046966">
        <w:rPr>
          <w:szCs w:val="24"/>
        </w:rPr>
        <w:t>14.1.9.1.20</w:t>
      </w:r>
      <w:r w:rsidRPr="00046966">
        <w:rPr>
          <w:szCs w:val="24"/>
        </w:rPr>
        <w:tab/>
        <w:t>Electric General Plant Depreciation Reserve shall equal the general plant depreciation reserv</w:t>
      </w:r>
      <w:r w:rsidRPr="00046966">
        <w:rPr>
          <w:szCs w:val="24"/>
        </w:rPr>
        <w:t>e balance as recorded in FERC Account No. 108 associated with Electric General Plant.</w:t>
      </w:r>
    </w:p>
    <w:p w:rsidR="0094074F" w:rsidRPr="00046966" w:rsidRDefault="00130290" w:rsidP="0094074F">
      <w:pPr>
        <w:pStyle w:val="alphapara"/>
        <w:rPr>
          <w:szCs w:val="24"/>
        </w:rPr>
      </w:pPr>
      <w:r w:rsidRPr="00046966">
        <w:rPr>
          <w:szCs w:val="24"/>
        </w:rPr>
        <w:t>14.1.9.1.21</w:t>
      </w:r>
      <w:r w:rsidRPr="00046966">
        <w:rPr>
          <w:szCs w:val="24"/>
        </w:rPr>
        <w:tab/>
        <w:t>Electric Property Insurance shall equal property insurance recorded in FERC Account No. 924.</w:t>
      </w:r>
    </w:p>
    <w:p w:rsidR="0094074F" w:rsidRPr="00046966" w:rsidRDefault="00130290" w:rsidP="0094074F">
      <w:pPr>
        <w:pStyle w:val="alphapara"/>
        <w:rPr>
          <w:szCs w:val="24"/>
        </w:rPr>
      </w:pPr>
      <w:r w:rsidRPr="00046966">
        <w:rPr>
          <w:szCs w:val="24"/>
        </w:rPr>
        <w:t>14.1.9.1.22</w:t>
      </w:r>
      <w:r w:rsidRPr="00046966">
        <w:rPr>
          <w:szCs w:val="24"/>
        </w:rPr>
        <w:tab/>
        <w:t>Electric Research and Development Expense shall equal</w:t>
      </w:r>
      <w:r w:rsidRPr="00046966">
        <w:rPr>
          <w:szCs w:val="24"/>
        </w:rPr>
        <w:t xml:space="preserve"> research and development expenses as recorded in </w:t>
      </w:r>
      <w:r>
        <w:rPr>
          <w:szCs w:val="24"/>
        </w:rPr>
        <w:t xml:space="preserve">FERC </w:t>
      </w:r>
      <w:r w:rsidRPr="00046966">
        <w:rPr>
          <w:szCs w:val="24"/>
        </w:rPr>
        <w:t>Account No. 930.2.</w:t>
      </w:r>
    </w:p>
    <w:p w:rsidR="0094074F" w:rsidRPr="00046966" w:rsidRDefault="00130290" w:rsidP="0094074F">
      <w:pPr>
        <w:pStyle w:val="alphapara"/>
        <w:rPr>
          <w:szCs w:val="24"/>
        </w:rPr>
      </w:pPr>
      <w:r w:rsidRPr="00046966">
        <w:rPr>
          <w:szCs w:val="24"/>
        </w:rPr>
        <w:t>14.1.9.1.23</w:t>
      </w:r>
      <w:r w:rsidRPr="00046966">
        <w:rPr>
          <w:szCs w:val="24"/>
        </w:rPr>
        <w:tab/>
        <w:t xml:space="preserve">Gain on Reacquired Debt shall equal the balance as recorded in FERC Account No. 257. </w:t>
      </w:r>
    </w:p>
    <w:p w:rsidR="0094074F" w:rsidRPr="00046966" w:rsidRDefault="00130290" w:rsidP="0094074F">
      <w:pPr>
        <w:pStyle w:val="alphapara"/>
        <w:rPr>
          <w:szCs w:val="24"/>
        </w:rPr>
      </w:pPr>
      <w:r w:rsidRPr="00046966">
        <w:rPr>
          <w:szCs w:val="24"/>
        </w:rPr>
        <w:t>14.1.9.1.24</w:t>
      </w:r>
      <w:r w:rsidRPr="00046966">
        <w:rPr>
          <w:szCs w:val="24"/>
        </w:rPr>
        <w:tab/>
        <w:t>Gross Electric Plant shall equal Total Electric Plant plus an allocation</w:t>
      </w:r>
      <w:r w:rsidRPr="00046966">
        <w:rPr>
          <w:szCs w:val="24"/>
        </w:rPr>
        <w:t xml:space="preserve"> of Common Plant determined by multiplying Common Plant by the Electric Wages and Salaries Allocation Factor.</w:t>
      </w:r>
    </w:p>
    <w:p w:rsidR="0094074F" w:rsidRPr="00046966" w:rsidRDefault="00130290" w:rsidP="0094074F">
      <w:pPr>
        <w:pStyle w:val="alphapara"/>
        <w:rPr>
          <w:szCs w:val="24"/>
        </w:rPr>
      </w:pPr>
      <w:r w:rsidRPr="00046966">
        <w:rPr>
          <w:szCs w:val="24"/>
        </w:rPr>
        <w:t>14.1.9.1.25</w:t>
      </w:r>
      <w:r w:rsidRPr="00046966">
        <w:rPr>
          <w:szCs w:val="24"/>
        </w:rPr>
        <w:tab/>
        <w:t xml:space="preserve">Gross Plant (Gas &amp; Electric) shall equal Total Gas Plant plus Total Electric Plant plus Total Common Plant.  </w:t>
      </w:r>
    </w:p>
    <w:p w:rsidR="0094074F" w:rsidRPr="00046966" w:rsidRDefault="00130290" w:rsidP="0094074F">
      <w:pPr>
        <w:pStyle w:val="alphapara"/>
        <w:rPr>
          <w:szCs w:val="24"/>
        </w:rPr>
      </w:pPr>
      <w:r w:rsidRPr="00046966">
        <w:rPr>
          <w:szCs w:val="24"/>
        </w:rPr>
        <w:t>14.1.9.1.26</w:t>
      </w:r>
      <w:r w:rsidRPr="00046966">
        <w:rPr>
          <w:szCs w:val="24"/>
        </w:rPr>
        <w:tab/>
        <w:t>Gross Transm</w:t>
      </w:r>
      <w:r w:rsidRPr="00046966">
        <w:rPr>
          <w:szCs w:val="24"/>
        </w:rPr>
        <w:t>ission Investment shall equal the total of Transmission Plant in Service, Transmission Related Electric General Plant, Transmission Related Common Plant and Transmission Related Intangible Plant.</w:t>
      </w:r>
    </w:p>
    <w:p w:rsidR="0094074F" w:rsidRPr="00046966" w:rsidRDefault="00130290" w:rsidP="0094074F">
      <w:pPr>
        <w:pStyle w:val="alphapara"/>
        <w:rPr>
          <w:szCs w:val="24"/>
        </w:rPr>
      </w:pPr>
      <w:r w:rsidRPr="00046966">
        <w:rPr>
          <w:szCs w:val="24"/>
        </w:rPr>
        <w:t>14.1.9.1.27</w:t>
      </w:r>
      <w:r w:rsidRPr="00046966">
        <w:rPr>
          <w:szCs w:val="24"/>
        </w:rPr>
        <w:tab/>
        <w:t>Intangible Electric Plant shall equal the balanc</w:t>
      </w:r>
      <w:r w:rsidRPr="00046966">
        <w:rPr>
          <w:szCs w:val="24"/>
        </w:rPr>
        <w:t>e of plant recorded in FERC Account Nos. 301-303.  Intangible Electric Plant shall be defined as the intangible plant associated with NMPC’s electric functions.</w:t>
      </w:r>
    </w:p>
    <w:p w:rsidR="0094074F" w:rsidRPr="00046966" w:rsidRDefault="00130290" w:rsidP="0094074F">
      <w:pPr>
        <w:pStyle w:val="alphapara"/>
        <w:rPr>
          <w:szCs w:val="24"/>
        </w:rPr>
      </w:pPr>
      <w:r w:rsidRPr="00046966">
        <w:rPr>
          <w:szCs w:val="24"/>
        </w:rPr>
        <w:t>14.1.9.1.28</w:t>
      </w:r>
      <w:r w:rsidRPr="00046966">
        <w:rPr>
          <w:szCs w:val="24"/>
        </w:rPr>
        <w:tab/>
        <w:t xml:space="preserve">Intangible Electric Plant Depreciation Expense shall equal the intangible electric </w:t>
      </w:r>
      <w:r w:rsidRPr="00046966">
        <w:rPr>
          <w:szCs w:val="24"/>
        </w:rPr>
        <w:t>plant depreciation expenses as recorded in FERC Account No. 40</w:t>
      </w:r>
      <w:r>
        <w:rPr>
          <w:szCs w:val="24"/>
        </w:rPr>
        <w:t>3, 404 and 405</w:t>
      </w:r>
      <w:r w:rsidRPr="00046966">
        <w:rPr>
          <w:szCs w:val="24"/>
        </w:rPr>
        <w:t xml:space="preserve"> associated with Intangible Electric Plant.</w:t>
      </w:r>
    </w:p>
    <w:p w:rsidR="0094074F" w:rsidRPr="00046966" w:rsidRDefault="00130290" w:rsidP="0094074F">
      <w:pPr>
        <w:pStyle w:val="alphapara"/>
        <w:rPr>
          <w:szCs w:val="24"/>
        </w:rPr>
      </w:pPr>
      <w:r w:rsidRPr="00046966">
        <w:rPr>
          <w:szCs w:val="24"/>
        </w:rPr>
        <w:t>14.1.9.1.29</w:t>
      </w:r>
      <w:r w:rsidRPr="00046966">
        <w:rPr>
          <w:szCs w:val="24"/>
        </w:rPr>
        <w:tab/>
        <w:t xml:space="preserve">Intangible Electric Plant Depreciation Reserve shall equal the intangible plant depreciation reserve balance as recorded in </w:t>
      </w:r>
      <w:r w:rsidRPr="00046966">
        <w:rPr>
          <w:szCs w:val="24"/>
        </w:rPr>
        <w:t>FERC Account No. 108 associated with</w:t>
      </w:r>
      <w:r w:rsidRPr="008F24D5">
        <w:t xml:space="preserve"> </w:t>
      </w:r>
      <w:r w:rsidRPr="00046966">
        <w:rPr>
          <w:szCs w:val="24"/>
        </w:rPr>
        <w:t>Intangible Electric Plant.</w:t>
      </w:r>
    </w:p>
    <w:p w:rsidR="0094074F" w:rsidRPr="00046966" w:rsidRDefault="00130290" w:rsidP="0094074F">
      <w:pPr>
        <w:pStyle w:val="alphapara"/>
        <w:rPr>
          <w:szCs w:val="24"/>
        </w:rPr>
      </w:pPr>
      <w:r w:rsidRPr="00046966">
        <w:rPr>
          <w:szCs w:val="24"/>
        </w:rPr>
        <w:t>14.1.9.1.30</w:t>
      </w:r>
      <w:r w:rsidRPr="00046966">
        <w:rPr>
          <w:szCs w:val="24"/>
        </w:rPr>
        <w:tab/>
        <w:t>Loss on Reacquired Debt shall equal the loss on reacquired debt as recorded in FERC Account No. 189.</w:t>
      </w:r>
    </w:p>
    <w:p w:rsidR="0094074F" w:rsidRPr="00046966" w:rsidRDefault="00130290" w:rsidP="0094074F">
      <w:pPr>
        <w:pStyle w:val="alphapara"/>
        <w:rPr>
          <w:szCs w:val="24"/>
        </w:rPr>
      </w:pPr>
      <w:r w:rsidRPr="00046966">
        <w:rPr>
          <w:szCs w:val="24"/>
        </w:rPr>
        <w:t>14.1.9.1.31</w:t>
      </w:r>
      <w:r w:rsidRPr="00046966">
        <w:rPr>
          <w:szCs w:val="24"/>
        </w:rPr>
        <w:tab/>
        <w:t>Materials and Supplies shall equal materials and supplies balance a</w:t>
      </w:r>
      <w:r w:rsidRPr="00046966">
        <w:rPr>
          <w:szCs w:val="24"/>
        </w:rPr>
        <w:t>s recorded in FERC Account No. 154 per 18 C.F.R. Parts 101 (Electric) and 201 (Gas).</w:t>
      </w:r>
    </w:p>
    <w:p w:rsidR="0094074F" w:rsidRPr="00046966" w:rsidRDefault="00130290" w:rsidP="0094074F">
      <w:pPr>
        <w:pStyle w:val="alphapara"/>
        <w:rPr>
          <w:szCs w:val="24"/>
        </w:rPr>
      </w:pPr>
      <w:r w:rsidRPr="00046966">
        <w:rPr>
          <w:szCs w:val="24"/>
        </w:rPr>
        <w:t>14.1.9.1.32</w:t>
      </w:r>
      <w:r w:rsidRPr="00046966">
        <w:rPr>
          <w:szCs w:val="24"/>
        </w:rPr>
        <w:tab/>
        <w:t xml:space="preserve">Payroll Taxes shall equal the electric payroll tax expenses related to FICA and federal and state unemployment as recorded in </w:t>
      </w:r>
      <w:r>
        <w:rPr>
          <w:szCs w:val="24"/>
        </w:rPr>
        <w:t>FERC Account 408.1.</w:t>
      </w:r>
      <w:r w:rsidRPr="00046966">
        <w:rPr>
          <w:szCs w:val="24"/>
        </w:rPr>
        <w:t>.</w:t>
      </w:r>
    </w:p>
    <w:p w:rsidR="0094074F" w:rsidRPr="00046966" w:rsidRDefault="00130290" w:rsidP="0094074F">
      <w:pPr>
        <w:pStyle w:val="alphapara"/>
        <w:rPr>
          <w:szCs w:val="24"/>
        </w:rPr>
      </w:pPr>
      <w:r w:rsidRPr="00046966">
        <w:rPr>
          <w:szCs w:val="24"/>
        </w:rPr>
        <w:t>14.1.9.1.33</w:t>
      </w:r>
      <w:r w:rsidRPr="00046966">
        <w:rPr>
          <w:szCs w:val="24"/>
        </w:rPr>
        <w:tab/>
      </w:r>
      <w:r w:rsidRPr="00046966">
        <w:rPr>
          <w:szCs w:val="24"/>
        </w:rPr>
        <w:t>Plant Held for Future Use shall equal the balance as recorded in FERC Account No. 105 for transmission uses within 5 years.</w:t>
      </w:r>
    </w:p>
    <w:p w:rsidR="0094074F" w:rsidRPr="00046966" w:rsidRDefault="00130290" w:rsidP="0094074F">
      <w:pPr>
        <w:pStyle w:val="alphapara"/>
        <w:rPr>
          <w:szCs w:val="24"/>
        </w:rPr>
      </w:pPr>
      <w:r w:rsidRPr="00046966">
        <w:rPr>
          <w:szCs w:val="24"/>
        </w:rPr>
        <w:t>14.1.9.1.34</w:t>
      </w:r>
      <w:r w:rsidRPr="00046966">
        <w:rPr>
          <w:szCs w:val="24"/>
        </w:rPr>
        <w:tab/>
        <w:t>Prepayments shall equal prepayment balance as recorded in FERC Account No. 165 per 18 C.F.R. Parts 101 (Electric) and 20</w:t>
      </w:r>
      <w:r w:rsidRPr="00046966">
        <w:rPr>
          <w:szCs w:val="24"/>
        </w:rPr>
        <w:t>1 (Gas) less prepaid state and Federal income taxes.</w:t>
      </w:r>
    </w:p>
    <w:p w:rsidR="0094074F" w:rsidRPr="00046966" w:rsidRDefault="00130290" w:rsidP="0094074F">
      <w:pPr>
        <w:pStyle w:val="alphapara"/>
        <w:rPr>
          <w:szCs w:val="24"/>
        </w:rPr>
      </w:pPr>
      <w:r w:rsidRPr="00046966">
        <w:rPr>
          <w:szCs w:val="24"/>
        </w:rPr>
        <w:t>14.1.9.1.35</w:t>
      </w:r>
      <w:r w:rsidRPr="00046966">
        <w:rPr>
          <w:szCs w:val="24"/>
        </w:rPr>
        <w:tab/>
        <w:t xml:space="preserve">Real Estate Tax Expenses shall equal electric real estate tax expense as recorded in </w:t>
      </w:r>
      <w:r>
        <w:rPr>
          <w:szCs w:val="24"/>
        </w:rPr>
        <w:t>FERC Account 408.1.</w:t>
      </w:r>
      <w:r w:rsidRPr="00046966">
        <w:rPr>
          <w:szCs w:val="24"/>
        </w:rPr>
        <w:t>.</w:t>
      </w:r>
    </w:p>
    <w:p w:rsidR="0094074F" w:rsidRPr="00046966" w:rsidRDefault="00130290" w:rsidP="0094074F">
      <w:pPr>
        <w:pStyle w:val="alphapara"/>
        <w:rPr>
          <w:szCs w:val="24"/>
        </w:rPr>
      </w:pPr>
      <w:r w:rsidRPr="00046966">
        <w:rPr>
          <w:szCs w:val="24"/>
        </w:rPr>
        <w:t>14.1.9.1.36</w:t>
      </w:r>
      <w:r w:rsidRPr="00046966">
        <w:rPr>
          <w:szCs w:val="24"/>
        </w:rPr>
        <w:tab/>
        <w:t xml:space="preserve">Regulatory Assets and Liabilities shall equal state and federal </w:t>
      </w:r>
      <w:r w:rsidRPr="00046966">
        <w:rPr>
          <w:szCs w:val="24"/>
        </w:rPr>
        <w:t>regulatory asset balances in FERC Account Nos. 182.3 and 254, assets and liabilities solely related to FAS109, and excess AFUDC.</w:t>
      </w:r>
    </w:p>
    <w:p w:rsidR="0094074F" w:rsidRPr="00046966" w:rsidRDefault="00130290" w:rsidP="0094074F">
      <w:pPr>
        <w:pStyle w:val="alphapara"/>
        <w:rPr>
          <w:szCs w:val="24"/>
        </w:rPr>
      </w:pPr>
      <w:r w:rsidRPr="00046966">
        <w:rPr>
          <w:szCs w:val="24"/>
        </w:rPr>
        <w:t>14.1.9.1.37</w:t>
      </w:r>
      <w:r w:rsidRPr="00046966">
        <w:rPr>
          <w:szCs w:val="24"/>
        </w:rPr>
        <w:tab/>
        <w:t xml:space="preserve">Total Accumulated Deferred Income Taxes shall equal the sum of deferred tax balances recorded in FERC Account Nos. </w:t>
      </w:r>
      <w:r w:rsidRPr="00046966">
        <w:rPr>
          <w:szCs w:val="24"/>
        </w:rPr>
        <w:t>281 - 283 plus accumulated deferred investment tax credits as reflected in FERC Account No. 255, minus the deferred tax balance in FERC Account No. 190.  Total Accumulated Deferred Income Taxes shall exclude the specifically identified generation-related s</w:t>
      </w:r>
      <w:r w:rsidRPr="00046966">
        <w:rPr>
          <w:szCs w:val="24"/>
        </w:rPr>
        <w:t xml:space="preserve">tranded cost deferred taxes. </w:t>
      </w:r>
    </w:p>
    <w:p w:rsidR="0094074F" w:rsidRPr="00046966" w:rsidRDefault="00130290" w:rsidP="0094074F">
      <w:pPr>
        <w:pStyle w:val="alphapara"/>
        <w:rPr>
          <w:szCs w:val="24"/>
        </w:rPr>
      </w:pPr>
      <w:r w:rsidRPr="00046966">
        <w:rPr>
          <w:szCs w:val="24"/>
        </w:rPr>
        <w:t>14.1.9.1.38</w:t>
      </w:r>
      <w:r w:rsidRPr="00046966">
        <w:rPr>
          <w:szCs w:val="24"/>
        </w:rPr>
        <w:tab/>
        <w:t>Total Electric Plant shall equal the sum of Transmission Plant, Distribution Plant, Electric General Plant and Intangible Electric Plant.</w:t>
      </w:r>
    </w:p>
    <w:p w:rsidR="0094074F" w:rsidRPr="00046966" w:rsidRDefault="00130290" w:rsidP="0094074F">
      <w:pPr>
        <w:pStyle w:val="alphapara"/>
        <w:rPr>
          <w:szCs w:val="24"/>
        </w:rPr>
      </w:pPr>
      <w:r w:rsidRPr="00046966">
        <w:rPr>
          <w:szCs w:val="24"/>
        </w:rPr>
        <w:t>14.1.9.1.39</w:t>
      </w:r>
      <w:r w:rsidRPr="00046966">
        <w:rPr>
          <w:szCs w:val="24"/>
        </w:rPr>
        <w:tab/>
        <w:t>Total Gas Plant shall equal the plant balance recorded in 18 C.F</w:t>
      </w:r>
      <w:r w:rsidRPr="00046966">
        <w:rPr>
          <w:szCs w:val="24"/>
        </w:rPr>
        <w:t>.R. Part 201, FERC Account Nos. 301-399.  Total Gas Plant shall exclude Common Plant.</w:t>
      </w:r>
    </w:p>
    <w:p w:rsidR="0094074F" w:rsidRPr="00046966" w:rsidRDefault="00130290" w:rsidP="0094074F">
      <w:pPr>
        <w:pStyle w:val="alphapara"/>
        <w:rPr>
          <w:szCs w:val="24"/>
        </w:rPr>
      </w:pPr>
      <w:r w:rsidRPr="00046966">
        <w:rPr>
          <w:szCs w:val="24"/>
        </w:rPr>
        <w:t>14.1.9.1.40</w:t>
      </w:r>
      <w:r w:rsidRPr="00046966">
        <w:rPr>
          <w:szCs w:val="24"/>
        </w:rPr>
        <w:tab/>
        <w:t>Transmission Depreciation Reserve shall equal electric transmission plant related depreciation reserve balance as recorded in FERC Account No. 108, plus Trans</w:t>
      </w:r>
      <w:r w:rsidRPr="00046966">
        <w:rPr>
          <w:szCs w:val="24"/>
        </w:rPr>
        <w:t>mission Related General Plant Accumulated Depreciation, Transmission Related Amortization of Other Utility Plant, and Common Plant Accumulated Depreciation associated with Gross Electric Plant.</w:t>
      </w:r>
    </w:p>
    <w:p w:rsidR="0094074F" w:rsidRPr="00046966" w:rsidRDefault="00130290" w:rsidP="0094074F">
      <w:pPr>
        <w:pStyle w:val="alphapara"/>
        <w:rPr>
          <w:szCs w:val="24"/>
        </w:rPr>
      </w:pPr>
      <w:r w:rsidRPr="00046966">
        <w:rPr>
          <w:szCs w:val="24"/>
        </w:rPr>
        <w:t>14.1.9.1.41</w:t>
      </w:r>
      <w:r w:rsidRPr="00046966">
        <w:rPr>
          <w:szCs w:val="24"/>
        </w:rPr>
        <w:tab/>
        <w:t>Transmission Operation and Maintenance Expense sha</w:t>
      </w:r>
      <w:r w:rsidRPr="00046966">
        <w:rPr>
          <w:szCs w:val="24"/>
        </w:rPr>
        <w:t>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Payments, but shall exclude </w:t>
      </w:r>
      <w:r w:rsidRPr="00175663">
        <w:rPr>
          <w:szCs w:val="24"/>
        </w:rPr>
        <w:t>expenses incurred pursuant to agreements entered into with generators or other similar resources for</w:t>
      </w:r>
      <w:r w:rsidRPr="00175663">
        <w:rPr>
          <w:szCs w:val="24"/>
        </w:rPr>
        <w:t xml:space="preserve"> the purpose of supporting transmission reliability</w:t>
      </w:r>
      <w:r>
        <w:rPr>
          <w:szCs w:val="24"/>
        </w:rPr>
        <w:t xml:space="preserve"> that do not qualify as Transmission Support Payments </w:t>
      </w:r>
      <w:r w:rsidRPr="00046966">
        <w:rPr>
          <w:szCs w:val="24"/>
        </w:rPr>
        <w:t>.</w:t>
      </w:r>
    </w:p>
    <w:p w:rsidR="0094074F" w:rsidRPr="00046966" w:rsidRDefault="00130290" w:rsidP="0094074F">
      <w:pPr>
        <w:pStyle w:val="alphapara"/>
        <w:rPr>
          <w:szCs w:val="24"/>
        </w:rPr>
      </w:pPr>
      <w:r w:rsidRPr="00046966">
        <w:rPr>
          <w:szCs w:val="24"/>
        </w:rPr>
        <w:t>14.1.9.1.42</w:t>
      </w:r>
      <w:r w:rsidRPr="00046966">
        <w:rPr>
          <w:szCs w:val="24"/>
        </w:rPr>
        <w:tab/>
        <w:t>Transmission Plant shall equal the gross plant balance as recorded in FERC Account Nos. 350-359.</w:t>
      </w:r>
    </w:p>
    <w:p w:rsidR="0094074F" w:rsidRPr="00046966" w:rsidRDefault="00130290" w:rsidP="0094074F">
      <w:pPr>
        <w:pStyle w:val="alphapara"/>
        <w:rPr>
          <w:szCs w:val="24"/>
        </w:rPr>
      </w:pPr>
      <w:r w:rsidRPr="00046966">
        <w:rPr>
          <w:szCs w:val="24"/>
        </w:rPr>
        <w:t>14.1.9.1.43</w:t>
      </w:r>
      <w:r w:rsidRPr="00046966">
        <w:rPr>
          <w:szCs w:val="24"/>
        </w:rPr>
        <w:tab/>
        <w:t>Transmission Related Bad Deb</w:t>
      </w:r>
      <w:r w:rsidRPr="00046966">
        <w:rPr>
          <w:szCs w:val="24"/>
        </w:rPr>
        <w:t xml:space="preserve">t Expense shall equal Bad Debt Expense as reported in </w:t>
      </w:r>
      <w:r>
        <w:rPr>
          <w:szCs w:val="24"/>
        </w:rPr>
        <w:t xml:space="preserve">FERC </w:t>
      </w:r>
      <w:r w:rsidRPr="00046966">
        <w:rPr>
          <w:szCs w:val="24"/>
        </w:rPr>
        <w:t>Account 904 related to NMPC’s wholesale transmission billing.</w:t>
      </w:r>
    </w:p>
    <w:p w:rsidR="0094074F" w:rsidRPr="00046966" w:rsidRDefault="00130290" w:rsidP="0094074F">
      <w:pPr>
        <w:pStyle w:val="alphapara"/>
        <w:rPr>
          <w:szCs w:val="24"/>
        </w:rPr>
      </w:pPr>
      <w:r w:rsidRPr="00046966">
        <w:rPr>
          <w:szCs w:val="24"/>
        </w:rPr>
        <w:t>14.1.9.1.44</w:t>
      </w:r>
      <w:r w:rsidRPr="00046966">
        <w:rPr>
          <w:szCs w:val="24"/>
        </w:rPr>
        <w:tab/>
        <w:t>Unamortized Discount on Long-Term Debt shall equal the balance in FERC Account No. 226.</w:t>
      </w:r>
    </w:p>
    <w:p w:rsidR="0094074F" w:rsidRPr="00046966" w:rsidRDefault="00130290" w:rsidP="0094074F">
      <w:pPr>
        <w:pStyle w:val="alphapara"/>
        <w:rPr>
          <w:szCs w:val="24"/>
        </w:rPr>
      </w:pPr>
      <w:r w:rsidRPr="00046966">
        <w:rPr>
          <w:szCs w:val="24"/>
        </w:rPr>
        <w:t>14.1.9.1.45</w:t>
      </w:r>
      <w:r w:rsidRPr="00046966">
        <w:rPr>
          <w:szCs w:val="24"/>
        </w:rPr>
        <w:tab/>
        <w:t>Wholesale Metering Inve</w:t>
      </w:r>
      <w:r w:rsidRPr="00046966">
        <w:rPr>
          <w:szCs w:val="24"/>
        </w:rPr>
        <w:t>stment shall equal the gross plant investment associated with any Revenue or Remote Terminal Unit (“RTU”) meters and associated equipment connected to an internal or external tie at voltages equal to or greater than 23 kV.  The gross plant investment shall</w:t>
      </w:r>
      <w:r w:rsidRPr="00046966">
        <w:rPr>
          <w:szCs w:val="24"/>
        </w:rPr>
        <w:t xml:space="preserve"> be determined by multiplying the number of such existing wholesale meters recorded in FERC Account No. 370.3 and in blanket metering accounts by the average cost of the meters plus the average costs of installation.  To the extent future gross plant inves</w:t>
      </w:r>
      <w:r w:rsidRPr="00046966">
        <w:rPr>
          <w:szCs w:val="24"/>
        </w:rPr>
        <w:t xml:space="preserve">tment for Wholesale Metering can be specifically identified, actual gross meter costs will be used. </w:t>
      </w:r>
    </w:p>
    <w:p w:rsidR="0094074F" w:rsidRPr="008F5C8B" w:rsidRDefault="00130290" w:rsidP="00837825">
      <w:pPr>
        <w:pStyle w:val="subhead"/>
      </w:pPr>
      <w:bookmarkStart w:id="23" w:name="_Toc263255416"/>
      <w:r w:rsidRPr="008F5C8B">
        <w:t>Forecast and True-up Related Terms</w:t>
      </w:r>
      <w:bookmarkEnd w:id="23"/>
    </w:p>
    <w:p w:rsidR="0094074F" w:rsidRPr="00EC4874" w:rsidRDefault="00130290" w:rsidP="0094074F">
      <w:pPr>
        <w:pStyle w:val="alphapara"/>
        <w:rPr>
          <w:szCs w:val="24"/>
        </w:rPr>
      </w:pPr>
      <w:r w:rsidRPr="00EC4874">
        <w:rPr>
          <w:szCs w:val="24"/>
        </w:rPr>
        <w:t>14.1.9.1.46</w:t>
      </w:r>
      <w:r w:rsidRPr="00EC4874">
        <w:rPr>
          <w:szCs w:val="24"/>
        </w:rPr>
        <w:tab/>
        <w:t>Forecast Period shall mean the calendar year immediately following the calendar year for which the most rece</w:t>
      </w:r>
      <w:r w:rsidRPr="00EC4874">
        <w:rPr>
          <w:szCs w:val="24"/>
        </w:rPr>
        <w:t>nt FERC Form 1 data is available, as of the beginning of the Update Year.</w:t>
      </w:r>
    </w:p>
    <w:p w:rsidR="0094074F" w:rsidRPr="00EC4874" w:rsidRDefault="00130290" w:rsidP="0094074F">
      <w:pPr>
        <w:pStyle w:val="alphapara"/>
        <w:rPr>
          <w:szCs w:val="24"/>
        </w:rPr>
      </w:pPr>
      <w:r w:rsidRPr="00EC4874">
        <w:rPr>
          <w:szCs w:val="24"/>
        </w:rPr>
        <w:t>14.1.9.1.47</w:t>
      </w:r>
      <w:r w:rsidRPr="00EC4874">
        <w:rPr>
          <w:szCs w:val="24"/>
        </w:rPr>
        <w:tab/>
        <w:t xml:space="preserve">Forecasted Transmission Plant Additions (“FTPA”) shall mean the sum of: </w:t>
      </w:r>
    </w:p>
    <w:p w:rsidR="0094074F" w:rsidRPr="00EC4874" w:rsidRDefault="00130290" w:rsidP="0094074F">
      <w:pPr>
        <w:pStyle w:val="alphapara"/>
        <w:rPr>
          <w:szCs w:val="24"/>
        </w:rPr>
      </w:pPr>
      <w:r w:rsidRPr="00EC4874">
        <w:rPr>
          <w:szCs w:val="24"/>
        </w:rPr>
        <w:t>14.1.9.1.47.1</w:t>
      </w:r>
      <w:r w:rsidRPr="00EC4874">
        <w:rPr>
          <w:szCs w:val="24"/>
        </w:rPr>
        <w:tab/>
        <w:t>NMPC’s actual Transmission Plant additions during the first quarter (January 1 thro</w:t>
      </w:r>
      <w:r w:rsidRPr="00EC4874">
        <w:rPr>
          <w:szCs w:val="24"/>
        </w:rPr>
        <w:t xml:space="preserve">ugh March 31) of the Forecast Period; and </w:t>
      </w:r>
    </w:p>
    <w:p w:rsidR="0094074F" w:rsidRPr="00EC4874" w:rsidRDefault="00130290" w:rsidP="0094074F">
      <w:pPr>
        <w:pStyle w:val="alphapara"/>
        <w:rPr>
          <w:szCs w:val="24"/>
        </w:rPr>
      </w:pPr>
      <w:r w:rsidRPr="00EC4874">
        <w:rPr>
          <w:szCs w:val="24"/>
        </w:rPr>
        <w:t>14.1.9.1.47.2</w:t>
      </w:r>
      <w:r w:rsidRPr="00EC4874">
        <w:rPr>
          <w:szCs w:val="24"/>
        </w:rPr>
        <w:tab/>
        <w:t>NMPC’s forecasted transmission investment for the Forecast Period less the amount (i), divided by 2.</w:t>
      </w:r>
    </w:p>
    <w:p w:rsidR="0094074F" w:rsidRPr="00EC4874" w:rsidRDefault="00130290" w:rsidP="0094074F">
      <w:pPr>
        <w:pStyle w:val="alphapara"/>
        <w:rPr>
          <w:szCs w:val="24"/>
        </w:rPr>
      </w:pPr>
      <w:r w:rsidRPr="00EC4874">
        <w:rPr>
          <w:szCs w:val="24"/>
        </w:rPr>
        <w:t>14.1.9.1.48</w:t>
      </w:r>
      <w:r w:rsidRPr="00EC4874">
        <w:rPr>
          <w:szCs w:val="24"/>
        </w:rPr>
        <w:tab/>
        <w:t xml:space="preserve">Interest on refunds, surcharges, or adjustments, as applicable, shall mean interest </w:t>
      </w:r>
      <w:r w:rsidRPr="00EC4874">
        <w:rPr>
          <w:szCs w:val="24"/>
        </w:rPr>
        <w:t>calculated in accordance with the methodology specified in the Commission’s regulations at 18 C.F.R. § 35.19a (a) (2) (iii) (or as such provision may be renumbered in the future).</w:t>
      </w:r>
    </w:p>
    <w:p w:rsidR="0094074F" w:rsidRPr="00EC4874" w:rsidRDefault="00130290" w:rsidP="0094074F">
      <w:pPr>
        <w:pStyle w:val="alphapara"/>
        <w:rPr>
          <w:szCs w:val="24"/>
        </w:rPr>
      </w:pPr>
      <w:r w:rsidRPr="00EC4874">
        <w:rPr>
          <w:szCs w:val="24"/>
        </w:rPr>
        <w:t>14.1.9.1.49</w:t>
      </w:r>
      <w:r w:rsidRPr="00EC4874">
        <w:rPr>
          <w:szCs w:val="24"/>
        </w:rPr>
        <w:tab/>
        <w:t>Actual Transmission Revenue Requirement shall mean the current H</w:t>
      </w:r>
      <w:r w:rsidRPr="00EC4874">
        <w:rPr>
          <w:szCs w:val="24"/>
        </w:rPr>
        <w:t xml:space="preserve">istorical Transmission Revenue Requirement (as defined in Attachment 1). </w:t>
      </w:r>
    </w:p>
    <w:p w:rsidR="0094074F" w:rsidRPr="00EC4874" w:rsidRDefault="00130290" w:rsidP="0094074F">
      <w:pPr>
        <w:pStyle w:val="alphapara"/>
        <w:rPr>
          <w:szCs w:val="24"/>
        </w:rPr>
      </w:pPr>
      <w:r w:rsidRPr="00EC4874">
        <w:rPr>
          <w:szCs w:val="24"/>
        </w:rPr>
        <w:t>14.1.9.1.50</w:t>
      </w:r>
      <w:r w:rsidRPr="00EC4874">
        <w:rPr>
          <w:szCs w:val="24"/>
        </w:rPr>
        <w:tab/>
        <w:t>Actual Scheduling, System Control and Dispatch cost shall mean the most recently established CCC (as defined in Attachment 1).</w:t>
      </w:r>
    </w:p>
    <w:p w:rsidR="0094074F" w:rsidRPr="00EC4874" w:rsidRDefault="00130290" w:rsidP="0094074F">
      <w:pPr>
        <w:pStyle w:val="alphapara"/>
        <w:rPr>
          <w:szCs w:val="24"/>
        </w:rPr>
      </w:pPr>
      <w:r w:rsidRPr="00EC4874">
        <w:rPr>
          <w:szCs w:val="24"/>
        </w:rPr>
        <w:t>14.1.9.1.51</w:t>
      </w:r>
      <w:r w:rsidRPr="00EC4874">
        <w:rPr>
          <w:szCs w:val="24"/>
        </w:rPr>
        <w:tab/>
        <w:t>Actual Billing Units shall mean</w:t>
      </w:r>
      <w:r w:rsidRPr="00EC4874">
        <w:rPr>
          <w:szCs w:val="24"/>
        </w:rPr>
        <w:t xml:space="preserve"> the most recently established BU (as defined in Attachment 1).</w:t>
      </w:r>
    </w:p>
    <w:p w:rsidR="0094074F" w:rsidRPr="00EC4874" w:rsidRDefault="00130290" w:rsidP="0094074F">
      <w:pPr>
        <w:pStyle w:val="alphapara"/>
        <w:rPr>
          <w:szCs w:val="24"/>
        </w:rPr>
      </w:pPr>
      <w:r w:rsidRPr="00EC4874">
        <w:rPr>
          <w:szCs w:val="24"/>
        </w:rPr>
        <w:t>14.1.9.1.52</w:t>
      </w:r>
      <w:r w:rsidRPr="00EC4874">
        <w:rPr>
          <w:szCs w:val="24"/>
        </w:rPr>
        <w:tab/>
        <w:t>Prior Year Transmission Revenue Requirement shall equal RR less Annual True-Up (“ATU”), as defined in Attachment 1, for the most recently ended calendar year as of the beginning of</w:t>
      </w:r>
      <w:r w:rsidRPr="00EC4874">
        <w:rPr>
          <w:szCs w:val="24"/>
        </w:rPr>
        <w:t xml:space="preserve"> the Update Year.  </w:t>
      </w:r>
    </w:p>
    <w:p w:rsidR="0094074F" w:rsidRPr="00EC4874" w:rsidRDefault="00130290" w:rsidP="0094074F">
      <w:pPr>
        <w:pStyle w:val="alphapara"/>
        <w:rPr>
          <w:szCs w:val="24"/>
        </w:rPr>
      </w:pPr>
      <w:r w:rsidRPr="00EC4874">
        <w:rPr>
          <w:szCs w:val="24"/>
        </w:rPr>
        <w:t>14.1.9.1.53</w:t>
      </w:r>
      <w:r w:rsidRPr="00EC4874">
        <w:rPr>
          <w:szCs w:val="24"/>
        </w:rPr>
        <w:tab/>
        <w:t>Prior Year Scheduling, System Control and Dispatch shall equal the CCC, as defined in Attachment 1, for the prior calendar year.</w:t>
      </w:r>
    </w:p>
    <w:p w:rsidR="0094074F" w:rsidRPr="00EC4874" w:rsidRDefault="00130290" w:rsidP="0094074F">
      <w:pPr>
        <w:pStyle w:val="alphapara"/>
        <w:rPr>
          <w:szCs w:val="24"/>
        </w:rPr>
      </w:pPr>
      <w:r w:rsidRPr="00EC4874">
        <w:rPr>
          <w:szCs w:val="24"/>
        </w:rPr>
        <w:t>14.1.9.1.54</w:t>
      </w:r>
      <w:r w:rsidRPr="00EC4874">
        <w:rPr>
          <w:szCs w:val="24"/>
        </w:rPr>
        <w:tab/>
        <w:t>Prior Year Billing Units shall equal the BU, as defined in Attachment 1, for the pr</w:t>
      </w:r>
      <w:r w:rsidRPr="00EC4874">
        <w:rPr>
          <w:szCs w:val="24"/>
        </w:rPr>
        <w:t>ior calendar year.</w:t>
      </w:r>
    </w:p>
    <w:p w:rsidR="0094074F" w:rsidRPr="00EC4874" w:rsidRDefault="00130290" w:rsidP="0094074F">
      <w:pPr>
        <w:pStyle w:val="alphapara"/>
        <w:rPr>
          <w:szCs w:val="24"/>
        </w:rPr>
      </w:pPr>
      <w:r w:rsidRPr="00EC4874">
        <w:rPr>
          <w:szCs w:val="24"/>
        </w:rPr>
        <w:t>14.1.9.1.55</w:t>
      </w:r>
      <w:r w:rsidRPr="00EC4874">
        <w:rPr>
          <w:szCs w:val="24"/>
        </w:rPr>
        <w:tab/>
        <w:t>Prior Year Unit Rate shall equal the sum of RR, as defined in Attachment 1, for the most recently ended Prior Year Revenue Requirement and the Prior Year Scheduling, System Control and Dispatch divided by the Prior Year Billi</w:t>
      </w:r>
      <w:r w:rsidRPr="00EC4874">
        <w:rPr>
          <w:szCs w:val="24"/>
        </w:rPr>
        <w:t>ng Units.</w:t>
      </w:r>
    </w:p>
    <w:p w:rsidR="0094074F" w:rsidRPr="00EC4874" w:rsidRDefault="00130290" w:rsidP="0094074F">
      <w:pPr>
        <w:pStyle w:val="alphapara"/>
        <w:rPr>
          <w:szCs w:val="24"/>
        </w:rPr>
      </w:pPr>
      <w:r w:rsidRPr="00EC4874">
        <w:rPr>
          <w:szCs w:val="24"/>
        </w:rPr>
        <w:t>14.1.9.1.56</w:t>
      </w:r>
      <w:r w:rsidRPr="00EC4874">
        <w:rPr>
          <w:szCs w:val="24"/>
        </w:rPr>
        <w:tab/>
        <w:t>Annual Update shall mean the calculation of the RR, CCC, and BU components with Data Inputs for an Update Year in accordance with Section 14.1.9.4.</w:t>
      </w:r>
    </w:p>
    <w:p w:rsidR="0094074F" w:rsidRPr="00EC4874" w:rsidRDefault="00130290" w:rsidP="0094074F">
      <w:pPr>
        <w:pStyle w:val="alphapara"/>
        <w:rPr>
          <w:szCs w:val="24"/>
        </w:rPr>
      </w:pPr>
      <w:r w:rsidRPr="00EC4874">
        <w:rPr>
          <w:szCs w:val="24"/>
        </w:rPr>
        <w:t>14.1.9.1.57</w:t>
      </w:r>
      <w:r w:rsidRPr="00EC4874">
        <w:rPr>
          <w:szCs w:val="24"/>
        </w:rPr>
        <w:tab/>
        <w:t>Data Input shall mean any data required for the calculation of RR, CCC and</w:t>
      </w:r>
      <w:r w:rsidRPr="00EC4874">
        <w:rPr>
          <w:szCs w:val="24"/>
        </w:rPr>
        <w:t xml:space="preserve"> BU, in accordance with the Formula Rate.</w:t>
      </w:r>
    </w:p>
    <w:p w:rsidR="0094074F" w:rsidRPr="00EC4874" w:rsidRDefault="00130290" w:rsidP="0094074F">
      <w:pPr>
        <w:pStyle w:val="alphapara"/>
        <w:rPr>
          <w:szCs w:val="24"/>
        </w:rPr>
      </w:pPr>
      <w:r w:rsidRPr="00EC4874">
        <w:rPr>
          <w:szCs w:val="24"/>
        </w:rPr>
        <w:t>14.1.9.1.58</w:t>
      </w:r>
      <w:r w:rsidRPr="00EC4874">
        <w:rPr>
          <w:szCs w:val="24"/>
        </w:rPr>
        <w:tab/>
        <w:t>Formal Challenge shall mean a challenge presented in accordance with Section 14.1.9.4.3.2.</w:t>
      </w:r>
    </w:p>
    <w:p w:rsidR="0094074F" w:rsidRPr="00EC4874" w:rsidRDefault="00130290" w:rsidP="0094074F">
      <w:pPr>
        <w:pStyle w:val="alphapara"/>
        <w:rPr>
          <w:szCs w:val="24"/>
        </w:rPr>
      </w:pPr>
      <w:r w:rsidRPr="00EC4874">
        <w:rPr>
          <w:szCs w:val="24"/>
        </w:rPr>
        <w:t>14.1.9.1.59</w:t>
      </w:r>
      <w:r w:rsidRPr="00EC4874">
        <w:rPr>
          <w:szCs w:val="24"/>
        </w:rPr>
        <w:tab/>
        <w:t>Informational Filing shall mean the filing that NMPC makes in accordance with Section 14.1.9.4 to e</w:t>
      </w:r>
      <w:r w:rsidRPr="00EC4874">
        <w:rPr>
          <w:szCs w:val="24"/>
        </w:rPr>
        <w:t>stablish the Annual Update for an Update Year.</w:t>
      </w:r>
    </w:p>
    <w:p w:rsidR="0094074F" w:rsidRPr="00EC4874" w:rsidRDefault="00130290" w:rsidP="0094074F">
      <w:pPr>
        <w:pStyle w:val="alphapara"/>
        <w:rPr>
          <w:szCs w:val="24"/>
        </w:rPr>
      </w:pPr>
      <w:r w:rsidRPr="00EC4874">
        <w:rPr>
          <w:szCs w:val="24"/>
        </w:rPr>
        <w:t>14.1.9.1.60</w:t>
      </w:r>
      <w:r w:rsidRPr="00EC4874">
        <w:rPr>
          <w:szCs w:val="24"/>
        </w:rPr>
        <w:tab/>
        <w:t>Interested Party shall mean a person that is (i) a party to FERC Docket No. ER08-552, (ii) the New York State Public Service Commission; (iii) a transmission customer under this Tariff that pays ch</w:t>
      </w:r>
      <w:r w:rsidRPr="00EC4874">
        <w:rPr>
          <w:szCs w:val="24"/>
        </w:rPr>
        <w:t>arges based on the Formula Rate during the calendar year prior to the submission of the Informational Filing; or (iv) a state regulatory authority having jurisdiction over the retail electric rates of such a transmission customer, provided that such regula</w:t>
      </w:r>
      <w:r w:rsidRPr="00EC4874">
        <w:rPr>
          <w:szCs w:val="24"/>
        </w:rPr>
        <w:t>tory authority or such customer notifies NMPC of that fact no later than 30 days prior to the Publication Date.  An Interested Person includes employees of or consultants to such person.</w:t>
      </w:r>
    </w:p>
    <w:p w:rsidR="0094074F" w:rsidRPr="00EC4874" w:rsidRDefault="00130290" w:rsidP="0094074F">
      <w:pPr>
        <w:pStyle w:val="alphapara"/>
        <w:rPr>
          <w:szCs w:val="24"/>
        </w:rPr>
      </w:pPr>
      <w:r w:rsidRPr="00EC4874">
        <w:rPr>
          <w:szCs w:val="24"/>
        </w:rPr>
        <w:t>14.1.9.1.61</w:t>
      </w:r>
      <w:r w:rsidRPr="00EC4874">
        <w:rPr>
          <w:szCs w:val="24"/>
        </w:rPr>
        <w:tab/>
        <w:t>Material Accounting Change shall mean an accounting polic</w:t>
      </w:r>
      <w:r w:rsidRPr="00EC4874">
        <w:rPr>
          <w:szCs w:val="24"/>
        </w:rPr>
        <w:t>y or practice, including, but not limited to, a policy or practice affecting the allocation of costs or revenues, employed by NMPC during an Update Year that differs from the corresponding policy or practice in effect during any of the three previous calen</w:t>
      </w:r>
      <w:r w:rsidRPr="00EC4874">
        <w:rPr>
          <w:szCs w:val="24"/>
        </w:rPr>
        <w:t xml:space="preserve">dar years which change affects any Data Input for the Update Year by $1.0 million or more, as compared to the previous calendar year.  </w:t>
      </w:r>
    </w:p>
    <w:p w:rsidR="0094074F" w:rsidRPr="00EC4874" w:rsidRDefault="00130290"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w:t>
      </w:r>
      <w:r w:rsidRPr="00EC4874">
        <w:rPr>
          <w:szCs w:val="24"/>
        </w:rPr>
        <w:t>1.9.4.2.1.</w:t>
      </w:r>
    </w:p>
    <w:p w:rsidR="0094074F" w:rsidRPr="00EC4874" w:rsidRDefault="00130290" w:rsidP="0094074F">
      <w:pPr>
        <w:pStyle w:val="alphapara"/>
        <w:rPr>
          <w:szCs w:val="24"/>
        </w:rPr>
      </w:pPr>
      <w:r w:rsidRPr="00EC4874">
        <w:rPr>
          <w:szCs w:val="24"/>
        </w:rPr>
        <w:t>14.1.9.1.63</w:t>
      </w:r>
      <w:r w:rsidRPr="00EC4874">
        <w:rPr>
          <w:szCs w:val="24"/>
        </w:rPr>
        <w:tab/>
        <w:t>Publication Date shall be the date of an Informational Filing for an Update Year.</w:t>
      </w:r>
    </w:p>
    <w:p w:rsidR="0094074F" w:rsidRPr="00EC4874" w:rsidRDefault="00130290"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w:t>
      </w:r>
      <w:r w:rsidRPr="00EC4874">
        <w:rPr>
          <w:szCs w:val="24"/>
        </w:rPr>
        <w:t>ction 14.1.9.4.2.1.</w:t>
      </w:r>
    </w:p>
    <w:p w:rsidR="0094074F" w:rsidRPr="00EC4874" w:rsidRDefault="00130290" w:rsidP="0094074F">
      <w:pPr>
        <w:pStyle w:val="alphapara"/>
        <w:rPr>
          <w:szCs w:val="24"/>
        </w:rPr>
      </w:pPr>
      <w:r w:rsidRPr="00EC4874">
        <w:rPr>
          <w:szCs w:val="24"/>
        </w:rPr>
        <w:t>14.1.9.1.65</w:t>
      </w:r>
      <w:r w:rsidRPr="00EC4874">
        <w:rPr>
          <w:szCs w:val="24"/>
        </w:rPr>
        <w:tab/>
        <w:t xml:space="preserve">Formula Rate shall be the formulas set forth in Attachment 1.   </w:t>
      </w:r>
    </w:p>
    <w:p w:rsidR="0094074F" w:rsidRDefault="00130290"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r w:rsidRPr="00EC4874">
        <w:rPr>
          <w:szCs w:val="24"/>
        </w:rPr>
        <w:t>.</w:t>
      </w:r>
    </w:p>
    <w:p w:rsidR="0094074F" w:rsidRPr="008F24D5" w:rsidRDefault="00130290"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FERC for inclusion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 Docket No. ER14-543, </w:t>
      </w:r>
      <w:r w:rsidRPr="00211E6C">
        <w:rPr>
          <w:szCs w:val="24"/>
        </w:rPr>
        <w:t>T</w:t>
      </w:r>
      <w:r w:rsidRPr="0053639E">
        <w:rPr>
          <w:szCs w:val="24"/>
        </w:rPr>
        <w:t>ransmiss</w:t>
      </w:r>
      <w:r w:rsidRPr="0053639E">
        <w:rPr>
          <w:szCs w:val="24"/>
        </w:rPr>
        <w:t>ion Support Payments shall include the costs incurred by Niagara Mohawk pursuant to the reliability support services agreements entered into between Niagara Mohawk</w:t>
      </w:r>
      <w:r w:rsidRPr="0053639E">
        <w:t xml:space="preserve"> and </w:t>
      </w:r>
      <w:r w:rsidRPr="0053639E">
        <w:rPr>
          <w:szCs w:val="24"/>
        </w:rPr>
        <w:t xml:space="preserve">Dunkirk Power, LLC on July 12, 2012 and March 4, 2013, including the costs of extending </w:t>
      </w:r>
      <w:r w:rsidRPr="0053639E">
        <w:rPr>
          <w:szCs w:val="24"/>
        </w:rPr>
        <w:t>the March 4, 2013 agreement through the end of 2015, less a sum total of $35 million.</w:t>
      </w:r>
      <w:r>
        <w:rPr>
          <w:szCs w:val="24"/>
        </w:rPr>
        <w:t xml:space="preserve">  </w:t>
      </w:r>
    </w:p>
    <w:p w:rsidR="0094074F" w:rsidRPr="00EC4874" w:rsidRDefault="00130290" w:rsidP="0094074F">
      <w:pPr>
        <w:pStyle w:val="Bodypara"/>
        <w:rPr>
          <w:rFonts w:eastAsia="Times New Roman"/>
          <w:szCs w:val="24"/>
        </w:rPr>
      </w:pPr>
      <w:r w:rsidRPr="00EC4874">
        <w:rPr>
          <w:rFonts w:eastAsia="Times New Roman"/>
          <w:szCs w:val="24"/>
        </w:rPr>
        <w:t>All references to FERC accounts in the above definitions are references to 18 C.F.R. Part 101, unless specifically noted otherwise.  In the event that the above-referen</w:t>
      </w:r>
      <w:r w:rsidRPr="00EC4874">
        <w:rPr>
          <w:rFonts w:eastAsia="Times New Roman"/>
          <w:szCs w:val="24"/>
        </w:rPr>
        <w:t>ced FERC accounts are renumbered, renamed, or otherwise modified, the above sections shall be deemed amended to incorporate such renumbered, renamed, modified or additional accounts.</w:t>
      </w:r>
    </w:p>
    <w:p w:rsidR="0094074F" w:rsidRPr="00EC4874" w:rsidRDefault="00130290" w:rsidP="0094074F">
      <w:pPr>
        <w:pStyle w:val="Heading4"/>
        <w:rPr>
          <w:rFonts w:eastAsia="Times New Roman"/>
          <w:szCs w:val="24"/>
        </w:rPr>
      </w:pPr>
      <w:bookmarkStart w:id="24" w:name="_Toc263255417"/>
      <w:r w:rsidRPr="00EC4874">
        <w:rPr>
          <w:rFonts w:eastAsia="Times New Roman"/>
          <w:szCs w:val="24"/>
        </w:rPr>
        <w:t>14.1.9.2</w:t>
      </w:r>
      <w:r w:rsidRPr="00EC4874">
        <w:rPr>
          <w:rFonts w:eastAsia="Times New Roman"/>
          <w:szCs w:val="24"/>
        </w:rPr>
        <w:tab/>
        <w:t>Calculation of RR</w:t>
      </w:r>
      <w:bookmarkEnd w:id="24"/>
    </w:p>
    <w:p w:rsidR="0094074F" w:rsidRPr="00EC4874" w:rsidRDefault="00130290" w:rsidP="0094074F">
      <w:pPr>
        <w:pStyle w:val="Bodypara"/>
        <w:rPr>
          <w:rFonts w:eastAsia="Times New Roman"/>
          <w:szCs w:val="24"/>
        </w:rPr>
      </w:pPr>
      <w:r w:rsidRPr="00EC4874">
        <w:rPr>
          <w:rFonts w:eastAsia="Times New Roman"/>
          <w:szCs w:val="24"/>
        </w:rPr>
        <w:t>The RR component shall equal the (a) Historica</w:t>
      </w:r>
      <w:r w:rsidRPr="00EC4874">
        <w:rPr>
          <w:rFonts w:eastAsia="Times New Roman"/>
          <w:szCs w:val="24"/>
        </w:rPr>
        <w:t>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Annual True-Up, determined in accordance with the Formula Rate.</w:t>
      </w:r>
    </w:p>
    <w:p w:rsidR="0094074F" w:rsidRPr="00EC4874" w:rsidRDefault="00130290" w:rsidP="0094074F">
      <w:pPr>
        <w:pStyle w:val="Heading4"/>
        <w:rPr>
          <w:rFonts w:eastAsia="Times New Roman"/>
          <w:szCs w:val="24"/>
        </w:rPr>
      </w:pPr>
      <w:bookmarkStart w:id="25" w:name="_Toc263255418"/>
      <w:r w:rsidRPr="00EC4874">
        <w:rPr>
          <w:rFonts w:eastAsia="Times New Roman"/>
          <w:szCs w:val="24"/>
        </w:rPr>
        <w:t>14.1.9.3</w:t>
      </w:r>
      <w:r w:rsidRPr="00EC4874">
        <w:rPr>
          <w:rFonts w:eastAsia="Times New Roman"/>
          <w:szCs w:val="24"/>
        </w:rPr>
        <w:tab/>
        <w:t>Fixed F</w:t>
      </w:r>
      <w:r w:rsidRPr="00EC4874">
        <w:rPr>
          <w:rFonts w:eastAsia="Times New Roman"/>
          <w:szCs w:val="24"/>
        </w:rPr>
        <w:t>ormula Inputs</w:t>
      </w:r>
      <w:bookmarkEnd w:id="25"/>
    </w:p>
    <w:p w:rsidR="0094074F" w:rsidRPr="00EC4874" w:rsidRDefault="00130290" w:rsidP="0094074F">
      <w:pPr>
        <w:pStyle w:val="Bodypara"/>
        <w:rPr>
          <w:rFonts w:eastAsia="Times New Roman"/>
          <w:szCs w:val="24"/>
        </w:rPr>
      </w:pPr>
      <w:r w:rsidRPr="00EC4874">
        <w:rPr>
          <w:rFonts w:eastAsia="Times New Roman"/>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eastAsia="Times New Roman"/>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eastAsia="Times New Roman"/>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eastAsia="Times New Roman"/>
          <w:szCs w:val="24"/>
        </w:rPr>
        <w:t>re or the allocation factors in (vi) shall not be deemed to open for review other components of the Formula Rate.</w:t>
      </w:r>
    </w:p>
    <w:p w:rsidR="0094074F" w:rsidRPr="00EC4874" w:rsidRDefault="00130290" w:rsidP="0094074F">
      <w:pPr>
        <w:pStyle w:val="Heading4"/>
        <w:rPr>
          <w:rFonts w:eastAsia="Times New Roman"/>
          <w:szCs w:val="24"/>
        </w:rPr>
      </w:pPr>
      <w:bookmarkStart w:id="26" w:name="_Toc263255419"/>
      <w:r w:rsidRPr="00EC4874">
        <w:rPr>
          <w:rFonts w:eastAsia="Times New Roman"/>
          <w:szCs w:val="24"/>
        </w:rPr>
        <w:t>14.1.9.4</w:t>
      </w:r>
      <w:r w:rsidRPr="00EC4874">
        <w:rPr>
          <w:rFonts w:eastAsia="Times New Roman"/>
          <w:szCs w:val="24"/>
        </w:rPr>
        <w:tab/>
        <w:t>Annual Update Process</w:t>
      </w:r>
      <w:bookmarkEnd w:id="26"/>
    </w:p>
    <w:p w:rsidR="0094074F" w:rsidRPr="00EC4874" w:rsidRDefault="00130290" w:rsidP="00837825">
      <w:pPr>
        <w:pStyle w:val="subhead"/>
      </w:pPr>
      <w:bookmarkStart w:id="27" w:name="_Toc263255420"/>
      <w:r>
        <w:t>14.1.9.4.1</w:t>
      </w:r>
      <w:r>
        <w:tab/>
        <w:t xml:space="preserve"> </w:t>
      </w:r>
      <w:r w:rsidRPr="00EC4874">
        <w:t>Annual Updates</w:t>
      </w:r>
      <w:bookmarkEnd w:id="27"/>
    </w:p>
    <w:p w:rsidR="0094074F" w:rsidRPr="00EC4874" w:rsidRDefault="00130290" w:rsidP="0094074F">
      <w:pPr>
        <w:pStyle w:val="alphapara"/>
        <w:rPr>
          <w:szCs w:val="24"/>
        </w:rPr>
      </w:pPr>
      <w:r w:rsidRPr="00EC4874">
        <w:rPr>
          <w:szCs w:val="24"/>
        </w:rPr>
        <w:t>14.1.9.4.1.1</w:t>
      </w:r>
      <w:r w:rsidRPr="00EC4874">
        <w:rPr>
          <w:szCs w:val="24"/>
        </w:rPr>
        <w:tab/>
        <w:t xml:space="preserve">On or before June 14th of each year, NMPC shall recalculate its RR, </w:t>
      </w:r>
      <w:r w:rsidRPr="00EC4874">
        <w:rPr>
          <w:szCs w:val="24"/>
        </w:rPr>
        <w:t>CCC, and BU components, applying the Data Inputs called for in the Formula Rate to produce the Annual Update for the upcoming Update Year, and:</w:t>
      </w:r>
    </w:p>
    <w:p w:rsidR="0094074F" w:rsidRPr="00EC4874" w:rsidRDefault="00130290" w:rsidP="0094074F">
      <w:pPr>
        <w:pStyle w:val="alphapara"/>
        <w:rPr>
          <w:szCs w:val="24"/>
        </w:rPr>
      </w:pPr>
      <w:r w:rsidRPr="00EC4874">
        <w:rPr>
          <w:szCs w:val="24"/>
        </w:rPr>
        <w:t>14.1.9.4.1.1.1</w:t>
      </w:r>
      <w:r w:rsidRPr="00EC4874">
        <w:rPr>
          <w:szCs w:val="24"/>
        </w:rPr>
        <w:tab/>
      </w:r>
      <w:r w:rsidRPr="00EC4874">
        <w:rPr>
          <w:szCs w:val="24"/>
        </w:rPr>
        <w:tab/>
        <w:t>shall post such Annual Update and a “workable” excel file containing that year’s Annual Update o</w:t>
      </w:r>
      <w:r w:rsidRPr="00EC4874">
        <w:rPr>
          <w:szCs w:val="24"/>
        </w:rPr>
        <w:t xml:space="preserve">n the NYISO’s Internet website; </w:t>
      </w:r>
    </w:p>
    <w:p w:rsidR="0094074F" w:rsidRPr="00EC4874" w:rsidRDefault="00130290" w:rsidP="0094074F">
      <w:pPr>
        <w:pStyle w:val="alphapara"/>
        <w:rPr>
          <w:szCs w:val="24"/>
        </w:rPr>
      </w:pPr>
      <w:r w:rsidRPr="00EC4874">
        <w:rPr>
          <w:szCs w:val="24"/>
        </w:rPr>
        <w:t>14.1.9.4.1.1.2</w:t>
      </w:r>
      <w:r w:rsidRPr="00EC4874">
        <w:rPr>
          <w:szCs w:val="24"/>
        </w:rPr>
        <w:tab/>
      </w:r>
      <w:r w:rsidRPr="00EC4874">
        <w:rPr>
          <w:szCs w:val="24"/>
        </w:rPr>
        <w:tab/>
        <w:t>shall file such Annual Update with the FERC as the Informational Filing.  The submission of such Informational Filing with FERC shall not require any action by the agency; and</w:t>
      </w:r>
    </w:p>
    <w:p w:rsidR="0094074F" w:rsidRPr="00EC4874" w:rsidRDefault="00130290" w:rsidP="0094074F">
      <w:pPr>
        <w:pStyle w:val="alphapara"/>
        <w:rPr>
          <w:szCs w:val="24"/>
        </w:rPr>
      </w:pPr>
      <w:r w:rsidRPr="00EC4874">
        <w:rPr>
          <w:szCs w:val="24"/>
        </w:rPr>
        <w:t>14.1.9.4.1.1.3</w:t>
      </w:r>
      <w:r w:rsidRPr="00EC4874">
        <w:rPr>
          <w:szCs w:val="24"/>
        </w:rPr>
        <w:tab/>
      </w:r>
      <w:r w:rsidRPr="00EC4874">
        <w:rPr>
          <w:szCs w:val="24"/>
        </w:rPr>
        <w:tab/>
        <w:t>shall serve the</w:t>
      </w:r>
      <w:r w:rsidRPr="00EC4874">
        <w:rPr>
          <w:szCs w:val="24"/>
        </w:rPr>
        <w:t xml:space="preserve"> Annual Update electronically on all Interested Parties.</w:t>
      </w:r>
    </w:p>
    <w:p w:rsidR="0094074F" w:rsidRPr="00EC4874" w:rsidRDefault="00130290" w:rsidP="0094074F">
      <w:pPr>
        <w:pStyle w:val="alphapara"/>
        <w:rPr>
          <w:szCs w:val="24"/>
        </w:rPr>
      </w:pPr>
      <w:r w:rsidRPr="00EC4874">
        <w:rPr>
          <w:szCs w:val="24"/>
        </w:rPr>
        <w:t>14.1.9.4.1.2</w:t>
      </w:r>
      <w:r w:rsidRPr="00EC4874">
        <w:rPr>
          <w:szCs w:val="24"/>
        </w:rPr>
        <w:tab/>
        <w:t>If the date for making the Informational Filing should fall on a weekend or a holiday recognized by the FERC, then the posting/filing shall coincide with the NYISO posting requirement fo</w:t>
      </w:r>
      <w:r w:rsidRPr="00EC4874">
        <w:rPr>
          <w:szCs w:val="24"/>
        </w:rPr>
        <w:t>r July rates.</w:t>
      </w:r>
    </w:p>
    <w:p w:rsidR="0094074F" w:rsidRPr="00EC4874" w:rsidRDefault="00130290" w:rsidP="0094074F">
      <w:pPr>
        <w:pStyle w:val="alphapara"/>
        <w:rPr>
          <w:szCs w:val="24"/>
        </w:rPr>
      </w:pPr>
      <w:r w:rsidRPr="00EC4874">
        <w:rPr>
          <w:szCs w:val="24"/>
        </w:rPr>
        <w:t>14.1.9.4.1.3</w:t>
      </w:r>
      <w:r w:rsidRPr="00EC4874">
        <w:rPr>
          <w:szCs w:val="24"/>
        </w:rPr>
        <w:tab/>
        <w:t>The Annual Update for the Update Year:</w:t>
      </w:r>
    </w:p>
    <w:p w:rsidR="0094074F" w:rsidRPr="00EC4874" w:rsidRDefault="00130290" w:rsidP="0094074F">
      <w:pPr>
        <w:pStyle w:val="alphapara"/>
        <w:rPr>
          <w:szCs w:val="24"/>
        </w:rPr>
      </w:pPr>
      <w:r w:rsidRPr="00EC4874">
        <w:rPr>
          <w:szCs w:val="24"/>
        </w:rPr>
        <w:t>14.1.9.4.1.3.1</w:t>
      </w:r>
      <w:r w:rsidRPr="00EC4874">
        <w:rPr>
          <w:szCs w:val="24"/>
        </w:rPr>
        <w:tab/>
      </w:r>
      <w:r w:rsidRPr="00EC4874">
        <w:rPr>
          <w:szCs w:val="24"/>
        </w:rPr>
        <w:tab/>
        <w:t>shall use the Data Inputs specified in NMPC’s Formula Rate, and therefore, to the extent specified in NMPC’s Formula Rate, be based upon NMPC’s FERC Form No. 1 data for the m</w:t>
      </w:r>
      <w:r w:rsidRPr="00EC4874">
        <w:rPr>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szCs w:val="24"/>
        </w:rPr>
        <w:t>lendar year;</w:t>
      </w:r>
    </w:p>
    <w:p w:rsidR="0094074F" w:rsidRPr="00EC4874" w:rsidRDefault="00130290"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130290" w:rsidP="0094074F">
      <w:pPr>
        <w:pStyle w:val="alphapara"/>
        <w:rPr>
          <w:szCs w:val="24"/>
        </w:rPr>
      </w:pPr>
      <w:r w:rsidRPr="00EC4874">
        <w:rPr>
          <w:szCs w:val="24"/>
        </w:rPr>
        <w:t>14.1.9.4</w:t>
      </w:r>
      <w:r w:rsidRPr="00EC4874">
        <w:rPr>
          <w:szCs w:val="24"/>
        </w:rPr>
        <w:t>.1.3.3</w:t>
      </w:r>
      <w:r w:rsidRPr="00EC4874">
        <w:rPr>
          <w:szCs w:val="24"/>
        </w:rPr>
        <w:tab/>
      </w:r>
      <w:r w:rsidRPr="00EC4874">
        <w:rPr>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szCs w:val="24"/>
        </w:rPr>
        <w:t>, policies or notices of the Securities and Exchange Commission, the FERC or a retail regulator, which explanation may incorporate by reference any applicable disclosure statements filed with any such agency;</w:t>
      </w:r>
    </w:p>
    <w:p w:rsidR="0094074F" w:rsidRPr="00EC4874" w:rsidRDefault="00130290" w:rsidP="0094074F">
      <w:pPr>
        <w:pStyle w:val="alphapara"/>
        <w:rPr>
          <w:szCs w:val="24"/>
        </w:rPr>
      </w:pPr>
      <w:r w:rsidRPr="00EC4874">
        <w:rPr>
          <w:szCs w:val="24"/>
        </w:rPr>
        <w:t>14.1.9.4.1.3.4</w:t>
      </w:r>
      <w:r w:rsidRPr="00EC4874">
        <w:rPr>
          <w:szCs w:val="24"/>
        </w:rPr>
        <w:tab/>
      </w:r>
      <w:r w:rsidRPr="00EC4874">
        <w:rPr>
          <w:szCs w:val="24"/>
        </w:rPr>
        <w:tab/>
        <w:t>shall provide notice of the dat</w:t>
      </w:r>
      <w:r w:rsidRPr="00EC4874">
        <w:rPr>
          <w:szCs w:val="24"/>
        </w:rPr>
        <w:t>e and location of the meeting to be held in accordance with Section 14.1.9.4.2.2;</w:t>
      </w:r>
    </w:p>
    <w:p w:rsidR="0094074F" w:rsidRPr="00EC4874" w:rsidRDefault="00130290"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with the procedures set forth in this Section 14.1.9.4, provided that such procedures shall not pr</w:t>
      </w:r>
      <w:r w:rsidRPr="00EC4874">
        <w:rPr>
          <w:szCs w:val="24"/>
        </w:rPr>
        <w:t>eclude investigation of the Annual Update by FERC, including through hearing procedures;</w:t>
      </w:r>
    </w:p>
    <w:p w:rsidR="0094074F" w:rsidRPr="00EC4874" w:rsidRDefault="00130290"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not be subject to challenge by an Interested Party seeking to modify NMPC’s Formula Rate (i.e., </w:t>
      </w:r>
      <w:r w:rsidRPr="00EC4874">
        <w:rPr>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szCs w:val="24"/>
        </w:rPr>
        <w:t xml:space="preserve">4.3.5; </w:t>
      </w:r>
    </w:p>
    <w:p w:rsidR="0094074F" w:rsidRPr="00EC4874" w:rsidRDefault="00130290"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130290" w:rsidP="0094074F">
      <w:pPr>
        <w:pStyle w:val="alphapara"/>
        <w:rPr>
          <w:szCs w:val="24"/>
        </w:rPr>
      </w:pPr>
      <w:r w:rsidRPr="00EC4874">
        <w:rPr>
          <w:szCs w:val="24"/>
        </w:rPr>
        <w:t>14.1.9.4.1.3.8</w:t>
      </w:r>
      <w:r w:rsidRPr="00EC4874">
        <w:rPr>
          <w:szCs w:val="24"/>
        </w:rPr>
        <w:tab/>
      </w:r>
      <w:r w:rsidRPr="00EC4874">
        <w:rPr>
          <w:szCs w:val="24"/>
        </w:rPr>
        <w:tab/>
        <w:t>shall provide a description of, and workpapers for, any correction of an error discovered by NMPC that af</w:t>
      </w:r>
      <w:r w:rsidRPr="00EC4874">
        <w:rPr>
          <w:szCs w:val="24"/>
        </w:rPr>
        <w:t>fects the calculation of any charges under the Formula Rate during a prior year within the period applicable under Section 14.1.9.4.4.</w:t>
      </w:r>
    </w:p>
    <w:p w:rsidR="0094074F" w:rsidRPr="00EC4874" w:rsidRDefault="00130290" w:rsidP="0094074F">
      <w:pPr>
        <w:pStyle w:val="alphapara"/>
        <w:rPr>
          <w:szCs w:val="24"/>
        </w:rPr>
      </w:pPr>
      <w:r w:rsidRPr="00EC4874">
        <w:rPr>
          <w:szCs w:val="24"/>
        </w:rPr>
        <w:t>14.1.9.4.1.4</w:t>
      </w:r>
      <w:r w:rsidRPr="00EC4874">
        <w:rPr>
          <w:szCs w:val="24"/>
        </w:rPr>
        <w:tab/>
        <w:t xml:space="preserve">The fixed Formula Rate inputs set forth in Section 14.1.9.3 shall not be subject to adjustment in an Annual </w:t>
      </w:r>
      <w:r w:rsidRPr="00EC4874">
        <w:rPr>
          <w:szCs w:val="24"/>
        </w:rPr>
        <w:t>Update.</w:t>
      </w:r>
    </w:p>
    <w:p w:rsidR="0094074F" w:rsidRPr="00EC4874" w:rsidRDefault="00130290" w:rsidP="00837825">
      <w:pPr>
        <w:pStyle w:val="subhead"/>
      </w:pPr>
      <w:r w:rsidRPr="00EC4874">
        <w:t xml:space="preserve">14.1.9.4.2 </w:t>
      </w:r>
      <w:r w:rsidRPr="00EC4874">
        <w:tab/>
        <w:t>Annual Review Procedures</w:t>
      </w:r>
    </w:p>
    <w:p w:rsidR="0094074F" w:rsidRPr="00EC4874" w:rsidRDefault="00130290" w:rsidP="008F24D5">
      <w:pPr>
        <w:pStyle w:val="Bodypara"/>
      </w:pPr>
      <w:r w:rsidRPr="00EC4874">
        <w:t>Each Annual Update shall be subject to the following review procedures:</w:t>
      </w:r>
    </w:p>
    <w:p w:rsidR="0094074F" w:rsidRPr="00EC4874" w:rsidRDefault="00130290" w:rsidP="0094074F">
      <w:pPr>
        <w:pStyle w:val="alphapara"/>
        <w:rPr>
          <w:szCs w:val="24"/>
        </w:rPr>
      </w:pPr>
      <w:r w:rsidRPr="00EC4874">
        <w:rPr>
          <w:szCs w:val="24"/>
        </w:rPr>
        <w:t>14.1.9.4.2.1</w:t>
      </w:r>
      <w:r w:rsidRPr="00EC4874">
        <w:rPr>
          <w:szCs w:val="24"/>
        </w:rPr>
        <w:tab/>
        <w:t xml:space="preserve">Any Interested Party shall have up to one hundred fifty (150) days after the Publication Date (unless such period is extended </w:t>
      </w:r>
      <w:r w:rsidRPr="00EC4874">
        <w:rPr>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szCs w:val="24"/>
        </w:rPr>
        <w:t>on the NYISO’s internet website and served by electronic service on all Interested Parties by the next business day following the date it is provided to NMPC.</w:t>
      </w:r>
    </w:p>
    <w:p w:rsidR="0094074F" w:rsidRPr="00EC4874" w:rsidRDefault="00130290" w:rsidP="0094074F">
      <w:pPr>
        <w:pStyle w:val="alphapara"/>
        <w:rPr>
          <w:szCs w:val="24"/>
        </w:rPr>
      </w:pPr>
      <w:r w:rsidRPr="00EC4874">
        <w:rPr>
          <w:szCs w:val="24"/>
        </w:rPr>
        <w:t>14.1.9.4.2.2</w:t>
      </w:r>
      <w:r w:rsidRPr="00EC4874">
        <w:rPr>
          <w:szCs w:val="24"/>
        </w:rPr>
        <w:tab/>
        <w:t>Within thirty (30) days of the Publication Date, NMPC shall hold a meeting open to a</w:t>
      </w:r>
      <w:r w:rsidRPr="00EC4874">
        <w:rPr>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szCs w:val="24"/>
        </w:rPr>
        <w:t xml:space="preserve">any areas of potential Preliminary Challenges, to the extent they have identified them at the time of the meeting.  </w:t>
      </w:r>
    </w:p>
    <w:p w:rsidR="0094074F" w:rsidRPr="00EC4874" w:rsidRDefault="00130290" w:rsidP="0094074F">
      <w:pPr>
        <w:pStyle w:val="alphapara"/>
        <w:rPr>
          <w:szCs w:val="24"/>
        </w:rPr>
      </w:pPr>
      <w:r w:rsidRPr="00EC4874">
        <w:rPr>
          <w:szCs w:val="24"/>
        </w:rPr>
        <w:t>14.1.9.4.2.3</w:t>
      </w:r>
      <w:r w:rsidRPr="00EC4874">
        <w:rPr>
          <w:szCs w:val="24"/>
        </w:rPr>
        <w:tab/>
        <w:t>Interested Parties shall have up to one hundred thirty (130) days after each annual Publication Date (unless such period is ex</w:t>
      </w:r>
      <w:r w:rsidRPr="00EC4874">
        <w:rPr>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szCs w:val="24"/>
        </w:rPr>
        <w:t>impact of any Material Accounting Change identified in the Annual Update on the charges produced by the Formula Rate.</w:t>
      </w:r>
    </w:p>
    <w:p w:rsidR="0094074F" w:rsidRPr="00EC4874" w:rsidRDefault="00130290" w:rsidP="0094074F">
      <w:pPr>
        <w:pStyle w:val="alphapara"/>
        <w:rPr>
          <w:szCs w:val="24"/>
        </w:rPr>
      </w:pPr>
      <w:r w:rsidRPr="00EC4874">
        <w:rPr>
          <w:szCs w:val="24"/>
        </w:rPr>
        <w:t>14.1.9.4.2.4</w:t>
      </w:r>
      <w:r w:rsidRPr="00EC4874">
        <w:rPr>
          <w:szCs w:val="24"/>
        </w:rPr>
        <w:tab/>
        <w:t>NMPC shall make a good faith effort to respond to information requests pertaining to the Annual Update within ten (10) busine</w:t>
      </w:r>
      <w:r w:rsidRPr="00EC4874">
        <w:rPr>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szCs w:val="24"/>
        </w:rPr>
        <w:t xml:space="preserve">privilege, the attorney work product doctrine, or any other legally recognized privilege. </w:t>
      </w:r>
    </w:p>
    <w:p w:rsidR="0094074F" w:rsidRPr="00EC4874" w:rsidRDefault="00130290" w:rsidP="00837825">
      <w:pPr>
        <w:pStyle w:val="subhead"/>
      </w:pPr>
      <w:r w:rsidRPr="00EC4874">
        <w:t>14.1.9.4.3</w:t>
      </w:r>
      <w:r w:rsidRPr="00EC4874">
        <w:tab/>
        <w:t>Resolution of Challenges</w:t>
      </w:r>
    </w:p>
    <w:p w:rsidR="0094074F" w:rsidRPr="00EC4874" w:rsidRDefault="00130290" w:rsidP="0094074F">
      <w:pPr>
        <w:pStyle w:val="alphapara"/>
        <w:rPr>
          <w:szCs w:val="24"/>
        </w:rPr>
      </w:pPr>
      <w:r w:rsidRPr="00EC4874">
        <w:rPr>
          <w:szCs w:val="24"/>
        </w:rPr>
        <w:t>14.1.9.4.3.1</w:t>
      </w:r>
      <w:r w:rsidRPr="00EC4874">
        <w:rPr>
          <w:szCs w:val="24"/>
        </w:rPr>
        <w:tab/>
        <w:t>NMPC and the Interested Parties shall negotiate in good faith throughout the Review Period to attempt to resolve any</w:t>
      </w:r>
      <w:r w:rsidRPr="00EC4874">
        <w:rPr>
          <w:szCs w:val="24"/>
        </w:rPr>
        <w:t xml:space="preserve"> Preliminary Challenges.  </w:t>
      </w:r>
    </w:p>
    <w:p w:rsidR="0094074F" w:rsidRPr="00EC4874" w:rsidRDefault="00130290" w:rsidP="0094074F">
      <w:pPr>
        <w:pStyle w:val="alphapara"/>
        <w:rPr>
          <w:szCs w:val="24"/>
        </w:rPr>
      </w:pPr>
      <w:r w:rsidRPr="00EC4874">
        <w:rPr>
          <w:szCs w:val="24"/>
        </w:rPr>
        <w:t>14.1.9.4.3.2</w:t>
      </w:r>
      <w:r w:rsidRPr="00EC4874">
        <w:rPr>
          <w:szCs w:val="24"/>
        </w:rPr>
        <w:tab/>
        <w:t>If NMPC and any Interested Party or Parties have not resolved any Preliminary Challenge to the Annual Update within the Review Period, an Interested Party shall have an additional twenty-one (21) days (unless such pe</w:t>
      </w:r>
      <w:r w:rsidRPr="00EC4874">
        <w:rPr>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szCs w:val="24"/>
        </w:rPr>
        <w:t>ng the impact of all successfully resolved Preliminary Challenges.</w:t>
      </w:r>
    </w:p>
    <w:p w:rsidR="0094074F" w:rsidRPr="00EC4874" w:rsidRDefault="00130290" w:rsidP="0094074F">
      <w:pPr>
        <w:pStyle w:val="alphapara"/>
        <w:rPr>
          <w:szCs w:val="24"/>
        </w:rPr>
      </w:pPr>
      <w:r w:rsidRPr="00EC4874">
        <w:rPr>
          <w:szCs w:val="24"/>
        </w:rPr>
        <w:t>14.1.9.4.3.3</w:t>
      </w:r>
      <w:r w:rsidRPr="00EC4874">
        <w:rPr>
          <w:szCs w:val="24"/>
        </w:rPr>
        <w:tab/>
        <w:t>Any response by NMPC to a Formal Challenge must be submitted to the FERC within twenty-one (21) days of the date of the filing of the Formal Challenge, and shall be posted on t</w:t>
      </w:r>
      <w:r w:rsidRPr="00EC4874">
        <w:rPr>
          <w:szCs w:val="24"/>
        </w:rPr>
        <w:t xml:space="preserve">he NYISO’s Internet website and served on all Interested Parties by electronic service on the date of such filing. </w:t>
      </w:r>
    </w:p>
    <w:p w:rsidR="0094074F" w:rsidRPr="00EC4874" w:rsidRDefault="00130290" w:rsidP="0094074F">
      <w:pPr>
        <w:pStyle w:val="alphapara"/>
        <w:rPr>
          <w:szCs w:val="24"/>
        </w:rPr>
      </w:pPr>
      <w:r w:rsidRPr="00EC4874">
        <w:rPr>
          <w:szCs w:val="24"/>
        </w:rPr>
        <w:t>14.1.9.4.3.4</w:t>
      </w:r>
      <w:r w:rsidRPr="00EC4874">
        <w:rPr>
          <w:szCs w:val="24"/>
        </w:rPr>
        <w:tab/>
        <w:t xml:space="preserve">In any proceeding initiated by the FERC concerning the Annual Update or in response to a Formal Challenge, NMPC shall bear the </w:t>
      </w:r>
      <w:r w:rsidRPr="00EC4874">
        <w:rPr>
          <w:szCs w:val="24"/>
        </w:rPr>
        <w:t>burden of proving that the Data Inputs in that year’s Annual Update are correct and conform to the terms of the Formula Rate and refunds or adjustments may be made, in either case with interest, to charges collected under the Formula Rate if the FERC concl</w:t>
      </w:r>
      <w:r w:rsidRPr="00EC4874">
        <w:rPr>
          <w:szCs w:val="24"/>
        </w:rPr>
        <w:t>udes that the Data Inputs are incorrect or do not conform to the terms of the Formula Rate.  In all other respects, any such proceeding shall be governed by the rules and requirements applicable to proceedings under Section 206 of the Federal Power Act.</w:t>
      </w:r>
    </w:p>
    <w:p w:rsidR="0094074F" w:rsidRPr="00EC4874" w:rsidRDefault="00130290" w:rsidP="0094074F">
      <w:pPr>
        <w:pStyle w:val="alphapara"/>
        <w:rPr>
          <w:szCs w:val="24"/>
        </w:rPr>
      </w:pPr>
      <w:r w:rsidRPr="00EC4874">
        <w:rPr>
          <w:szCs w:val="24"/>
        </w:rPr>
        <w:t>14</w:t>
      </w:r>
      <w:r w:rsidRPr="00EC4874">
        <w:rPr>
          <w:szCs w:val="24"/>
        </w:rPr>
        <w:t>.1.9.4.3.5</w:t>
      </w:r>
      <w:r w:rsidRPr="00EC4874">
        <w:rPr>
          <w:szCs w:val="24"/>
        </w:rPr>
        <w:tab/>
        <w:t>An Interested Party may propose that resolution of a Preliminary Challenge or Formal Challenge concerning a Material Accounting Change necessitates changes to the Formula Rate to ensure that the resulting charges, including the effect of the Mat</w:t>
      </w:r>
      <w:r w:rsidRPr="00EC4874">
        <w:rPr>
          <w:szCs w:val="24"/>
        </w:rPr>
        <w:t>erial Accounting Change, are just and reasonable.  If NMPC agrees to such a proposed change to the Formula Rate to resolve a Preliminary Challenge, NMPC shall file the change to the Formula Rate with the FERC for approval pursuant to Section 205 of the Fed</w:t>
      </w:r>
      <w:r w:rsidRPr="00EC4874">
        <w:rPr>
          <w:szCs w:val="24"/>
        </w:rPr>
        <w:t xml:space="preserve">eral Power Act.  If NMPC does not agree to such a proposed change, the Interested Party may file the proposed change with the FERC for approval pursuant to Section 206 of the Federal Power Act concurrent with its submission of a Formal Challenge; provided </w:t>
      </w:r>
      <w:r w:rsidRPr="00EC4874">
        <w:rPr>
          <w:szCs w:val="24"/>
        </w:rPr>
        <w:t>that if FERC approves the proposed change, the change to the Formula Rate shall take effect as of the beginning of the Update Year during which the Section 206 filing is made, and refunds or surcharges shall be made, in either case with interest, to charge</w:t>
      </w:r>
      <w:r w:rsidRPr="00EC4874">
        <w:rPr>
          <w:szCs w:val="24"/>
        </w:rPr>
        <w:t xml:space="preserve">s under the Formula Rate after the beginning of such Update Year to reflect the proposed change. </w:t>
      </w:r>
    </w:p>
    <w:p w:rsidR="0094074F" w:rsidRPr="00EC4874" w:rsidRDefault="00130290" w:rsidP="0094074F">
      <w:pPr>
        <w:pStyle w:val="alphapara"/>
        <w:rPr>
          <w:szCs w:val="24"/>
        </w:rPr>
      </w:pPr>
      <w:r w:rsidRPr="00EC4874">
        <w:rPr>
          <w:szCs w:val="24"/>
        </w:rPr>
        <w:t>14.1.9.4.3.6</w:t>
      </w:r>
      <w:r w:rsidRPr="00EC4874">
        <w:rPr>
          <w:szCs w:val="24"/>
        </w:rPr>
        <w:tab/>
        <w:t>Nothing herein shall be deemed to limit in any way the right of NMPC to file unilaterally, pursuant to Section 205 of the Federal Power Act and t</w:t>
      </w:r>
      <w:r w:rsidRPr="00EC4874">
        <w:rPr>
          <w:szCs w:val="24"/>
        </w:rPr>
        <w:t>he regulations thereunder, changes to NMPC’s Formula Rate (including changes in connection with any incentive mechanism) or any of its Data Inputs (including, but not limited to, any fixed Data Inputs) or the right of any other party to file for such chang</w:t>
      </w:r>
      <w:r w:rsidRPr="00EC4874">
        <w:rPr>
          <w:szCs w:val="24"/>
        </w:rPr>
        <w:t>es pursuant to Section 206 of the Federal Power Act and the regulations thereunder.  All parties reserve all rights to challenge, or take any position in response to, any such filing by any other party.</w:t>
      </w:r>
    </w:p>
    <w:p w:rsidR="0094074F" w:rsidRPr="00EC4874" w:rsidRDefault="00130290" w:rsidP="00837825">
      <w:pPr>
        <w:pStyle w:val="subhead"/>
      </w:pPr>
      <w:r w:rsidRPr="00EC4874">
        <w:t xml:space="preserve">14.1.9.4.4 </w:t>
      </w:r>
      <w:r w:rsidRPr="00EC4874">
        <w:tab/>
        <w:t>Changes to Data Inputs</w:t>
      </w:r>
    </w:p>
    <w:p w:rsidR="0094074F" w:rsidRPr="00EC4874" w:rsidRDefault="00130290"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130290"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r>
        <w:rPr>
          <w:szCs w:val="24"/>
        </w:rPr>
        <w:t>.</w:t>
      </w:r>
    </w:p>
    <w:p w:rsidR="0094074F" w:rsidRDefault="00130290"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290">
      <w:pPr>
        <w:spacing w:after="0" w:line="240" w:lineRule="auto"/>
      </w:pPr>
      <w:r>
        <w:separator/>
      </w:r>
    </w:p>
  </w:endnote>
  <w:endnote w:type="continuationSeparator" w:id="0">
    <w:p w:rsidR="00000000" w:rsidRDefault="0013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DA" w:rsidRDefault="00130290">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DA" w:rsidRDefault="00130290">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DA" w:rsidRDefault="00130290">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290">
      <w:pPr>
        <w:spacing w:after="0" w:line="240" w:lineRule="auto"/>
      </w:pPr>
      <w:r>
        <w:separator/>
      </w:r>
    </w:p>
  </w:footnote>
  <w:footnote w:type="continuationSeparator" w:id="0">
    <w:p w:rsidR="00000000" w:rsidRDefault="00130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DA" w:rsidRDefault="0013029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DA" w:rsidRDefault="00130290">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DA" w:rsidRDefault="00130290">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48CBFB6">
      <w:start w:val="1"/>
      <w:numFmt w:val="bullet"/>
      <w:pStyle w:val="Bulletpara"/>
      <w:lvlText w:val=""/>
      <w:lvlJc w:val="left"/>
      <w:pPr>
        <w:tabs>
          <w:tab w:val="num" w:pos="720"/>
        </w:tabs>
        <w:ind w:left="720" w:hanging="360"/>
      </w:pPr>
      <w:rPr>
        <w:rFonts w:ascii="Symbol" w:hAnsi="Symbol" w:hint="default"/>
      </w:rPr>
    </w:lvl>
    <w:lvl w:ilvl="1" w:tplc="5B564FAE" w:tentative="1">
      <w:start w:val="1"/>
      <w:numFmt w:val="bullet"/>
      <w:lvlText w:val="o"/>
      <w:lvlJc w:val="left"/>
      <w:pPr>
        <w:tabs>
          <w:tab w:val="num" w:pos="1440"/>
        </w:tabs>
        <w:ind w:left="1440" w:hanging="360"/>
      </w:pPr>
      <w:rPr>
        <w:rFonts w:ascii="Courier New" w:hAnsi="Courier New" w:cs="Courier New" w:hint="default"/>
      </w:rPr>
    </w:lvl>
    <w:lvl w:ilvl="2" w:tplc="4D42754E" w:tentative="1">
      <w:start w:val="1"/>
      <w:numFmt w:val="bullet"/>
      <w:lvlText w:val=""/>
      <w:lvlJc w:val="left"/>
      <w:pPr>
        <w:tabs>
          <w:tab w:val="num" w:pos="2160"/>
        </w:tabs>
        <w:ind w:left="2160" w:hanging="360"/>
      </w:pPr>
      <w:rPr>
        <w:rFonts w:ascii="Wingdings" w:hAnsi="Wingdings" w:hint="default"/>
      </w:rPr>
    </w:lvl>
    <w:lvl w:ilvl="3" w:tplc="D034D940" w:tentative="1">
      <w:start w:val="1"/>
      <w:numFmt w:val="bullet"/>
      <w:lvlText w:val=""/>
      <w:lvlJc w:val="left"/>
      <w:pPr>
        <w:tabs>
          <w:tab w:val="num" w:pos="2880"/>
        </w:tabs>
        <w:ind w:left="2880" w:hanging="360"/>
      </w:pPr>
      <w:rPr>
        <w:rFonts w:ascii="Symbol" w:hAnsi="Symbol" w:hint="default"/>
      </w:rPr>
    </w:lvl>
    <w:lvl w:ilvl="4" w:tplc="F9D0399A" w:tentative="1">
      <w:start w:val="1"/>
      <w:numFmt w:val="bullet"/>
      <w:lvlText w:val="o"/>
      <w:lvlJc w:val="left"/>
      <w:pPr>
        <w:tabs>
          <w:tab w:val="num" w:pos="3600"/>
        </w:tabs>
        <w:ind w:left="3600" w:hanging="360"/>
      </w:pPr>
      <w:rPr>
        <w:rFonts w:ascii="Courier New" w:hAnsi="Courier New" w:cs="Courier New" w:hint="default"/>
      </w:rPr>
    </w:lvl>
    <w:lvl w:ilvl="5" w:tplc="1B6C7EC2" w:tentative="1">
      <w:start w:val="1"/>
      <w:numFmt w:val="bullet"/>
      <w:lvlText w:val=""/>
      <w:lvlJc w:val="left"/>
      <w:pPr>
        <w:tabs>
          <w:tab w:val="num" w:pos="4320"/>
        </w:tabs>
        <w:ind w:left="4320" w:hanging="360"/>
      </w:pPr>
      <w:rPr>
        <w:rFonts w:ascii="Wingdings" w:hAnsi="Wingdings" w:hint="default"/>
      </w:rPr>
    </w:lvl>
    <w:lvl w:ilvl="6" w:tplc="3E6C2B06" w:tentative="1">
      <w:start w:val="1"/>
      <w:numFmt w:val="bullet"/>
      <w:lvlText w:val=""/>
      <w:lvlJc w:val="left"/>
      <w:pPr>
        <w:tabs>
          <w:tab w:val="num" w:pos="5040"/>
        </w:tabs>
        <w:ind w:left="5040" w:hanging="360"/>
      </w:pPr>
      <w:rPr>
        <w:rFonts w:ascii="Symbol" w:hAnsi="Symbol" w:hint="default"/>
      </w:rPr>
    </w:lvl>
    <w:lvl w:ilvl="7" w:tplc="DCA2D62C" w:tentative="1">
      <w:start w:val="1"/>
      <w:numFmt w:val="bullet"/>
      <w:lvlText w:val="o"/>
      <w:lvlJc w:val="left"/>
      <w:pPr>
        <w:tabs>
          <w:tab w:val="num" w:pos="5760"/>
        </w:tabs>
        <w:ind w:left="5760" w:hanging="360"/>
      </w:pPr>
      <w:rPr>
        <w:rFonts w:ascii="Courier New" w:hAnsi="Courier New" w:cs="Courier New" w:hint="default"/>
      </w:rPr>
    </w:lvl>
    <w:lvl w:ilvl="8" w:tplc="CFBCF94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AEA0CF0">
      <w:start w:val="1"/>
      <w:numFmt w:val="decimal"/>
      <w:lvlText w:val="%1."/>
      <w:lvlJc w:val="left"/>
      <w:pPr>
        <w:tabs>
          <w:tab w:val="num" w:pos="360"/>
        </w:tabs>
        <w:ind w:left="360" w:hanging="360"/>
      </w:pPr>
      <w:rPr>
        <w:rFonts w:hint="default"/>
      </w:rPr>
    </w:lvl>
    <w:lvl w:ilvl="1" w:tplc="C61804F4" w:tentative="1">
      <w:start w:val="1"/>
      <w:numFmt w:val="lowerLetter"/>
      <w:lvlText w:val="%2."/>
      <w:lvlJc w:val="left"/>
      <w:pPr>
        <w:tabs>
          <w:tab w:val="num" w:pos="1080"/>
        </w:tabs>
        <w:ind w:left="1080" w:hanging="360"/>
      </w:pPr>
    </w:lvl>
    <w:lvl w:ilvl="2" w:tplc="532EA754" w:tentative="1">
      <w:start w:val="1"/>
      <w:numFmt w:val="lowerRoman"/>
      <w:lvlText w:val="%3."/>
      <w:lvlJc w:val="right"/>
      <w:pPr>
        <w:tabs>
          <w:tab w:val="num" w:pos="1800"/>
        </w:tabs>
        <w:ind w:left="1800" w:hanging="180"/>
      </w:pPr>
    </w:lvl>
    <w:lvl w:ilvl="3" w:tplc="BDDEA36A" w:tentative="1">
      <w:start w:val="1"/>
      <w:numFmt w:val="decimal"/>
      <w:lvlText w:val="%4."/>
      <w:lvlJc w:val="left"/>
      <w:pPr>
        <w:tabs>
          <w:tab w:val="num" w:pos="2520"/>
        </w:tabs>
        <w:ind w:left="2520" w:hanging="360"/>
      </w:pPr>
    </w:lvl>
    <w:lvl w:ilvl="4" w:tplc="C01222E2" w:tentative="1">
      <w:start w:val="1"/>
      <w:numFmt w:val="lowerLetter"/>
      <w:lvlText w:val="%5."/>
      <w:lvlJc w:val="left"/>
      <w:pPr>
        <w:tabs>
          <w:tab w:val="num" w:pos="3240"/>
        </w:tabs>
        <w:ind w:left="3240" w:hanging="360"/>
      </w:pPr>
    </w:lvl>
    <w:lvl w:ilvl="5" w:tplc="AA7275C4" w:tentative="1">
      <w:start w:val="1"/>
      <w:numFmt w:val="lowerRoman"/>
      <w:lvlText w:val="%6."/>
      <w:lvlJc w:val="right"/>
      <w:pPr>
        <w:tabs>
          <w:tab w:val="num" w:pos="3960"/>
        </w:tabs>
        <w:ind w:left="3960" w:hanging="180"/>
      </w:pPr>
    </w:lvl>
    <w:lvl w:ilvl="6" w:tplc="3C1C60D6" w:tentative="1">
      <w:start w:val="1"/>
      <w:numFmt w:val="decimal"/>
      <w:lvlText w:val="%7."/>
      <w:lvlJc w:val="left"/>
      <w:pPr>
        <w:tabs>
          <w:tab w:val="num" w:pos="4680"/>
        </w:tabs>
        <w:ind w:left="4680" w:hanging="360"/>
      </w:pPr>
    </w:lvl>
    <w:lvl w:ilvl="7" w:tplc="59405610" w:tentative="1">
      <w:start w:val="1"/>
      <w:numFmt w:val="lowerLetter"/>
      <w:lvlText w:val="%8."/>
      <w:lvlJc w:val="left"/>
      <w:pPr>
        <w:tabs>
          <w:tab w:val="num" w:pos="5400"/>
        </w:tabs>
        <w:ind w:left="5400" w:hanging="360"/>
      </w:pPr>
    </w:lvl>
    <w:lvl w:ilvl="8" w:tplc="309E6A7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A70AC8A8">
      <w:start w:val="1"/>
      <w:numFmt w:val="lowerRoman"/>
      <w:lvlText w:val="(%1)"/>
      <w:lvlJc w:val="left"/>
      <w:pPr>
        <w:tabs>
          <w:tab w:val="num" w:pos="2448"/>
        </w:tabs>
        <w:ind w:left="2448" w:hanging="648"/>
      </w:pPr>
      <w:rPr>
        <w:rFonts w:hint="default"/>
        <w:b w:val="0"/>
        <w:i w:val="0"/>
        <w:u w:val="none"/>
      </w:rPr>
    </w:lvl>
    <w:lvl w:ilvl="1" w:tplc="61F0D17E" w:tentative="1">
      <w:start w:val="1"/>
      <w:numFmt w:val="lowerLetter"/>
      <w:lvlText w:val="%2."/>
      <w:lvlJc w:val="left"/>
      <w:pPr>
        <w:tabs>
          <w:tab w:val="num" w:pos="1440"/>
        </w:tabs>
        <w:ind w:left="1440" w:hanging="360"/>
      </w:pPr>
    </w:lvl>
    <w:lvl w:ilvl="2" w:tplc="8BAE063C" w:tentative="1">
      <w:start w:val="1"/>
      <w:numFmt w:val="lowerRoman"/>
      <w:lvlText w:val="%3."/>
      <w:lvlJc w:val="right"/>
      <w:pPr>
        <w:tabs>
          <w:tab w:val="num" w:pos="2160"/>
        </w:tabs>
        <w:ind w:left="2160" w:hanging="180"/>
      </w:pPr>
    </w:lvl>
    <w:lvl w:ilvl="3" w:tplc="A886ABC8" w:tentative="1">
      <w:start w:val="1"/>
      <w:numFmt w:val="decimal"/>
      <w:lvlText w:val="%4."/>
      <w:lvlJc w:val="left"/>
      <w:pPr>
        <w:tabs>
          <w:tab w:val="num" w:pos="2880"/>
        </w:tabs>
        <w:ind w:left="2880" w:hanging="360"/>
      </w:pPr>
    </w:lvl>
    <w:lvl w:ilvl="4" w:tplc="A3243B26" w:tentative="1">
      <w:start w:val="1"/>
      <w:numFmt w:val="lowerLetter"/>
      <w:lvlText w:val="%5."/>
      <w:lvlJc w:val="left"/>
      <w:pPr>
        <w:tabs>
          <w:tab w:val="num" w:pos="3600"/>
        </w:tabs>
        <w:ind w:left="3600" w:hanging="360"/>
      </w:pPr>
    </w:lvl>
    <w:lvl w:ilvl="5" w:tplc="8E6C3FAE" w:tentative="1">
      <w:start w:val="1"/>
      <w:numFmt w:val="lowerRoman"/>
      <w:lvlText w:val="%6."/>
      <w:lvlJc w:val="right"/>
      <w:pPr>
        <w:tabs>
          <w:tab w:val="num" w:pos="4320"/>
        </w:tabs>
        <w:ind w:left="4320" w:hanging="180"/>
      </w:pPr>
    </w:lvl>
    <w:lvl w:ilvl="6" w:tplc="67F818F8" w:tentative="1">
      <w:start w:val="1"/>
      <w:numFmt w:val="decimal"/>
      <w:lvlText w:val="%7."/>
      <w:lvlJc w:val="left"/>
      <w:pPr>
        <w:tabs>
          <w:tab w:val="num" w:pos="5040"/>
        </w:tabs>
        <w:ind w:left="5040" w:hanging="360"/>
      </w:pPr>
    </w:lvl>
    <w:lvl w:ilvl="7" w:tplc="417813D0" w:tentative="1">
      <w:start w:val="1"/>
      <w:numFmt w:val="lowerLetter"/>
      <w:lvlText w:val="%8."/>
      <w:lvlJc w:val="left"/>
      <w:pPr>
        <w:tabs>
          <w:tab w:val="num" w:pos="5760"/>
        </w:tabs>
        <w:ind w:left="5760" w:hanging="360"/>
      </w:pPr>
    </w:lvl>
    <w:lvl w:ilvl="8" w:tplc="822E899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D7600568">
      <w:start w:val="1"/>
      <w:numFmt w:val="lowerRoman"/>
      <w:lvlText w:val="(%1)"/>
      <w:lvlJc w:val="left"/>
      <w:pPr>
        <w:tabs>
          <w:tab w:val="num" w:pos="2880"/>
        </w:tabs>
        <w:ind w:left="2880" w:hanging="720"/>
      </w:pPr>
      <w:rPr>
        <w:rFonts w:hint="default"/>
      </w:rPr>
    </w:lvl>
    <w:lvl w:ilvl="1" w:tplc="CF4C140C" w:tentative="1">
      <w:start w:val="1"/>
      <w:numFmt w:val="lowerLetter"/>
      <w:lvlText w:val="%2."/>
      <w:lvlJc w:val="left"/>
      <w:pPr>
        <w:tabs>
          <w:tab w:val="num" w:pos="3240"/>
        </w:tabs>
        <w:ind w:left="3240" w:hanging="360"/>
      </w:pPr>
    </w:lvl>
    <w:lvl w:ilvl="2" w:tplc="52C25E5C" w:tentative="1">
      <w:start w:val="1"/>
      <w:numFmt w:val="lowerRoman"/>
      <w:lvlText w:val="%3."/>
      <w:lvlJc w:val="right"/>
      <w:pPr>
        <w:tabs>
          <w:tab w:val="num" w:pos="3960"/>
        </w:tabs>
        <w:ind w:left="3960" w:hanging="180"/>
      </w:pPr>
    </w:lvl>
    <w:lvl w:ilvl="3" w:tplc="50FA082A" w:tentative="1">
      <w:start w:val="1"/>
      <w:numFmt w:val="decimal"/>
      <w:lvlText w:val="%4."/>
      <w:lvlJc w:val="left"/>
      <w:pPr>
        <w:tabs>
          <w:tab w:val="num" w:pos="4680"/>
        </w:tabs>
        <w:ind w:left="4680" w:hanging="360"/>
      </w:pPr>
    </w:lvl>
    <w:lvl w:ilvl="4" w:tplc="6DE8C90C" w:tentative="1">
      <w:start w:val="1"/>
      <w:numFmt w:val="lowerLetter"/>
      <w:lvlText w:val="%5."/>
      <w:lvlJc w:val="left"/>
      <w:pPr>
        <w:tabs>
          <w:tab w:val="num" w:pos="5400"/>
        </w:tabs>
        <w:ind w:left="5400" w:hanging="360"/>
      </w:pPr>
    </w:lvl>
    <w:lvl w:ilvl="5" w:tplc="8DD0D290" w:tentative="1">
      <w:start w:val="1"/>
      <w:numFmt w:val="lowerRoman"/>
      <w:lvlText w:val="%6."/>
      <w:lvlJc w:val="right"/>
      <w:pPr>
        <w:tabs>
          <w:tab w:val="num" w:pos="6120"/>
        </w:tabs>
        <w:ind w:left="6120" w:hanging="180"/>
      </w:pPr>
    </w:lvl>
    <w:lvl w:ilvl="6" w:tplc="641C0EA2" w:tentative="1">
      <w:start w:val="1"/>
      <w:numFmt w:val="decimal"/>
      <w:lvlText w:val="%7."/>
      <w:lvlJc w:val="left"/>
      <w:pPr>
        <w:tabs>
          <w:tab w:val="num" w:pos="6840"/>
        </w:tabs>
        <w:ind w:left="6840" w:hanging="360"/>
      </w:pPr>
    </w:lvl>
    <w:lvl w:ilvl="7" w:tplc="A6A80F42" w:tentative="1">
      <w:start w:val="1"/>
      <w:numFmt w:val="lowerLetter"/>
      <w:lvlText w:val="%8."/>
      <w:lvlJc w:val="left"/>
      <w:pPr>
        <w:tabs>
          <w:tab w:val="num" w:pos="7560"/>
        </w:tabs>
        <w:ind w:left="7560" w:hanging="360"/>
      </w:pPr>
    </w:lvl>
    <w:lvl w:ilvl="8" w:tplc="BFBAC02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E3CE0CAC">
      <w:start w:val="3"/>
      <w:numFmt w:val="lowerLetter"/>
      <w:lvlText w:val="(%1)"/>
      <w:lvlJc w:val="left"/>
      <w:pPr>
        <w:tabs>
          <w:tab w:val="num" w:pos="1440"/>
        </w:tabs>
        <w:ind w:left="1440" w:hanging="720"/>
      </w:pPr>
      <w:rPr>
        <w:rFonts w:hint="default"/>
      </w:rPr>
    </w:lvl>
    <w:lvl w:ilvl="1" w:tplc="8E12EE92" w:tentative="1">
      <w:start w:val="1"/>
      <w:numFmt w:val="lowerLetter"/>
      <w:lvlText w:val="%2."/>
      <w:lvlJc w:val="left"/>
      <w:pPr>
        <w:tabs>
          <w:tab w:val="num" w:pos="1800"/>
        </w:tabs>
        <w:ind w:left="1800" w:hanging="360"/>
      </w:pPr>
    </w:lvl>
    <w:lvl w:ilvl="2" w:tplc="FAE860B8" w:tentative="1">
      <w:start w:val="1"/>
      <w:numFmt w:val="lowerRoman"/>
      <w:lvlText w:val="%3."/>
      <w:lvlJc w:val="right"/>
      <w:pPr>
        <w:tabs>
          <w:tab w:val="num" w:pos="2520"/>
        </w:tabs>
        <w:ind w:left="2520" w:hanging="180"/>
      </w:pPr>
    </w:lvl>
    <w:lvl w:ilvl="3" w:tplc="0C102A92" w:tentative="1">
      <w:start w:val="1"/>
      <w:numFmt w:val="decimal"/>
      <w:lvlText w:val="%4."/>
      <w:lvlJc w:val="left"/>
      <w:pPr>
        <w:tabs>
          <w:tab w:val="num" w:pos="3240"/>
        </w:tabs>
        <w:ind w:left="3240" w:hanging="360"/>
      </w:pPr>
    </w:lvl>
    <w:lvl w:ilvl="4" w:tplc="A770131C" w:tentative="1">
      <w:start w:val="1"/>
      <w:numFmt w:val="lowerLetter"/>
      <w:lvlText w:val="%5."/>
      <w:lvlJc w:val="left"/>
      <w:pPr>
        <w:tabs>
          <w:tab w:val="num" w:pos="3960"/>
        </w:tabs>
        <w:ind w:left="3960" w:hanging="360"/>
      </w:pPr>
    </w:lvl>
    <w:lvl w:ilvl="5" w:tplc="67B6110C" w:tentative="1">
      <w:start w:val="1"/>
      <w:numFmt w:val="lowerRoman"/>
      <w:lvlText w:val="%6."/>
      <w:lvlJc w:val="right"/>
      <w:pPr>
        <w:tabs>
          <w:tab w:val="num" w:pos="4680"/>
        </w:tabs>
        <w:ind w:left="4680" w:hanging="180"/>
      </w:pPr>
    </w:lvl>
    <w:lvl w:ilvl="6" w:tplc="5678C67C" w:tentative="1">
      <w:start w:val="1"/>
      <w:numFmt w:val="decimal"/>
      <w:lvlText w:val="%7."/>
      <w:lvlJc w:val="left"/>
      <w:pPr>
        <w:tabs>
          <w:tab w:val="num" w:pos="5400"/>
        </w:tabs>
        <w:ind w:left="5400" w:hanging="360"/>
      </w:pPr>
    </w:lvl>
    <w:lvl w:ilvl="7" w:tplc="1A42B03C" w:tentative="1">
      <w:start w:val="1"/>
      <w:numFmt w:val="lowerLetter"/>
      <w:lvlText w:val="%8."/>
      <w:lvlJc w:val="left"/>
      <w:pPr>
        <w:tabs>
          <w:tab w:val="num" w:pos="6120"/>
        </w:tabs>
        <w:ind w:left="6120" w:hanging="360"/>
      </w:pPr>
    </w:lvl>
    <w:lvl w:ilvl="8" w:tplc="6B10C62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7F47B8E">
      <w:start w:val="1"/>
      <w:numFmt w:val="decimal"/>
      <w:lvlText w:val="%1."/>
      <w:lvlJc w:val="left"/>
      <w:pPr>
        <w:tabs>
          <w:tab w:val="num" w:pos="720"/>
        </w:tabs>
        <w:ind w:left="720" w:hanging="360"/>
      </w:pPr>
      <w:rPr>
        <w:rFonts w:hint="default"/>
      </w:rPr>
    </w:lvl>
    <w:lvl w:ilvl="1" w:tplc="826A8110" w:tentative="1">
      <w:start w:val="1"/>
      <w:numFmt w:val="lowerLetter"/>
      <w:lvlText w:val="%2."/>
      <w:lvlJc w:val="left"/>
      <w:pPr>
        <w:tabs>
          <w:tab w:val="num" w:pos="1440"/>
        </w:tabs>
        <w:ind w:left="1440" w:hanging="360"/>
      </w:pPr>
    </w:lvl>
    <w:lvl w:ilvl="2" w:tplc="E9C6E19C" w:tentative="1">
      <w:start w:val="1"/>
      <w:numFmt w:val="lowerRoman"/>
      <w:lvlText w:val="%3."/>
      <w:lvlJc w:val="right"/>
      <w:pPr>
        <w:tabs>
          <w:tab w:val="num" w:pos="2160"/>
        </w:tabs>
        <w:ind w:left="2160" w:hanging="180"/>
      </w:pPr>
    </w:lvl>
    <w:lvl w:ilvl="3" w:tplc="E1729756" w:tentative="1">
      <w:start w:val="1"/>
      <w:numFmt w:val="decimal"/>
      <w:lvlText w:val="%4."/>
      <w:lvlJc w:val="left"/>
      <w:pPr>
        <w:tabs>
          <w:tab w:val="num" w:pos="2880"/>
        </w:tabs>
        <w:ind w:left="2880" w:hanging="360"/>
      </w:pPr>
    </w:lvl>
    <w:lvl w:ilvl="4" w:tplc="2A240234" w:tentative="1">
      <w:start w:val="1"/>
      <w:numFmt w:val="lowerLetter"/>
      <w:lvlText w:val="%5."/>
      <w:lvlJc w:val="left"/>
      <w:pPr>
        <w:tabs>
          <w:tab w:val="num" w:pos="3600"/>
        </w:tabs>
        <w:ind w:left="3600" w:hanging="360"/>
      </w:pPr>
    </w:lvl>
    <w:lvl w:ilvl="5" w:tplc="C0D65D58" w:tentative="1">
      <w:start w:val="1"/>
      <w:numFmt w:val="lowerRoman"/>
      <w:lvlText w:val="%6."/>
      <w:lvlJc w:val="right"/>
      <w:pPr>
        <w:tabs>
          <w:tab w:val="num" w:pos="4320"/>
        </w:tabs>
        <w:ind w:left="4320" w:hanging="180"/>
      </w:pPr>
    </w:lvl>
    <w:lvl w:ilvl="6" w:tplc="73BA1206" w:tentative="1">
      <w:start w:val="1"/>
      <w:numFmt w:val="decimal"/>
      <w:lvlText w:val="%7."/>
      <w:lvlJc w:val="left"/>
      <w:pPr>
        <w:tabs>
          <w:tab w:val="num" w:pos="5040"/>
        </w:tabs>
        <w:ind w:left="5040" w:hanging="360"/>
      </w:pPr>
    </w:lvl>
    <w:lvl w:ilvl="7" w:tplc="B8C03D5C" w:tentative="1">
      <w:start w:val="1"/>
      <w:numFmt w:val="lowerLetter"/>
      <w:lvlText w:val="%8."/>
      <w:lvlJc w:val="left"/>
      <w:pPr>
        <w:tabs>
          <w:tab w:val="num" w:pos="5760"/>
        </w:tabs>
        <w:ind w:left="5760" w:hanging="360"/>
      </w:pPr>
    </w:lvl>
    <w:lvl w:ilvl="8" w:tplc="576E85E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8A0C14E">
      <w:start w:val="1"/>
      <w:numFmt w:val="decimal"/>
      <w:lvlText w:val="%1."/>
      <w:lvlJc w:val="left"/>
      <w:pPr>
        <w:tabs>
          <w:tab w:val="num" w:pos="720"/>
        </w:tabs>
        <w:ind w:left="720" w:hanging="360"/>
      </w:pPr>
      <w:rPr>
        <w:rFonts w:hint="default"/>
      </w:rPr>
    </w:lvl>
    <w:lvl w:ilvl="1" w:tplc="6B4E1070" w:tentative="1">
      <w:start w:val="1"/>
      <w:numFmt w:val="lowerLetter"/>
      <w:lvlText w:val="%2."/>
      <w:lvlJc w:val="left"/>
      <w:pPr>
        <w:tabs>
          <w:tab w:val="num" w:pos="1440"/>
        </w:tabs>
        <w:ind w:left="1440" w:hanging="360"/>
      </w:pPr>
    </w:lvl>
    <w:lvl w:ilvl="2" w:tplc="172090EE" w:tentative="1">
      <w:start w:val="1"/>
      <w:numFmt w:val="lowerRoman"/>
      <w:lvlText w:val="%3."/>
      <w:lvlJc w:val="right"/>
      <w:pPr>
        <w:tabs>
          <w:tab w:val="num" w:pos="2160"/>
        </w:tabs>
        <w:ind w:left="2160" w:hanging="180"/>
      </w:pPr>
    </w:lvl>
    <w:lvl w:ilvl="3" w:tplc="960A920A" w:tentative="1">
      <w:start w:val="1"/>
      <w:numFmt w:val="decimal"/>
      <w:lvlText w:val="%4."/>
      <w:lvlJc w:val="left"/>
      <w:pPr>
        <w:tabs>
          <w:tab w:val="num" w:pos="2880"/>
        </w:tabs>
        <w:ind w:left="2880" w:hanging="360"/>
      </w:pPr>
    </w:lvl>
    <w:lvl w:ilvl="4" w:tplc="18F85AA0" w:tentative="1">
      <w:start w:val="1"/>
      <w:numFmt w:val="lowerLetter"/>
      <w:lvlText w:val="%5."/>
      <w:lvlJc w:val="left"/>
      <w:pPr>
        <w:tabs>
          <w:tab w:val="num" w:pos="3600"/>
        </w:tabs>
        <w:ind w:left="3600" w:hanging="360"/>
      </w:pPr>
    </w:lvl>
    <w:lvl w:ilvl="5" w:tplc="3C5C142E" w:tentative="1">
      <w:start w:val="1"/>
      <w:numFmt w:val="lowerRoman"/>
      <w:lvlText w:val="%6."/>
      <w:lvlJc w:val="right"/>
      <w:pPr>
        <w:tabs>
          <w:tab w:val="num" w:pos="4320"/>
        </w:tabs>
        <w:ind w:left="4320" w:hanging="180"/>
      </w:pPr>
    </w:lvl>
    <w:lvl w:ilvl="6" w:tplc="757A2D30" w:tentative="1">
      <w:start w:val="1"/>
      <w:numFmt w:val="decimal"/>
      <w:lvlText w:val="%7."/>
      <w:lvlJc w:val="left"/>
      <w:pPr>
        <w:tabs>
          <w:tab w:val="num" w:pos="5040"/>
        </w:tabs>
        <w:ind w:left="5040" w:hanging="360"/>
      </w:pPr>
    </w:lvl>
    <w:lvl w:ilvl="7" w:tplc="DB12CEBC" w:tentative="1">
      <w:start w:val="1"/>
      <w:numFmt w:val="lowerLetter"/>
      <w:lvlText w:val="%8."/>
      <w:lvlJc w:val="left"/>
      <w:pPr>
        <w:tabs>
          <w:tab w:val="num" w:pos="5760"/>
        </w:tabs>
        <w:ind w:left="5760" w:hanging="360"/>
      </w:pPr>
    </w:lvl>
    <w:lvl w:ilvl="8" w:tplc="C25E088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9C62F114">
      <w:start w:val="1"/>
      <w:numFmt w:val="decimal"/>
      <w:lvlText w:val="%1."/>
      <w:lvlJc w:val="left"/>
      <w:pPr>
        <w:tabs>
          <w:tab w:val="num" w:pos="720"/>
        </w:tabs>
        <w:ind w:left="720" w:hanging="360"/>
      </w:pPr>
      <w:rPr>
        <w:rFonts w:hint="default"/>
      </w:rPr>
    </w:lvl>
    <w:lvl w:ilvl="1" w:tplc="21EE180A">
      <w:start w:val="1"/>
      <w:numFmt w:val="lowerLetter"/>
      <w:lvlText w:val="%2."/>
      <w:lvlJc w:val="left"/>
      <w:pPr>
        <w:tabs>
          <w:tab w:val="num" w:pos="1440"/>
        </w:tabs>
        <w:ind w:left="1440" w:hanging="360"/>
      </w:pPr>
    </w:lvl>
    <w:lvl w:ilvl="2" w:tplc="AAECAEEE">
      <w:start w:val="1"/>
      <w:numFmt w:val="lowerRoman"/>
      <w:lvlText w:val="(%3)"/>
      <w:lvlJc w:val="left"/>
      <w:pPr>
        <w:tabs>
          <w:tab w:val="num" w:pos="2700"/>
        </w:tabs>
        <w:ind w:left="2700" w:hanging="720"/>
      </w:pPr>
      <w:rPr>
        <w:rFonts w:hint="default"/>
      </w:rPr>
    </w:lvl>
    <w:lvl w:ilvl="3" w:tplc="758E4982" w:tentative="1">
      <w:start w:val="1"/>
      <w:numFmt w:val="decimal"/>
      <w:lvlText w:val="%4."/>
      <w:lvlJc w:val="left"/>
      <w:pPr>
        <w:tabs>
          <w:tab w:val="num" w:pos="2880"/>
        </w:tabs>
        <w:ind w:left="2880" w:hanging="360"/>
      </w:pPr>
    </w:lvl>
    <w:lvl w:ilvl="4" w:tplc="7D7EB31A" w:tentative="1">
      <w:start w:val="1"/>
      <w:numFmt w:val="lowerLetter"/>
      <w:lvlText w:val="%5."/>
      <w:lvlJc w:val="left"/>
      <w:pPr>
        <w:tabs>
          <w:tab w:val="num" w:pos="3600"/>
        </w:tabs>
        <w:ind w:left="3600" w:hanging="360"/>
      </w:pPr>
    </w:lvl>
    <w:lvl w:ilvl="5" w:tplc="96E41DF8" w:tentative="1">
      <w:start w:val="1"/>
      <w:numFmt w:val="lowerRoman"/>
      <w:lvlText w:val="%6."/>
      <w:lvlJc w:val="right"/>
      <w:pPr>
        <w:tabs>
          <w:tab w:val="num" w:pos="4320"/>
        </w:tabs>
        <w:ind w:left="4320" w:hanging="180"/>
      </w:pPr>
    </w:lvl>
    <w:lvl w:ilvl="6" w:tplc="1332CA32" w:tentative="1">
      <w:start w:val="1"/>
      <w:numFmt w:val="decimal"/>
      <w:lvlText w:val="%7."/>
      <w:lvlJc w:val="left"/>
      <w:pPr>
        <w:tabs>
          <w:tab w:val="num" w:pos="5040"/>
        </w:tabs>
        <w:ind w:left="5040" w:hanging="360"/>
      </w:pPr>
    </w:lvl>
    <w:lvl w:ilvl="7" w:tplc="74B847CA" w:tentative="1">
      <w:start w:val="1"/>
      <w:numFmt w:val="lowerLetter"/>
      <w:lvlText w:val="%8."/>
      <w:lvlJc w:val="left"/>
      <w:pPr>
        <w:tabs>
          <w:tab w:val="num" w:pos="5760"/>
        </w:tabs>
        <w:ind w:left="5760" w:hanging="360"/>
      </w:pPr>
    </w:lvl>
    <w:lvl w:ilvl="8" w:tplc="792E641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A74C8E2E">
      <w:start w:val="1"/>
      <w:numFmt w:val="decimal"/>
      <w:lvlText w:val="%1."/>
      <w:lvlJc w:val="left"/>
      <w:pPr>
        <w:tabs>
          <w:tab w:val="num" w:pos="1080"/>
        </w:tabs>
        <w:ind w:left="1080" w:hanging="360"/>
      </w:pPr>
      <w:rPr>
        <w:b w:val="0"/>
      </w:rPr>
    </w:lvl>
    <w:lvl w:ilvl="1" w:tplc="103AED5E">
      <w:start w:val="1"/>
      <w:numFmt w:val="lowerLetter"/>
      <w:lvlText w:val="%2."/>
      <w:lvlJc w:val="left"/>
      <w:pPr>
        <w:tabs>
          <w:tab w:val="num" w:pos="1800"/>
        </w:tabs>
        <w:ind w:left="1800" w:hanging="360"/>
      </w:pPr>
    </w:lvl>
    <w:lvl w:ilvl="2" w:tplc="AD32DB1E">
      <w:start w:val="1"/>
      <w:numFmt w:val="lowerRoman"/>
      <w:lvlText w:val="%3."/>
      <w:lvlJc w:val="right"/>
      <w:pPr>
        <w:tabs>
          <w:tab w:val="num" w:pos="2520"/>
        </w:tabs>
        <w:ind w:left="2520" w:hanging="180"/>
      </w:pPr>
    </w:lvl>
    <w:lvl w:ilvl="3" w:tplc="943672C4">
      <w:start w:val="1"/>
      <w:numFmt w:val="decimal"/>
      <w:lvlText w:val="%4."/>
      <w:lvlJc w:val="left"/>
      <w:pPr>
        <w:tabs>
          <w:tab w:val="num" w:pos="3240"/>
        </w:tabs>
        <w:ind w:left="3240" w:hanging="360"/>
      </w:pPr>
    </w:lvl>
    <w:lvl w:ilvl="4" w:tplc="6012F85E">
      <w:start w:val="1"/>
      <w:numFmt w:val="lowerLetter"/>
      <w:lvlText w:val="%5."/>
      <w:lvlJc w:val="left"/>
      <w:pPr>
        <w:tabs>
          <w:tab w:val="num" w:pos="3960"/>
        </w:tabs>
        <w:ind w:left="3960" w:hanging="360"/>
      </w:pPr>
    </w:lvl>
    <w:lvl w:ilvl="5" w:tplc="D6423394">
      <w:start w:val="1"/>
      <w:numFmt w:val="lowerRoman"/>
      <w:lvlText w:val="%6."/>
      <w:lvlJc w:val="right"/>
      <w:pPr>
        <w:tabs>
          <w:tab w:val="num" w:pos="4680"/>
        </w:tabs>
        <w:ind w:left="4680" w:hanging="180"/>
      </w:pPr>
    </w:lvl>
    <w:lvl w:ilvl="6" w:tplc="360858B8">
      <w:start w:val="1"/>
      <w:numFmt w:val="decimal"/>
      <w:lvlText w:val="%7."/>
      <w:lvlJc w:val="left"/>
      <w:pPr>
        <w:tabs>
          <w:tab w:val="num" w:pos="5400"/>
        </w:tabs>
        <w:ind w:left="5400" w:hanging="360"/>
      </w:pPr>
    </w:lvl>
    <w:lvl w:ilvl="7" w:tplc="E548B662">
      <w:start w:val="1"/>
      <w:numFmt w:val="lowerLetter"/>
      <w:lvlText w:val="%8."/>
      <w:lvlJc w:val="left"/>
      <w:pPr>
        <w:tabs>
          <w:tab w:val="num" w:pos="6120"/>
        </w:tabs>
        <w:ind w:left="6120" w:hanging="360"/>
      </w:pPr>
    </w:lvl>
    <w:lvl w:ilvl="8" w:tplc="64A81E70">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1AF6D51E">
      <w:start w:val="1"/>
      <w:numFmt w:val="decimal"/>
      <w:lvlText w:val="%1."/>
      <w:lvlJc w:val="left"/>
      <w:pPr>
        <w:tabs>
          <w:tab w:val="num" w:pos="720"/>
        </w:tabs>
        <w:ind w:left="720" w:hanging="360"/>
      </w:pPr>
      <w:rPr>
        <w:rFonts w:hint="default"/>
      </w:rPr>
    </w:lvl>
    <w:lvl w:ilvl="1" w:tplc="56ECFC06" w:tentative="1">
      <w:start w:val="1"/>
      <w:numFmt w:val="lowerLetter"/>
      <w:lvlText w:val="%2."/>
      <w:lvlJc w:val="left"/>
      <w:pPr>
        <w:tabs>
          <w:tab w:val="num" w:pos="1440"/>
        </w:tabs>
        <w:ind w:left="1440" w:hanging="360"/>
      </w:pPr>
    </w:lvl>
    <w:lvl w:ilvl="2" w:tplc="3E48D21C" w:tentative="1">
      <w:start w:val="1"/>
      <w:numFmt w:val="lowerRoman"/>
      <w:lvlText w:val="%3."/>
      <w:lvlJc w:val="right"/>
      <w:pPr>
        <w:tabs>
          <w:tab w:val="num" w:pos="2160"/>
        </w:tabs>
        <w:ind w:left="2160" w:hanging="180"/>
      </w:pPr>
    </w:lvl>
    <w:lvl w:ilvl="3" w:tplc="029213BA" w:tentative="1">
      <w:start w:val="1"/>
      <w:numFmt w:val="decimal"/>
      <w:lvlText w:val="%4."/>
      <w:lvlJc w:val="left"/>
      <w:pPr>
        <w:tabs>
          <w:tab w:val="num" w:pos="2880"/>
        </w:tabs>
        <w:ind w:left="2880" w:hanging="360"/>
      </w:pPr>
    </w:lvl>
    <w:lvl w:ilvl="4" w:tplc="3326807E" w:tentative="1">
      <w:start w:val="1"/>
      <w:numFmt w:val="lowerLetter"/>
      <w:lvlText w:val="%5."/>
      <w:lvlJc w:val="left"/>
      <w:pPr>
        <w:tabs>
          <w:tab w:val="num" w:pos="3600"/>
        </w:tabs>
        <w:ind w:left="3600" w:hanging="360"/>
      </w:pPr>
    </w:lvl>
    <w:lvl w:ilvl="5" w:tplc="E64203E0" w:tentative="1">
      <w:start w:val="1"/>
      <w:numFmt w:val="lowerRoman"/>
      <w:lvlText w:val="%6."/>
      <w:lvlJc w:val="right"/>
      <w:pPr>
        <w:tabs>
          <w:tab w:val="num" w:pos="4320"/>
        </w:tabs>
        <w:ind w:left="4320" w:hanging="180"/>
      </w:pPr>
    </w:lvl>
    <w:lvl w:ilvl="6" w:tplc="0A861720" w:tentative="1">
      <w:start w:val="1"/>
      <w:numFmt w:val="decimal"/>
      <w:lvlText w:val="%7."/>
      <w:lvlJc w:val="left"/>
      <w:pPr>
        <w:tabs>
          <w:tab w:val="num" w:pos="5040"/>
        </w:tabs>
        <w:ind w:left="5040" w:hanging="360"/>
      </w:pPr>
    </w:lvl>
    <w:lvl w:ilvl="7" w:tplc="A956DB24" w:tentative="1">
      <w:start w:val="1"/>
      <w:numFmt w:val="lowerLetter"/>
      <w:lvlText w:val="%8."/>
      <w:lvlJc w:val="left"/>
      <w:pPr>
        <w:tabs>
          <w:tab w:val="num" w:pos="5760"/>
        </w:tabs>
        <w:ind w:left="5760" w:hanging="360"/>
      </w:pPr>
    </w:lvl>
    <w:lvl w:ilvl="8" w:tplc="71961A9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232A5AB0">
      <w:start w:val="1"/>
      <w:numFmt w:val="bullet"/>
      <w:lvlText w:val=""/>
      <w:lvlJc w:val="left"/>
      <w:pPr>
        <w:tabs>
          <w:tab w:val="num" w:pos="5760"/>
        </w:tabs>
        <w:ind w:left="5760" w:hanging="360"/>
      </w:pPr>
      <w:rPr>
        <w:rFonts w:ascii="Symbol" w:hAnsi="Symbol" w:hint="default"/>
        <w:color w:val="auto"/>
        <w:u w:val="none"/>
      </w:rPr>
    </w:lvl>
    <w:lvl w:ilvl="1" w:tplc="8ECA4ADA" w:tentative="1">
      <w:start w:val="1"/>
      <w:numFmt w:val="bullet"/>
      <w:lvlText w:val="o"/>
      <w:lvlJc w:val="left"/>
      <w:pPr>
        <w:tabs>
          <w:tab w:val="num" w:pos="3600"/>
        </w:tabs>
        <w:ind w:left="3600" w:hanging="360"/>
      </w:pPr>
      <w:rPr>
        <w:rFonts w:ascii="Courier New" w:hAnsi="Courier New" w:hint="default"/>
      </w:rPr>
    </w:lvl>
    <w:lvl w:ilvl="2" w:tplc="167010A8" w:tentative="1">
      <w:start w:val="1"/>
      <w:numFmt w:val="bullet"/>
      <w:lvlText w:val=""/>
      <w:lvlJc w:val="left"/>
      <w:pPr>
        <w:tabs>
          <w:tab w:val="num" w:pos="4320"/>
        </w:tabs>
        <w:ind w:left="4320" w:hanging="360"/>
      </w:pPr>
      <w:rPr>
        <w:rFonts w:ascii="Wingdings" w:hAnsi="Wingdings" w:hint="default"/>
      </w:rPr>
    </w:lvl>
    <w:lvl w:ilvl="3" w:tplc="463619E4">
      <w:start w:val="1"/>
      <w:numFmt w:val="bullet"/>
      <w:lvlText w:val=""/>
      <w:lvlJc w:val="left"/>
      <w:pPr>
        <w:tabs>
          <w:tab w:val="num" w:pos="5040"/>
        </w:tabs>
        <w:ind w:left="5040" w:hanging="360"/>
      </w:pPr>
      <w:rPr>
        <w:rFonts w:ascii="Symbol" w:hAnsi="Symbol" w:hint="default"/>
      </w:rPr>
    </w:lvl>
    <w:lvl w:ilvl="4" w:tplc="9B6E30C2" w:tentative="1">
      <w:start w:val="1"/>
      <w:numFmt w:val="bullet"/>
      <w:lvlText w:val="o"/>
      <w:lvlJc w:val="left"/>
      <w:pPr>
        <w:tabs>
          <w:tab w:val="num" w:pos="5760"/>
        </w:tabs>
        <w:ind w:left="5760" w:hanging="360"/>
      </w:pPr>
      <w:rPr>
        <w:rFonts w:ascii="Courier New" w:hAnsi="Courier New" w:hint="default"/>
      </w:rPr>
    </w:lvl>
    <w:lvl w:ilvl="5" w:tplc="D64A7D84" w:tentative="1">
      <w:start w:val="1"/>
      <w:numFmt w:val="bullet"/>
      <w:lvlText w:val=""/>
      <w:lvlJc w:val="left"/>
      <w:pPr>
        <w:tabs>
          <w:tab w:val="num" w:pos="6480"/>
        </w:tabs>
        <w:ind w:left="6480" w:hanging="360"/>
      </w:pPr>
      <w:rPr>
        <w:rFonts w:ascii="Wingdings" w:hAnsi="Wingdings" w:hint="default"/>
      </w:rPr>
    </w:lvl>
    <w:lvl w:ilvl="6" w:tplc="D660CB64" w:tentative="1">
      <w:start w:val="1"/>
      <w:numFmt w:val="bullet"/>
      <w:lvlText w:val=""/>
      <w:lvlJc w:val="left"/>
      <w:pPr>
        <w:tabs>
          <w:tab w:val="num" w:pos="7200"/>
        </w:tabs>
        <w:ind w:left="7200" w:hanging="360"/>
      </w:pPr>
      <w:rPr>
        <w:rFonts w:ascii="Symbol" w:hAnsi="Symbol" w:hint="default"/>
      </w:rPr>
    </w:lvl>
    <w:lvl w:ilvl="7" w:tplc="542468F4" w:tentative="1">
      <w:start w:val="1"/>
      <w:numFmt w:val="bullet"/>
      <w:lvlText w:val="o"/>
      <w:lvlJc w:val="left"/>
      <w:pPr>
        <w:tabs>
          <w:tab w:val="num" w:pos="7920"/>
        </w:tabs>
        <w:ind w:left="7920" w:hanging="360"/>
      </w:pPr>
      <w:rPr>
        <w:rFonts w:ascii="Courier New" w:hAnsi="Courier New" w:hint="default"/>
      </w:rPr>
    </w:lvl>
    <w:lvl w:ilvl="8" w:tplc="B54824C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E486AE88">
      <w:start w:val="1"/>
      <w:numFmt w:val="lowerRoman"/>
      <w:lvlText w:val="(%1)"/>
      <w:lvlJc w:val="left"/>
      <w:pPr>
        <w:tabs>
          <w:tab w:val="num" w:pos="1080"/>
        </w:tabs>
        <w:ind w:left="1080" w:hanging="720"/>
      </w:pPr>
      <w:rPr>
        <w:rFonts w:hint="default"/>
      </w:rPr>
    </w:lvl>
    <w:lvl w:ilvl="1" w:tplc="2340B3F2">
      <w:start w:val="1"/>
      <w:numFmt w:val="lowerLetter"/>
      <w:lvlText w:val="%2."/>
      <w:lvlJc w:val="left"/>
      <w:pPr>
        <w:tabs>
          <w:tab w:val="num" w:pos="1440"/>
        </w:tabs>
        <w:ind w:left="1440" w:hanging="360"/>
      </w:pPr>
    </w:lvl>
    <w:lvl w:ilvl="2" w:tplc="F39675F2" w:tentative="1">
      <w:start w:val="1"/>
      <w:numFmt w:val="lowerRoman"/>
      <w:lvlText w:val="%3."/>
      <w:lvlJc w:val="right"/>
      <w:pPr>
        <w:tabs>
          <w:tab w:val="num" w:pos="2160"/>
        </w:tabs>
        <w:ind w:left="2160" w:hanging="180"/>
      </w:pPr>
    </w:lvl>
    <w:lvl w:ilvl="3" w:tplc="25266D7E" w:tentative="1">
      <w:start w:val="1"/>
      <w:numFmt w:val="decimal"/>
      <w:lvlText w:val="%4."/>
      <w:lvlJc w:val="left"/>
      <w:pPr>
        <w:tabs>
          <w:tab w:val="num" w:pos="2880"/>
        </w:tabs>
        <w:ind w:left="2880" w:hanging="360"/>
      </w:pPr>
    </w:lvl>
    <w:lvl w:ilvl="4" w:tplc="F29C07E6" w:tentative="1">
      <w:start w:val="1"/>
      <w:numFmt w:val="lowerLetter"/>
      <w:lvlText w:val="%5."/>
      <w:lvlJc w:val="left"/>
      <w:pPr>
        <w:tabs>
          <w:tab w:val="num" w:pos="3600"/>
        </w:tabs>
        <w:ind w:left="3600" w:hanging="360"/>
      </w:pPr>
    </w:lvl>
    <w:lvl w:ilvl="5" w:tplc="75EA0516" w:tentative="1">
      <w:start w:val="1"/>
      <w:numFmt w:val="lowerRoman"/>
      <w:lvlText w:val="%6."/>
      <w:lvlJc w:val="right"/>
      <w:pPr>
        <w:tabs>
          <w:tab w:val="num" w:pos="4320"/>
        </w:tabs>
        <w:ind w:left="4320" w:hanging="180"/>
      </w:pPr>
    </w:lvl>
    <w:lvl w:ilvl="6" w:tplc="6358A828" w:tentative="1">
      <w:start w:val="1"/>
      <w:numFmt w:val="decimal"/>
      <w:lvlText w:val="%7."/>
      <w:lvlJc w:val="left"/>
      <w:pPr>
        <w:tabs>
          <w:tab w:val="num" w:pos="5040"/>
        </w:tabs>
        <w:ind w:left="5040" w:hanging="360"/>
      </w:pPr>
    </w:lvl>
    <w:lvl w:ilvl="7" w:tplc="91480424" w:tentative="1">
      <w:start w:val="1"/>
      <w:numFmt w:val="lowerLetter"/>
      <w:lvlText w:val="%8."/>
      <w:lvlJc w:val="left"/>
      <w:pPr>
        <w:tabs>
          <w:tab w:val="num" w:pos="5760"/>
        </w:tabs>
        <w:ind w:left="5760" w:hanging="360"/>
      </w:pPr>
    </w:lvl>
    <w:lvl w:ilvl="8" w:tplc="18B402B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DA"/>
    <w:rsid w:val="00130290"/>
    <w:rsid w:val="006D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3CDFB-C18D-45CB-88F4-0657CC15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9462</Words>
  <Characters>53938</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2018-10-09T19:07:00Z</dcterms:created>
  <dcterms:modified xsi:type="dcterms:W3CDTF">2018-10-09T19:07:00Z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888026550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-794561643</vt:i4>
  </property>
  <property fmtid="{D5CDD505-2E9C-101B-9397-08002B2CF9AE}" pid="12" name="_ReviewingToolsShownOnce">
    <vt:lpwstr/>
  </property>
</Properties>
</file>