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B049BF"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B049BF"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B87CCD">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B049BF" w:rsidP="00703311">
      <w:pPr>
        <w:pStyle w:val="Bullettext"/>
      </w:pPr>
      <w:r>
        <w:t>Available Transfer Capability;</w:t>
      </w:r>
    </w:p>
    <w:p w:rsidR="00024CDD" w:rsidRDefault="00B049BF" w:rsidP="00703311">
      <w:pPr>
        <w:pStyle w:val="Bullettext"/>
      </w:pPr>
      <w:r>
        <w:t>Total Transfer Capability;</w:t>
      </w:r>
    </w:p>
    <w:p w:rsidR="00024CDD" w:rsidRDefault="00B049BF" w:rsidP="00703311">
      <w:pPr>
        <w:pStyle w:val="Bullettext"/>
      </w:pPr>
      <w:r>
        <w:t xml:space="preserve">Information </w:t>
      </w:r>
      <w:r>
        <w:t>regarding physical Curtailments and Interruptions;</w:t>
      </w:r>
    </w:p>
    <w:p w:rsidR="00024CDD" w:rsidRDefault="00B049BF" w:rsidP="00703311">
      <w:pPr>
        <w:pStyle w:val="Bullettext"/>
      </w:pPr>
      <w:r>
        <w:t>Information regarding Ancillary Services;</w:t>
      </w:r>
    </w:p>
    <w:p w:rsidR="00024CDD" w:rsidRDefault="00B049BF" w:rsidP="00703311">
      <w:pPr>
        <w:pStyle w:val="Bullettext"/>
      </w:pPr>
      <w:r>
        <w:t>Pricing for Transmission Service; and</w:t>
      </w:r>
    </w:p>
    <w:p w:rsidR="00024CDD" w:rsidRDefault="00B049BF" w:rsidP="00703311">
      <w:pPr>
        <w:pStyle w:val="Bullettext"/>
      </w:pPr>
      <w:r>
        <w:t>Discounts offered.</w:t>
      </w:r>
    </w:p>
    <w:p w:rsidR="00024CDD" w:rsidRDefault="00B049BF"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sidRPr="00432729">
        <w:t xml:space="preserve"> </w:t>
      </w:r>
    </w:p>
    <w:p w:rsidR="00024CDD" w:rsidRDefault="00B049BF" w:rsidP="00805BCB">
      <w:pPr>
        <w:pStyle w:val="Bodypara"/>
      </w:pPr>
      <w:r>
        <w:lastRenderedPageBreak/>
        <w:t>ISO Employees shall also report all improper disclosures of Confidential Information to the ISO compliance officer</w:t>
      </w:r>
      <w:r>
        <w:t xml:space="preserve"> (as described in Section 12.</w:t>
      </w:r>
      <w:r>
        <w:t>11</w:t>
      </w:r>
      <w:r>
        <w:t xml:space="preserve">)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B049BF"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B049BF" w:rsidP="00C65602">
      <w:pPr>
        <w:pStyle w:val="Indent1"/>
      </w:pPr>
      <w:r w:rsidRPr="00C65602">
        <w:t>(1)</w:t>
      </w:r>
      <w:r w:rsidRPr="00C65602">
        <w:tab/>
        <w:t>communication of TSI between the ISO and the Transmission Owner’s control centers, and other power pools or ISOs;</w:t>
      </w:r>
    </w:p>
    <w:p w:rsidR="007B214F" w:rsidRDefault="00B049BF"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B049BF">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B049BF" w:rsidP="00C65602">
      <w:pPr>
        <w:pStyle w:val="Indent1"/>
      </w:pPr>
      <w:r>
        <w:t>(</w:t>
      </w:r>
      <w:r>
        <w:t>4</w:t>
      </w:r>
      <w:r>
        <w:t>)</w:t>
      </w:r>
      <w:r>
        <w:tab/>
        <w:t>communication of information from a Market Participant to the ISO;</w:t>
      </w:r>
    </w:p>
    <w:p w:rsidR="00024CDD" w:rsidRDefault="00B049BF"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B049BF"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024CDD" w:rsidRDefault="00B049BF" w:rsidP="00C65602">
      <w:pPr>
        <w:pStyle w:val="Indent1"/>
      </w:pPr>
      <w:r>
        <w:t>(</w:t>
      </w:r>
      <w:r>
        <w:t>7</w:t>
      </w:r>
      <w:r>
        <w:t>)</w:t>
      </w:r>
      <w:r>
        <w:tab/>
        <w:t>information that is not listed in NYPP OP-18 and has not been designated by the supplier or owner as Confidential Information</w:t>
      </w:r>
      <w:r>
        <w:t xml:space="preserve">; </w:t>
      </w:r>
    </w:p>
    <w:p w:rsidR="00AA4952" w:rsidRDefault="00B049BF" w:rsidP="00C65602">
      <w:pPr>
        <w:pStyle w:val="Indent1"/>
      </w:pPr>
      <w:r>
        <w:t>(8)</w:t>
      </w:r>
      <w:r>
        <w:tab/>
      </w:r>
      <w:r w:rsidRPr="00A65A0F">
        <w:t xml:space="preserve">disclosures by the ISO that are authorized under ISO Services Tariff Attachment H </w:t>
      </w:r>
      <w:r w:rsidRPr="00A65A0F">
        <w:t>Section 23.4.5.7 and its subsections (except as res</w:t>
      </w:r>
      <w:r>
        <w:t>tricted in section 23.4.5.7.3.2</w:t>
      </w:r>
      <w:r w:rsidRPr="00A65A0F">
        <w:t>)</w:t>
      </w:r>
      <w:r>
        <w:t>;</w:t>
      </w:r>
    </w:p>
    <w:p w:rsidR="00024CDD" w:rsidRDefault="00B049BF" w:rsidP="00805BCB">
      <w:pPr>
        <w:pStyle w:val="Bodypara"/>
      </w:pPr>
      <w:r>
        <w:t>If Confidential Information is required to be divulged in compliance with an order or a subpoena of a court or regulatory body other than FERC or the Commodity Futures Tra</w:t>
      </w:r>
      <w:r>
        <w:t>ding Commission (</w:t>
      </w:r>
      <w:r>
        <w:t>“</w:t>
      </w:r>
      <w:r>
        <w:t>CFTC</w:t>
      </w:r>
      <w:r>
        <w:t>”</w:t>
      </w:r>
      <w:r>
        <w:t>), the ISO will seek to obtain a protective order or</w:t>
      </w:r>
      <w:r w:rsidRPr="00D47814">
        <w:t xml:space="preserve"> </w:t>
      </w:r>
      <w:r>
        <w:t>other appropriate protective relief from the court or regulatory body, provided, however, that the</w:t>
      </w:r>
      <w:r w:rsidRPr="00D47814">
        <w:t xml:space="preserve"> </w:t>
      </w:r>
      <w:r>
        <w:t>ISO staff shall not be required to do any additional analysis to produce such inf</w:t>
      </w:r>
      <w:r>
        <w:t xml:space="preserve">ormation.  With the exception of requests for Confidential Information submitted to the ISO from FERC or the CFTC, the ISO shall provide advance written or electronic notice to the parties providing the Confidential Information as soon as practicable upon </w:t>
      </w:r>
      <w:r>
        <w:t xml:space="preserve">receipt of such an order or a subpoena from a court or regulatory body, and the ISO shall not be held liable for any losses, consequential or otherwise, resulting from the ISO divulging such Confidential Information pursuant to a subpoena or an order of a </w:t>
      </w:r>
      <w:r>
        <w:t>court or regulatory body.</w:t>
      </w:r>
    </w:p>
    <w:p w:rsidR="0078562F" w:rsidRDefault="00B049BF" w:rsidP="0078562F">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78562F" w:rsidRDefault="00B049BF" w:rsidP="0078562F">
      <w:pPr>
        <w:pStyle w:val="Heading3"/>
        <w:rPr>
          <w:szCs w:val="24"/>
        </w:rPr>
      </w:pPr>
      <w:r>
        <w:t>12.4.1</w:t>
      </w:r>
      <w:r w:rsidRPr="003F0305">
        <w:tab/>
      </w:r>
      <w:r>
        <w:t xml:space="preserve">Information Provided to NYSERDA Consistent with </w:t>
      </w:r>
      <w:r w:rsidRPr="00AE07E8">
        <w:rPr>
          <w:szCs w:val="24"/>
        </w:rPr>
        <w:t xml:space="preserve">Article 8, Title 9 of </w:t>
      </w:r>
      <w:r w:rsidRPr="00AE07E8">
        <w:rPr>
          <w:szCs w:val="24"/>
        </w:rPr>
        <w:t>New York Public Authorities Law, Section 1854(19)</w:t>
      </w:r>
    </w:p>
    <w:p w:rsidR="0078562F" w:rsidRDefault="00B049BF" w:rsidP="0078562F">
      <w:pPr>
        <w:pStyle w:val="Bodypara"/>
      </w:pPr>
      <w:r>
        <w:t>A</w:t>
      </w:r>
      <w:r w:rsidRPr="0017377D">
        <w:t>rticle 8, Title 9 of New York Public Authorities Law, Section 1854(19)</w:t>
      </w:r>
      <w:r>
        <w:t xml:space="preserve"> directs NYSERDA to, on its own or through a qualified entity, develop and administer a generation attribute tracking system.  Consiste</w:t>
      </w:r>
      <w:r>
        <w:t>nt with Section 1854(19), the ISO will</w:t>
      </w:r>
      <w:r w:rsidRPr="0017377D">
        <w:t xml:space="preserve"> provide to NYSERDA or its designee</w:t>
      </w:r>
      <w:r>
        <w:t xml:space="preserve"> the following</w:t>
      </w:r>
      <w:r w:rsidRPr="0017377D">
        <w:t xml:space="preserve"> </w:t>
      </w:r>
      <w:r w:rsidRPr="0057241C">
        <w:t xml:space="preserve">generation, delivery, and consumption data that is otherwise required to be maintained in confidence pursuant to this tariff: </w:t>
      </w:r>
      <w:r w:rsidRPr="0057241C">
        <w:rPr>
          <w:rFonts w:ascii="TimesNewRomanPSMT" w:hAnsi="TimesNewRomanPSMT" w:cs="TimesNewRomanPSMT"/>
        </w:rPr>
        <w:t>(</w:t>
      </w:r>
      <w:r w:rsidRPr="0057241C">
        <w:t>i) generator output data; (ii) load consu</w:t>
      </w:r>
      <w:r w:rsidRPr="0057241C">
        <w:t>mption data; and (iii) import and export transaction data.  The data provided will be summed to the monthly level, except where hourly data is required to support the generation attribute tracking system.  The ISO shall provide this information pursuant to</w:t>
      </w:r>
      <w:r w:rsidRPr="0057241C">
        <w:t xml:space="preserve"> a confidentiality agreement with NYSERDA and/or its designee. </w:t>
      </w:r>
      <w:r>
        <w:t xml:space="preserve"> </w:t>
      </w:r>
      <w:r w:rsidRPr="0057241C">
        <w:t>The ISO shall, consistent with state rules or regulations that may provide for protected treatment of such information, request that Confidential</w:t>
      </w:r>
      <w:r>
        <w:t xml:space="preserve"> Information </w:t>
      </w:r>
      <w:r w:rsidRPr="0017377D">
        <w:t>be withheld from public disclosure</w:t>
      </w:r>
      <w:r>
        <w:t xml:space="preserve"> by NYSERDA</w:t>
      </w:r>
      <w:r w:rsidRPr="0017377D">
        <w:t xml:space="preserve"> unless presented in masked or aggregated form. The ISO shall not be held liable for any losses, consequential or otherwise, resulting from the ISO divulging such Confidential Information pursuant to the ongoing electronic delivery.</w:t>
      </w:r>
      <w:r>
        <w:t xml:space="preserve">  </w:t>
      </w:r>
    </w:p>
    <w:p w:rsidR="0078562F" w:rsidRDefault="00B049BF" w:rsidP="0078562F">
      <w:pPr>
        <w:pStyle w:val="Bodypara"/>
      </w:pPr>
      <w:r w:rsidRPr="008A71E8">
        <w:t>After Conf</w:t>
      </w:r>
      <w:r w:rsidRPr="008A71E8">
        <w:t xml:space="preserve">idential Information has been provided to NYSERDA or its designee, the ISO shall immediately notify any affected Market Participant(s) when it becomes aware that a request for disclosure of such Confidential Information has been received by NYSERDA or its </w:t>
      </w:r>
      <w:r w:rsidRPr="008A71E8">
        <w:t>designee, or a decision to disclose such Confidential Information has been made by NYSERDA or its designee, at which time the ISO and the affected Market Participant(s) may respond before such information would be made public, pursuant to state rules or re</w:t>
      </w:r>
      <w:r w:rsidRPr="008A71E8">
        <w:t xml:space="preserve">gulations that may provide for protected treatment of such information.  </w:t>
      </w:r>
    </w:p>
    <w:p w:rsidR="0078562F" w:rsidRDefault="00B049BF" w:rsidP="0078562F">
      <w:pPr>
        <w:pStyle w:val="Heading3"/>
      </w:pPr>
      <w:r>
        <w:t>12.4.2</w:t>
      </w:r>
      <w:r w:rsidRPr="003F0305">
        <w:tab/>
      </w:r>
      <w:r>
        <w:t>Information Provided to FERC Pursuant to FERC Order No. 760, or to the CFTC</w:t>
      </w:r>
    </w:p>
    <w:p w:rsidR="008A46D2" w:rsidRDefault="00B049BF" w:rsidP="00805BCB">
      <w:pPr>
        <w:pStyle w:val="Bodypara"/>
        <w:rPr>
          <w:szCs w:val="24"/>
        </w:rPr>
      </w:pPr>
      <w:r>
        <w:rPr>
          <w:szCs w:val="24"/>
        </w:rPr>
        <w:t xml:space="preserve">The ISO is required to provide data and information to the FERC or its staff, pursuant to FERC </w:t>
      </w:r>
      <w:r>
        <w:rPr>
          <w:szCs w:val="24"/>
        </w:rPr>
        <w:t>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 awards, re</w:t>
      </w:r>
      <w:r w:rsidRPr="00A7668F">
        <w:rPr>
          <w:szCs w:val="24"/>
        </w:rPr>
        <w:t xml:space="preserv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w:t>
      </w:r>
      <w:r>
        <w:rPr>
          <w:szCs w:val="24"/>
        </w:rPr>
        <w:t xml:space="preserve">continuous basis.  </w:t>
      </w:r>
    </w:p>
    <w:p w:rsidR="0032649F" w:rsidRDefault="00B049BF"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confidence pursuant to this section, the ISO shall provide the requested information to the FERC or CFTC or their staff within the time provided for in the request for information. In providing t</w:t>
      </w:r>
      <w:r>
        <w:t xml:space="preserve">he </w:t>
      </w:r>
      <w:r>
        <w:rPr>
          <w:szCs w:val="24"/>
        </w:rPr>
        <w:t xml:space="preserve">ongoing electronic delivery or additional requested </w:t>
      </w:r>
      <w:r>
        <w:t>information to the FERC or its staff or information requested by the CFTC, the ISO shall, consistent with any FERC or CFTC rules or regulations that may provide for privileged treatment of that informa</w:t>
      </w:r>
      <w:r>
        <w:t>tion, request that the information be treated as confidential and non-public by the FERC or CFTC and their staff and that the information be withheld from public disclosure. The ISO shall not be held liable for any losses, consequential or otherwise, resul</w:t>
      </w:r>
      <w:r>
        <w:t xml:space="preserve">ting from the ISO divulging such Confidential Information pursuant to </w:t>
      </w:r>
      <w:r>
        <w:rPr>
          <w:szCs w:val="24"/>
        </w:rPr>
        <w:t xml:space="preserve">the ongoing electronic delivery or </w:t>
      </w:r>
      <w:r>
        <w:t xml:space="preserve">an additional request under this paragraph.  </w:t>
      </w:r>
    </w:p>
    <w:p w:rsidR="009E2553" w:rsidRDefault="00B049BF" w:rsidP="00805BCB">
      <w:pPr>
        <w:pStyle w:val="Bodypara"/>
        <w:rPr>
          <w:szCs w:val="24"/>
        </w:rPr>
      </w:pPr>
      <w:r>
        <w:t>After Confidential Information has been provided to the FERC or CFTC or their staff, the ISO shall immedi</w:t>
      </w:r>
      <w:r>
        <w:t>ately notify any affected Market Participant(s) when it becomes aware that a request for disclosure of such</w:t>
      </w:r>
      <w:r w:rsidRPr="005E66B8">
        <w:t xml:space="preserve"> </w:t>
      </w:r>
      <w:r>
        <w:t>Confidential Information has been received by the FERC or CFTC or their staff, or a decision to disclose such</w:t>
      </w:r>
      <w:r w:rsidRPr="0078562F">
        <w:t xml:space="preserve"> </w:t>
      </w:r>
      <w:r>
        <w:t>Confidential Information has been made</w:t>
      </w:r>
      <w:r>
        <w:t xml:space="preserve"> by the FERC or CFTC, at which time the ISO and the affected Market Participant(s) may respond before such information would be made public, pursuant to the FERC’s and CFTC’s rules and regulations that may provide for privileged treatment of information </w:t>
      </w:r>
      <w:r>
        <w:rPr>
          <w:szCs w:val="24"/>
        </w:rPr>
        <w:t>pr</w:t>
      </w:r>
      <w:r>
        <w:rPr>
          <w:szCs w:val="24"/>
        </w:rPr>
        <w:t>ovided to the FERC or CFTC or their staff.</w:t>
      </w:r>
    </w:p>
    <w:p w:rsidR="0078562F" w:rsidRDefault="00B049BF" w:rsidP="0078562F"/>
    <w:sectPr w:rsidR="0078562F"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14" w:rsidRDefault="00C33214" w:rsidP="00C33214">
      <w:r>
        <w:separator/>
      </w:r>
    </w:p>
  </w:endnote>
  <w:endnote w:type="continuationSeparator" w:id="0">
    <w:p w:rsidR="00C33214" w:rsidRDefault="00C33214" w:rsidP="00C33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4" w:rsidRDefault="00B049BF">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C33214">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C332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4" w:rsidRDefault="00B049BF">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C332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32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4" w:rsidRDefault="00B049BF">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/1/2016 - Docket #: ER16-398-000 - Page </w:t>
    </w:r>
    <w:r w:rsidR="00C33214">
      <w:rPr>
        <w:rFonts w:ascii="Arial" w:eastAsia="Arial" w:hAnsi="Arial" w:cs="Arial"/>
        <w:color w:val="000000"/>
        <w:sz w:val="16"/>
      </w:rPr>
      <w:fldChar w:fldCharType="begin"/>
    </w:r>
    <w:r>
      <w:rPr>
        <w:rFonts w:ascii="Arial" w:eastAsia="Arial" w:hAnsi="Arial" w:cs="Arial"/>
        <w:color w:val="000000"/>
        <w:sz w:val="16"/>
      </w:rPr>
      <w:instrText>PAGE</w:instrText>
    </w:r>
    <w:r w:rsidR="00C332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0B" w:rsidRDefault="00B049BF">
      <w:r>
        <w:separator/>
      </w:r>
    </w:p>
  </w:footnote>
  <w:footnote w:type="continuationSeparator" w:id="0">
    <w:p w:rsidR="00EA600B" w:rsidRDefault="00B049BF">
      <w:r>
        <w:separator/>
      </w:r>
    </w:p>
    <w:p w:rsidR="00EA600B" w:rsidRDefault="00B049BF">
      <w:pPr>
        <w:pStyle w:val="Footer"/>
      </w:pPr>
    </w:p>
  </w:footnote>
  <w:footnote w:id="1">
    <w:p w:rsidR="006A3BCA" w:rsidRPr="006A3BCA" w:rsidRDefault="00B049BF">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w:t>
      </w:r>
      <w:r w:rsidRPr="006A3BCA">
        <w:rPr>
          <w:szCs w:val="22"/>
        </w:rPr>
        <w:t xml:space="preserve">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4" w:rsidRDefault="00B049B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w:t>
    </w:r>
    <w:r>
      <w:rPr>
        <w:rFonts w:ascii="Arial" w:eastAsia="Arial" w:hAnsi="Arial" w:cs="Arial"/>
        <w:color w:val="000000"/>
        <w:sz w:val="16"/>
      </w:rPr>
      <w:t>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4" w:rsidRDefault="00B049B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4" w:rsidRDefault="00B049B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5CC6725A">
      <w:start w:val="2"/>
      <w:numFmt w:val="lowerLetter"/>
      <w:lvlText w:val="(%1)"/>
      <w:lvlJc w:val="left"/>
      <w:pPr>
        <w:tabs>
          <w:tab w:val="num" w:pos="1080"/>
        </w:tabs>
        <w:ind w:left="1080" w:hanging="360"/>
      </w:pPr>
    </w:lvl>
    <w:lvl w:ilvl="1" w:tplc="47563AEE">
      <w:start w:val="1"/>
      <w:numFmt w:val="decimal"/>
      <w:lvlText w:val="%2."/>
      <w:lvlJc w:val="left"/>
      <w:pPr>
        <w:tabs>
          <w:tab w:val="num" w:pos="1440"/>
        </w:tabs>
        <w:ind w:left="1440" w:hanging="360"/>
      </w:pPr>
    </w:lvl>
    <w:lvl w:ilvl="2" w:tplc="0EFE6748">
      <w:start w:val="1"/>
      <w:numFmt w:val="decimal"/>
      <w:lvlText w:val="%3."/>
      <w:lvlJc w:val="left"/>
      <w:pPr>
        <w:tabs>
          <w:tab w:val="num" w:pos="2160"/>
        </w:tabs>
        <w:ind w:left="2160" w:hanging="360"/>
      </w:pPr>
    </w:lvl>
    <w:lvl w:ilvl="3" w:tplc="B5B46936">
      <w:start w:val="1"/>
      <w:numFmt w:val="decimal"/>
      <w:lvlText w:val="%4."/>
      <w:lvlJc w:val="left"/>
      <w:pPr>
        <w:tabs>
          <w:tab w:val="num" w:pos="2880"/>
        </w:tabs>
        <w:ind w:left="2880" w:hanging="360"/>
      </w:pPr>
    </w:lvl>
    <w:lvl w:ilvl="4" w:tplc="CA0006F0">
      <w:start w:val="1"/>
      <w:numFmt w:val="decimal"/>
      <w:lvlText w:val="%5."/>
      <w:lvlJc w:val="left"/>
      <w:pPr>
        <w:tabs>
          <w:tab w:val="num" w:pos="3600"/>
        </w:tabs>
        <w:ind w:left="3600" w:hanging="360"/>
      </w:pPr>
    </w:lvl>
    <w:lvl w:ilvl="5" w:tplc="724A059C">
      <w:start w:val="1"/>
      <w:numFmt w:val="decimal"/>
      <w:lvlText w:val="%6."/>
      <w:lvlJc w:val="left"/>
      <w:pPr>
        <w:tabs>
          <w:tab w:val="num" w:pos="4320"/>
        </w:tabs>
        <w:ind w:left="4320" w:hanging="360"/>
      </w:pPr>
    </w:lvl>
    <w:lvl w:ilvl="6" w:tplc="7C043122">
      <w:start w:val="1"/>
      <w:numFmt w:val="decimal"/>
      <w:lvlText w:val="%7."/>
      <w:lvlJc w:val="left"/>
      <w:pPr>
        <w:tabs>
          <w:tab w:val="num" w:pos="5040"/>
        </w:tabs>
        <w:ind w:left="5040" w:hanging="360"/>
      </w:pPr>
    </w:lvl>
    <w:lvl w:ilvl="7" w:tplc="726E8134">
      <w:start w:val="1"/>
      <w:numFmt w:val="decimal"/>
      <w:lvlText w:val="%8."/>
      <w:lvlJc w:val="left"/>
      <w:pPr>
        <w:tabs>
          <w:tab w:val="num" w:pos="5760"/>
        </w:tabs>
        <w:ind w:left="5760" w:hanging="360"/>
      </w:pPr>
    </w:lvl>
    <w:lvl w:ilvl="8" w:tplc="1436C42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E9DEA762">
      <w:start w:val="6"/>
      <w:numFmt w:val="decimal"/>
      <w:lvlText w:val="(%1)"/>
      <w:lvlJc w:val="left"/>
      <w:pPr>
        <w:tabs>
          <w:tab w:val="num" w:pos="1080"/>
        </w:tabs>
        <w:ind w:left="1080" w:hanging="360"/>
      </w:pPr>
      <w:rPr>
        <w:rFonts w:hint="default"/>
      </w:rPr>
    </w:lvl>
    <w:lvl w:ilvl="1" w:tplc="C6C61478" w:tentative="1">
      <w:start w:val="1"/>
      <w:numFmt w:val="lowerLetter"/>
      <w:lvlText w:val="%2."/>
      <w:lvlJc w:val="left"/>
      <w:pPr>
        <w:tabs>
          <w:tab w:val="num" w:pos="1800"/>
        </w:tabs>
        <w:ind w:left="1800" w:hanging="360"/>
      </w:pPr>
    </w:lvl>
    <w:lvl w:ilvl="2" w:tplc="98F68320" w:tentative="1">
      <w:start w:val="1"/>
      <w:numFmt w:val="lowerRoman"/>
      <w:lvlText w:val="%3."/>
      <w:lvlJc w:val="right"/>
      <w:pPr>
        <w:tabs>
          <w:tab w:val="num" w:pos="2520"/>
        </w:tabs>
        <w:ind w:left="2520" w:hanging="180"/>
      </w:pPr>
    </w:lvl>
    <w:lvl w:ilvl="3" w:tplc="E2FA2CB6" w:tentative="1">
      <w:start w:val="1"/>
      <w:numFmt w:val="decimal"/>
      <w:lvlText w:val="%4."/>
      <w:lvlJc w:val="left"/>
      <w:pPr>
        <w:tabs>
          <w:tab w:val="num" w:pos="3240"/>
        </w:tabs>
        <w:ind w:left="3240" w:hanging="360"/>
      </w:pPr>
    </w:lvl>
    <w:lvl w:ilvl="4" w:tplc="C2221B82" w:tentative="1">
      <w:start w:val="1"/>
      <w:numFmt w:val="lowerLetter"/>
      <w:lvlText w:val="%5."/>
      <w:lvlJc w:val="left"/>
      <w:pPr>
        <w:tabs>
          <w:tab w:val="num" w:pos="3960"/>
        </w:tabs>
        <w:ind w:left="3960" w:hanging="360"/>
      </w:pPr>
    </w:lvl>
    <w:lvl w:ilvl="5" w:tplc="D4ECF9EC" w:tentative="1">
      <w:start w:val="1"/>
      <w:numFmt w:val="lowerRoman"/>
      <w:lvlText w:val="%6."/>
      <w:lvlJc w:val="right"/>
      <w:pPr>
        <w:tabs>
          <w:tab w:val="num" w:pos="4680"/>
        </w:tabs>
        <w:ind w:left="4680" w:hanging="180"/>
      </w:pPr>
    </w:lvl>
    <w:lvl w:ilvl="6" w:tplc="5B9C0606" w:tentative="1">
      <w:start w:val="1"/>
      <w:numFmt w:val="decimal"/>
      <w:lvlText w:val="%7."/>
      <w:lvlJc w:val="left"/>
      <w:pPr>
        <w:tabs>
          <w:tab w:val="num" w:pos="5400"/>
        </w:tabs>
        <w:ind w:left="5400" w:hanging="360"/>
      </w:pPr>
    </w:lvl>
    <w:lvl w:ilvl="7" w:tplc="4C663264" w:tentative="1">
      <w:start w:val="1"/>
      <w:numFmt w:val="lowerLetter"/>
      <w:lvlText w:val="%8."/>
      <w:lvlJc w:val="left"/>
      <w:pPr>
        <w:tabs>
          <w:tab w:val="num" w:pos="6120"/>
        </w:tabs>
        <w:ind w:left="6120" w:hanging="360"/>
      </w:pPr>
    </w:lvl>
    <w:lvl w:ilvl="8" w:tplc="A6E048B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33214"/>
    <w:rsid w:val="00B049BF"/>
    <w:rsid w:val="00C33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94CFB5-5FAD-46A5-B863-E48E6B07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2018-02-15T19:08:00Z</dcterms:created>
  <dcterms:modified xsi:type="dcterms:W3CDTF">2018-02-15T19:08:00Z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