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4532AE" w:rsidP="00CA43B9">
      <w:pPr>
        <w:pStyle w:val="Heading2"/>
      </w:pPr>
      <w:bookmarkStart w:id="0" w:name="_Toc261444335"/>
      <w:bookmarkStart w:id="1" w:name="_GoBack"/>
      <w:bookmarkEnd w:id="1"/>
      <w:r>
        <w:t>1.13</w:t>
      </w:r>
      <w:r>
        <w:tab/>
        <w:t>Definitions - M</w:t>
      </w:r>
      <w:bookmarkEnd w:id="0"/>
    </w:p>
    <w:p w:rsidR="00203E47" w:rsidRDefault="004532AE" w:rsidP="00FE1767">
      <w:pPr>
        <w:pStyle w:val="Definition"/>
      </w:pPr>
      <w:smartTag w:uri="urn:schemas-microsoft-com:office:smarttags" w:element="place">
        <w:smartTag w:uri="urn:schemas-microsoft-com:office:smarttags" w:element="PlaceName">
          <w:r>
            <w:rPr>
              <w:b/>
            </w:rPr>
            <w:t>Major</w:t>
          </w:r>
        </w:smartTag>
        <w:r>
          <w:rPr>
            <w:b/>
          </w:rPr>
          <w:t xml:space="preserve"> </w:t>
        </w:r>
        <w:smartTag w:uri="urn:schemas-microsoft-com:office:smarttags" w:element="PlaceName">
          <w:r>
            <w:rPr>
              <w:b/>
            </w:rPr>
            <w:t>Emergency</w:t>
          </w:r>
        </w:smartTag>
        <w:r>
          <w:rPr>
            <w:b/>
          </w:rPr>
          <w:t xml:space="preserve"> </w:t>
        </w:r>
        <w:smartTag w:uri="urn:schemas-microsoft-com:office:smarttags" w:element="PlaceType">
          <w:r>
            <w:rPr>
              <w:b/>
            </w:rPr>
            <w:t>State</w:t>
          </w:r>
        </w:smartTag>
      </w:smartTag>
      <w:r>
        <w:rPr>
          <w:b/>
        </w:rPr>
        <w:t>:</w:t>
      </w:r>
      <w:r>
        <w:t xml:space="preserve">  An Emergency accompanied by abnormal frequency, abnormal voltage and/or equipment overloads that create a serious risk that the reliability of the NYS Power System could be adversely affected.</w:t>
      </w:r>
    </w:p>
    <w:p w:rsidR="00203E47" w:rsidRDefault="004532AE" w:rsidP="00FE1767">
      <w:pPr>
        <w:pStyle w:val="Definition"/>
      </w:pPr>
      <w:r>
        <w:rPr>
          <w:b/>
        </w:rPr>
        <w:t>Manual Dispatch:</w:t>
      </w:r>
      <w:r>
        <w:t xml:space="preserve"> A dispatch of the NYS Transmission System performed by the ISO when the ISO’s RTD is unavailable. </w:t>
      </w:r>
    </w:p>
    <w:p w:rsidR="00203E47" w:rsidRDefault="004532AE" w:rsidP="00FE1767">
      <w:pPr>
        <w:pStyle w:val="Definition"/>
      </w:pPr>
      <w:r>
        <w:rPr>
          <w:b/>
        </w:rPr>
        <w:t xml:space="preserve">Marginal Losses:  </w:t>
      </w:r>
      <w:r>
        <w:t>The NYS Transmission System Real Power Losses associated with each additional MWh of consumption by Load, or each additional MWh transmitt</w:t>
      </w:r>
      <w:r>
        <w:t>ed under a Bilateral Transaction as measured at the Points of Withdrawal.</w:t>
      </w:r>
    </w:p>
    <w:p w:rsidR="00203E47" w:rsidRDefault="004532AE" w:rsidP="00FE1767">
      <w:pPr>
        <w:pStyle w:val="Definition"/>
      </w:pPr>
      <w:r>
        <w:rPr>
          <w:b/>
        </w:rPr>
        <w:t>Marginal Losses Component:</w:t>
      </w:r>
      <w:r>
        <w:t xml:space="preserve"> The component of LBMP at a bus that accounts for the Marginal Losses, as measured between that bus and the Reference Bus.</w:t>
      </w:r>
    </w:p>
    <w:p w:rsidR="00203E47" w:rsidRDefault="004532AE" w:rsidP="00FE1767">
      <w:pPr>
        <w:pStyle w:val="Definition"/>
      </w:pPr>
      <w:r>
        <w:rPr>
          <w:b/>
        </w:rPr>
        <w:t xml:space="preserve">Market Participant:  </w:t>
      </w:r>
      <w:r>
        <w:t>An entity, e</w:t>
      </w:r>
      <w:r>
        <w:t>xcluding the ISO, that produces, transmits, sells, and/or purchases for resale Capacity, Energy and Ancillary Services in the Wholesale Market.  Market Participants include: Transmission Customers under the ISO OATT, Customers under the ISO Services Tariff</w:t>
      </w:r>
      <w:r>
        <w:t>, Power Exchanges, Transmission Owners, Primary Holders, LSEs, Suppliers and their designated agents.  Market Participants also include entities buying or selling TCCs.</w:t>
      </w:r>
    </w:p>
    <w:p w:rsidR="006B01AD" w:rsidRPr="00232230" w:rsidRDefault="004532AE" w:rsidP="00FE1767">
      <w:pPr>
        <w:pStyle w:val="Definition"/>
      </w:pPr>
      <w:r>
        <w:rPr>
          <w:b/>
        </w:rPr>
        <w:t xml:space="preserve">Market Services:  </w:t>
      </w:r>
      <w:r>
        <w:t>Services provided by the ISO under the ISO Services Tariff related to</w:t>
      </w:r>
      <w:r>
        <w:t xml:space="preserve"> the ISO Administered Markets for Energy, Capacity and Ancillary </w:t>
      </w:r>
      <w:r w:rsidRPr="00232230">
        <w:t>Services.</w:t>
      </w:r>
    </w:p>
    <w:p w:rsidR="006B01AD" w:rsidRDefault="004532AE" w:rsidP="00FE1767">
      <w:pPr>
        <w:pStyle w:val="Definition"/>
      </w:pPr>
      <w:r>
        <w:rPr>
          <w:b/>
        </w:rPr>
        <w:t>Member Systems:</w:t>
      </w:r>
      <w:r>
        <w:t xml:space="preserve">  The eight Transmission Owners that comprise the membership of the New York Power Pool</w:t>
      </w:r>
      <w:r>
        <w:t>.</w:t>
      </w:r>
    </w:p>
    <w:p w:rsidR="006B01AD" w:rsidRDefault="004532AE" w:rsidP="00FE1767">
      <w:pPr>
        <w:pStyle w:val="Definition"/>
      </w:pPr>
      <w:r>
        <w:rPr>
          <w:b/>
        </w:rPr>
        <w:t>Minimum Generation Bid:</w:t>
      </w:r>
      <w:r>
        <w:t xml:space="preserve">  A Bid parameter that identifies the payment a Suppli</w:t>
      </w:r>
      <w:r>
        <w:t>er requires to operate a Generator at its specific minimum operating level or to provide a Demand Side Resource’s specified minimum quantity of Demand Reduction.</w:t>
      </w:r>
      <w:r w:rsidRPr="00015453">
        <w:t xml:space="preserve"> </w:t>
      </w:r>
      <w:r w:rsidRPr="00DE2967">
        <w:t>If the Supplier is a BTM:NG Resource, it shall not submit a Minimum Generation Bid.</w:t>
      </w:r>
    </w:p>
    <w:p w:rsidR="00015453" w:rsidRPr="007427AE" w:rsidRDefault="004532AE" w:rsidP="00015453">
      <w:pPr>
        <w:pStyle w:val="Definition9"/>
      </w:pPr>
      <w:r>
        <w:rPr>
          <w:b/>
          <w:bCs/>
          <w:color w:val="000000"/>
        </w:rPr>
        <w:t>Minimum Ge</w:t>
      </w:r>
      <w:r>
        <w:rPr>
          <w:b/>
          <w:bCs/>
          <w:color w:val="000000"/>
        </w:rPr>
        <w:t xml:space="preserve">neration Level: </w:t>
      </w:r>
      <w:r>
        <w:rPr>
          <w:snapToGrid/>
          <w:color w:val="000000"/>
          <w:szCs w:val="24"/>
        </w:rPr>
        <w:t xml:space="preserve">For purposes of </w:t>
      </w:r>
      <w:r w:rsidRPr="0054709C">
        <w:t>describing</w:t>
      </w:r>
      <w:r>
        <w:rPr>
          <w:snapToGrid/>
          <w:color w:val="000000"/>
          <w:szCs w:val="24"/>
        </w:rPr>
        <w:t xml:space="preserve"> the eligibility of ten minute Resources to be committed by the Real Time Dispatch for pricing purposes pursuant to the Services Tariff, Section 4.4.3</w:t>
      </w:r>
      <w:r>
        <w:rPr>
          <w:snapToGrid/>
          <w:color w:val="000000"/>
          <w:szCs w:val="24"/>
        </w:rPr>
        <w:t>.3</w:t>
      </w:r>
      <w:r>
        <w:rPr>
          <w:snapToGrid/>
          <w:color w:val="000000"/>
          <w:szCs w:val="24"/>
        </w:rPr>
        <w:t>, an upper bound, established by the ISO, on the physical mini</w:t>
      </w:r>
      <w:r>
        <w:rPr>
          <w:snapToGrid/>
          <w:color w:val="000000"/>
          <w:szCs w:val="24"/>
        </w:rPr>
        <w:t>mum generation limits specified by ten minute Resources.  Ten minute Resources with physical minimum generation limits that exceed this upper bound will not be committed by the Real Time Dispatch for pricing purposes.  The ISO shall establish a Minimum Gen</w:t>
      </w:r>
      <w:r>
        <w:rPr>
          <w:snapToGrid/>
          <w:color w:val="000000"/>
          <w:szCs w:val="24"/>
        </w:rPr>
        <w:t>eration Level based on its evaluation of the extent to which it is meeting its reliability criteria including Control Performance.  The Minimum Generation Level, in megawatts, and the ISO's rationale for that level, shall be made available through the ISO'</w:t>
      </w:r>
      <w:r>
        <w:rPr>
          <w:snapToGrid/>
          <w:color w:val="000000"/>
          <w:szCs w:val="24"/>
        </w:rPr>
        <w:t xml:space="preserve">s website or comparable means.  </w:t>
      </w:r>
      <w:r w:rsidRPr="00DE2967">
        <w:t>If the Supplier is a BTM:NG Resource, it shall not submit a Minimum Generation Level</w:t>
      </w:r>
      <w:r>
        <w:t>.</w:t>
      </w:r>
    </w:p>
    <w:p w:rsidR="00E23A7B" w:rsidRDefault="004532AE" w:rsidP="00E170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Pr>
          <w:b/>
        </w:rPr>
        <w:t xml:space="preserve">Modified Wheeling Agreements (“MWA”): </w:t>
      </w:r>
      <w:r w:rsidRPr="005A1AB4">
        <w:t>A Transmission Wheeling Agreement between Transmission Owners that was in existence at the time of I</w:t>
      </w:r>
      <w:r w:rsidRPr="005A1AB4">
        <w:t xml:space="preserve">SO start-up, as amended and modified as described in Attachment K.  Modified Wheeling Agreements are associated with Generators </w:t>
      </w:r>
      <w:r w:rsidRPr="005A1AB4">
        <w:lastRenderedPageBreak/>
        <w:t xml:space="preserve">or power supply contracts existing at ISO start-up. </w:t>
      </w:r>
      <w:r>
        <w:t xml:space="preserve"> </w:t>
      </w:r>
      <w:r w:rsidRPr="005A1AB4">
        <w:t xml:space="preserve">All Modified Wheeling Agreements are listed in Attachment L, Table 1A, and </w:t>
      </w:r>
      <w:r w:rsidRPr="005A1AB4">
        <w:t xml:space="preserve">are designated in the “Treatment” column of Table 1A, as “MWA.” </w:t>
      </w:r>
    </w:p>
    <w:p w:rsidR="00FB297F" w:rsidRPr="005A1AB4" w:rsidRDefault="004532AE" w:rsidP="00A07C43">
      <w:pPr>
        <w:pStyle w:val="Definition"/>
      </w:pPr>
      <w:r w:rsidRPr="00335806">
        <w:rPr>
          <w:b/>
        </w:rPr>
        <w:t xml:space="preserve">Mothball Outage: </w:t>
      </w:r>
      <w:r w:rsidRPr="00A07C43">
        <w:t>As</w:t>
      </w:r>
      <w:r w:rsidRPr="00BF6142">
        <w:rPr>
          <w:bCs/>
        </w:rPr>
        <w:t xml:space="preserve"> </w:t>
      </w:r>
      <w:r w:rsidRPr="00A07C43">
        <w:rPr>
          <w:snapToGrid/>
          <w:color w:val="000000"/>
          <w:szCs w:val="24"/>
        </w:rPr>
        <w:t>defined</w:t>
      </w:r>
      <w:r w:rsidRPr="00BF6142">
        <w:rPr>
          <w:bCs/>
        </w:rPr>
        <w:t xml:space="preserve"> in </w:t>
      </w:r>
      <w:r w:rsidRPr="0054709C">
        <w:t>the</w:t>
      </w:r>
      <w:r w:rsidRPr="00BF6142">
        <w:rPr>
          <w:bCs/>
        </w:rPr>
        <w:t xml:space="preserve"> ISO Services </w:t>
      </w:r>
      <w:r w:rsidRPr="002A7C48">
        <w:t>Tariff</w:t>
      </w:r>
      <w:r w:rsidRPr="00BF6142">
        <w:rPr>
          <w:bCs/>
        </w:rPr>
        <w:t>.</w:t>
      </w:r>
    </w:p>
    <w:p w:rsidR="00CA4F49" w:rsidRPr="00CA4F49" w:rsidRDefault="004532AE"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32AE">
      <w:r>
        <w:separator/>
      </w:r>
    </w:p>
  </w:endnote>
  <w:endnote w:type="continuationSeparator" w:id="0">
    <w:p w:rsidR="00000000" w:rsidRDefault="00453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79" w:rsidRDefault="004532AE">
    <w:pPr>
      <w:jc w:val="right"/>
      <w:rPr>
        <w:rFonts w:ascii="Arial" w:eastAsia="Arial" w:hAnsi="Arial" w:cs="Arial"/>
        <w:color w:val="000000"/>
        <w:sz w:val="16"/>
      </w:rPr>
    </w:pPr>
    <w:r>
      <w:rPr>
        <w:rFonts w:ascii="Arial" w:eastAsia="Arial" w:hAnsi="Arial" w:cs="Arial"/>
        <w:color w:val="000000"/>
        <w:sz w:val="16"/>
      </w:rPr>
      <w:t xml:space="preserve">Effective Date: 12/13/2016 -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79" w:rsidRDefault="004532AE">
    <w:pPr>
      <w:jc w:val="right"/>
      <w:rPr>
        <w:rFonts w:ascii="Arial" w:eastAsia="Arial" w:hAnsi="Arial" w:cs="Arial"/>
        <w:color w:val="000000"/>
        <w:sz w:val="16"/>
      </w:rPr>
    </w:pPr>
    <w:r>
      <w:rPr>
        <w:rFonts w:ascii="Arial" w:eastAsia="Arial" w:hAnsi="Arial" w:cs="Arial"/>
        <w:color w:val="000000"/>
        <w:sz w:val="16"/>
      </w:rPr>
      <w:t xml:space="preserve">Effective Date: 12/13/2016 -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79" w:rsidRDefault="004532AE">
    <w:pPr>
      <w:jc w:val="right"/>
      <w:rPr>
        <w:rFonts w:ascii="Arial" w:eastAsia="Arial" w:hAnsi="Arial" w:cs="Arial"/>
        <w:color w:val="000000"/>
        <w:sz w:val="16"/>
      </w:rPr>
    </w:pPr>
    <w:r>
      <w:rPr>
        <w:rFonts w:ascii="Arial" w:eastAsia="Arial" w:hAnsi="Arial" w:cs="Arial"/>
        <w:color w:val="000000"/>
        <w:sz w:val="16"/>
      </w:rPr>
      <w:t xml:space="preserve">Effective Date: 12/13/2016 -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32AE">
      <w:r>
        <w:separator/>
      </w:r>
    </w:p>
  </w:footnote>
  <w:footnote w:type="continuationSeparator" w:id="0">
    <w:p w:rsidR="00000000" w:rsidRDefault="00453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79" w:rsidRDefault="004532A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w:t>
    </w:r>
    <w:r>
      <w:rPr>
        <w:rFonts w:ascii="Arial" w:eastAsia="Arial" w:hAnsi="Arial" w:cs="Arial"/>
        <w:color w:val="000000"/>
        <w:sz w:val="16"/>
      </w:rPr>
      <w:t>OATT Definitions --&gt; 1.13 OATT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79" w:rsidRDefault="004532A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D79" w:rsidRDefault="004532A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1.13 OATT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4F21488">
      <w:start w:val="1"/>
      <w:numFmt w:val="bullet"/>
      <w:pStyle w:val="Bulletpara"/>
      <w:lvlText w:val=""/>
      <w:lvlJc w:val="left"/>
      <w:pPr>
        <w:tabs>
          <w:tab w:val="num" w:pos="720"/>
        </w:tabs>
        <w:ind w:left="720" w:hanging="360"/>
      </w:pPr>
      <w:rPr>
        <w:rFonts w:ascii="Symbol" w:hAnsi="Symbol" w:hint="default"/>
      </w:rPr>
    </w:lvl>
    <w:lvl w:ilvl="1" w:tplc="E8DCCEAA" w:tentative="1">
      <w:start w:val="1"/>
      <w:numFmt w:val="bullet"/>
      <w:lvlText w:val="o"/>
      <w:lvlJc w:val="left"/>
      <w:pPr>
        <w:tabs>
          <w:tab w:val="num" w:pos="1440"/>
        </w:tabs>
        <w:ind w:left="1440" w:hanging="360"/>
      </w:pPr>
      <w:rPr>
        <w:rFonts w:ascii="Courier New" w:hAnsi="Courier New" w:cs="Courier New" w:hint="default"/>
      </w:rPr>
    </w:lvl>
    <w:lvl w:ilvl="2" w:tplc="0130FB22" w:tentative="1">
      <w:start w:val="1"/>
      <w:numFmt w:val="bullet"/>
      <w:lvlText w:val=""/>
      <w:lvlJc w:val="left"/>
      <w:pPr>
        <w:tabs>
          <w:tab w:val="num" w:pos="2160"/>
        </w:tabs>
        <w:ind w:left="2160" w:hanging="360"/>
      </w:pPr>
      <w:rPr>
        <w:rFonts w:ascii="Wingdings" w:hAnsi="Wingdings" w:hint="default"/>
      </w:rPr>
    </w:lvl>
    <w:lvl w:ilvl="3" w:tplc="F6187AF8" w:tentative="1">
      <w:start w:val="1"/>
      <w:numFmt w:val="bullet"/>
      <w:lvlText w:val=""/>
      <w:lvlJc w:val="left"/>
      <w:pPr>
        <w:tabs>
          <w:tab w:val="num" w:pos="2880"/>
        </w:tabs>
        <w:ind w:left="2880" w:hanging="360"/>
      </w:pPr>
      <w:rPr>
        <w:rFonts w:ascii="Symbol" w:hAnsi="Symbol" w:hint="default"/>
      </w:rPr>
    </w:lvl>
    <w:lvl w:ilvl="4" w:tplc="DEBA1A0C" w:tentative="1">
      <w:start w:val="1"/>
      <w:numFmt w:val="bullet"/>
      <w:lvlText w:val="o"/>
      <w:lvlJc w:val="left"/>
      <w:pPr>
        <w:tabs>
          <w:tab w:val="num" w:pos="3600"/>
        </w:tabs>
        <w:ind w:left="3600" w:hanging="360"/>
      </w:pPr>
      <w:rPr>
        <w:rFonts w:ascii="Courier New" w:hAnsi="Courier New" w:cs="Courier New" w:hint="default"/>
      </w:rPr>
    </w:lvl>
    <w:lvl w:ilvl="5" w:tplc="9FEA7C2C" w:tentative="1">
      <w:start w:val="1"/>
      <w:numFmt w:val="bullet"/>
      <w:lvlText w:val=""/>
      <w:lvlJc w:val="left"/>
      <w:pPr>
        <w:tabs>
          <w:tab w:val="num" w:pos="4320"/>
        </w:tabs>
        <w:ind w:left="4320" w:hanging="360"/>
      </w:pPr>
      <w:rPr>
        <w:rFonts w:ascii="Wingdings" w:hAnsi="Wingdings" w:hint="default"/>
      </w:rPr>
    </w:lvl>
    <w:lvl w:ilvl="6" w:tplc="2B7A6092" w:tentative="1">
      <w:start w:val="1"/>
      <w:numFmt w:val="bullet"/>
      <w:lvlText w:val=""/>
      <w:lvlJc w:val="left"/>
      <w:pPr>
        <w:tabs>
          <w:tab w:val="num" w:pos="5040"/>
        </w:tabs>
        <w:ind w:left="5040" w:hanging="360"/>
      </w:pPr>
      <w:rPr>
        <w:rFonts w:ascii="Symbol" w:hAnsi="Symbol" w:hint="default"/>
      </w:rPr>
    </w:lvl>
    <w:lvl w:ilvl="7" w:tplc="185E1C14" w:tentative="1">
      <w:start w:val="1"/>
      <w:numFmt w:val="bullet"/>
      <w:lvlText w:val="o"/>
      <w:lvlJc w:val="left"/>
      <w:pPr>
        <w:tabs>
          <w:tab w:val="num" w:pos="5760"/>
        </w:tabs>
        <w:ind w:left="5760" w:hanging="360"/>
      </w:pPr>
      <w:rPr>
        <w:rFonts w:ascii="Courier New" w:hAnsi="Courier New" w:cs="Courier New" w:hint="default"/>
      </w:rPr>
    </w:lvl>
    <w:lvl w:ilvl="8" w:tplc="A7D882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3C261CA">
      <w:start w:val="1"/>
      <w:numFmt w:val="bullet"/>
      <w:lvlText w:val="­"/>
      <w:lvlJc w:val="left"/>
      <w:pPr>
        <w:tabs>
          <w:tab w:val="num" w:pos="720"/>
        </w:tabs>
        <w:ind w:left="720" w:hanging="360"/>
      </w:pPr>
      <w:rPr>
        <w:rFonts w:ascii="Courier New" w:hAnsi="Courier New" w:hint="default"/>
      </w:rPr>
    </w:lvl>
    <w:lvl w:ilvl="1" w:tplc="DBC8211C" w:tentative="1">
      <w:start w:val="1"/>
      <w:numFmt w:val="bullet"/>
      <w:lvlText w:val="o"/>
      <w:lvlJc w:val="left"/>
      <w:pPr>
        <w:tabs>
          <w:tab w:val="num" w:pos="1440"/>
        </w:tabs>
        <w:ind w:left="1440" w:hanging="360"/>
      </w:pPr>
      <w:rPr>
        <w:rFonts w:ascii="Courier New" w:hAnsi="Courier New" w:cs="Courier New" w:hint="default"/>
      </w:rPr>
    </w:lvl>
    <w:lvl w:ilvl="2" w:tplc="91D88E7E" w:tentative="1">
      <w:start w:val="1"/>
      <w:numFmt w:val="bullet"/>
      <w:lvlText w:val=""/>
      <w:lvlJc w:val="left"/>
      <w:pPr>
        <w:tabs>
          <w:tab w:val="num" w:pos="2160"/>
        </w:tabs>
        <w:ind w:left="2160" w:hanging="360"/>
      </w:pPr>
      <w:rPr>
        <w:rFonts w:ascii="Wingdings" w:hAnsi="Wingdings" w:hint="default"/>
      </w:rPr>
    </w:lvl>
    <w:lvl w:ilvl="3" w:tplc="00AAC128" w:tentative="1">
      <w:start w:val="1"/>
      <w:numFmt w:val="bullet"/>
      <w:lvlText w:val=""/>
      <w:lvlJc w:val="left"/>
      <w:pPr>
        <w:tabs>
          <w:tab w:val="num" w:pos="2880"/>
        </w:tabs>
        <w:ind w:left="2880" w:hanging="360"/>
      </w:pPr>
      <w:rPr>
        <w:rFonts w:ascii="Symbol" w:hAnsi="Symbol" w:hint="default"/>
      </w:rPr>
    </w:lvl>
    <w:lvl w:ilvl="4" w:tplc="CC7ADD38" w:tentative="1">
      <w:start w:val="1"/>
      <w:numFmt w:val="bullet"/>
      <w:lvlText w:val="o"/>
      <w:lvlJc w:val="left"/>
      <w:pPr>
        <w:tabs>
          <w:tab w:val="num" w:pos="3600"/>
        </w:tabs>
        <w:ind w:left="3600" w:hanging="360"/>
      </w:pPr>
      <w:rPr>
        <w:rFonts w:ascii="Courier New" w:hAnsi="Courier New" w:cs="Courier New" w:hint="default"/>
      </w:rPr>
    </w:lvl>
    <w:lvl w:ilvl="5" w:tplc="39107B40" w:tentative="1">
      <w:start w:val="1"/>
      <w:numFmt w:val="bullet"/>
      <w:lvlText w:val=""/>
      <w:lvlJc w:val="left"/>
      <w:pPr>
        <w:tabs>
          <w:tab w:val="num" w:pos="4320"/>
        </w:tabs>
        <w:ind w:left="4320" w:hanging="360"/>
      </w:pPr>
      <w:rPr>
        <w:rFonts w:ascii="Wingdings" w:hAnsi="Wingdings" w:hint="default"/>
      </w:rPr>
    </w:lvl>
    <w:lvl w:ilvl="6" w:tplc="B434ACEE" w:tentative="1">
      <w:start w:val="1"/>
      <w:numFmt w:val="bullet"/>
      <w:lvlText w:val=""/>
      <w:lvlJc w:val="left"/>
      <w:pPr>
        <w:tabs>
          <w:tab w:val="num" w:pos="5040"/>
        </w:tabs>
        <w:ind w:left="5040" w:hanging="360"/>
      </w:pPr>
      <w:rPr>
        <w:rFonts w:ascii="Symbol" w:hAnsi="Symbol" w:hint="default"/>
      </w:rPr>
    </w:lvl>
    <w:lvl w:ilvl="7" w:tplc="BAD8755C" w:tentative="1">
      <w:start w:val="1"/>
      <w:numFmt w:val="bullet"/>
      <w:lvlText w:val="o"/>
      <w:lvlJc w:val="left"/>
      <w:pPr>
        <w:tabs>
          <w:tab w:val="num" w:pos="5760"/>
        </w:tabs>
        <w:ind w:left="5760" w:hanging="360"/>
      </w:pPr>
      <w:rPr>
        <w:rFonts w:ascii="Courier New" w:hAnsi="Courier New" w:cs="Courier New" w:hint="default"/>
      </w:rPr>
    </w:lvl>
    <w:lvl w:ilvl="8" w:tplc="B2B0923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ED62E48">
      <w:start w:val="1"/>
      <w:numFmt w:val="lowerRoman"/>
      <w:lvlText w:val="(%1)"/>
      <w:lvlJc w:val="left"/>
      <w:pPr>
        <w:tabs>
          <w:tab w:val="num" w:pos="2448"/>
        </w:tabs>
        <w:ind w:left="2448" w:hanging="648"/>
      </w:pPr>
      <w:rPr>
        <w:rFonts w:hint="default"/>
        <w:b w:val="0"/>
        <w:i w:val="0"/>
        <w:u w:val="none"/>
      </w:rPr>
    </w:lvl>
    <w:lvl w:ilvl="1" w:tplc="C812D6EA" w:tentative="1">
      <w:start w:val="1"/>
      <w:numFmt w:val="lowerLetter"/>
      <w:lvlText w:val="%2."/>
      <w:lvlJc w:val="left"/>
      <w:pPr>
        <w:tabs>
          <w:tab w:val="num" w:pos="1440"/>
        </w:tabs>
        <w:ind w:left="1440" w:hanging="360"/>
      </w:pPr>
    </w:lvl>
    <w:lvl w:ilvl="2" w:tplc="8C54EB36" w:tentative="1">
      <w:start w:val="1"/>
      <w:numFmt w:val="lowerRoman"/>
      <w:lvlText w:val="%3."/>
      <w:lvlJc w:val="right"/>
      <w:pPr>
        <w:tabs>
          <w:tab w:val="num" w:pos="2160"/>
        </w:tabs>
        <w:ind w:left="2160" w:hanging="180"/>
      </w:pPr>
    </w:lvl>
    <w:lvl w:ilvl="3" w:tplc="13608CFA" w:tentative="1">
      <w:start w:val="1"/>
      <w:numFmt w:val="decimal"/>
      <w:lvlText w:val="%4."/>
      <w:lvlJc w:val="left"/>
      <w:pPr>
        <w:tabs>
          <w:tab w:val="num" w:pos="2880"/>
        </w:tabs>
        <w:ind w:left="2880" w:hanging="360"/>
      </w:pPr>
    </w:lvl>
    <w:lvl w:ilvl="4" w:tplc="B83ECB16" w:tentative="1">
      <w:start w:val="1"/>
      <w:numFmt w:val="lowerLetter"/>
      <w:lvlText w:val="%5."/>
      <w:lvlJc w:val="left"/>
      <w:pPr>
        <w:tabs>
          <w:tab w:val="num" w:pos="3600"/>
        </w:tabs>
        <w:ind w:left="3600" w:hanging="360"/>
      </w:pPr>
    </w:lvl>
    <w:lvl w:ilvl="5" w:tplc="A588FF1A" w:tentative="1">
      <w:start w:val="1"/>
      <w:numFmt w:val="lowerRoman"/>
      <w:lvlText w:val="%6."/>
      <w:lvlJc w:val="right"/>
      <w:pPr>
        <w:tabs>
          <w:tab w:val="num" w:pos="4320"/>
        </w:tabs>
        <w:ind w:left="4320" w:hanging="180"/>
      </w:pPr>
    </w:lvl>
    <w:lvl w:ilvl="6" w:tplc="5228596A" w:tentative="1">
      <w:start w:val="1"/>
      <w:numFmt w:val="decimal"/>
      <w:lvlText w:val="%7."/>
      <w:lvlJc w:val="left"/>
      <w:pPr>
        <w:tabs>
          <w:tab w:val="num" w:pos="5040"/>
        </w:tabs>
        <w:ind w:left="5040" w:hanging="360"/>
      </w:pPr>
    </w:lvl>
    <w:lvl w:ilvl="7" w:tplc="A66E616A" w:tentative="1">
      <w:start w:val="1"/>
      <w:numFmt w:val="lowerLetter"/>
      <w:lvlText w:val="%8."/>
      <w:lvlJc w:val="left"/>
      <w:pPr>
        <w:tabs>
          <w:tab w:val="num" w:pos="5760"/>
        </w:tabs>
        <w:ind w:left="5760" w:hanging="360"/>
      </w:pPr>
    </w:lvl>
    <w:lvl w:ilvl="8" w:tplc="996A0A6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3B63510">
      <w:start w:val="1"/>
      <w:numFmt w:val="bullet"/>
      <w:lvlText w:val=""/>
      <w:lvlJc w:val="left"/>
      <w:pPr>
        <w:tabs>
          <w:tab w:val="num" w:pos="5760"/>
        </w:tabs>
        <w:ind w:left="5760" w:hanging="360"/>
      </w:pPr>
      <w:rPr>
        <w:rFonts w:ascii="Symbol" w:hAnsi="Symbol" w:hint="default"/>
        <w:color w:val="auto"/>
        <w:u w:val="none"/>
      </w:rPr>
    </w:lvl>
    <w:lvl w:ilvl="1" w:tplc="116CD274" w:tentative="1">
      <w:start w:val="1"/>
      <w:numFmt w:val="bullet"/>
      <w:lvlText w:val="o"/>
      <w:lvlJc w:val="left"/>
      <w:pPr>
        <w:tabs>
          <w:tab w:val="num" w:pos="3600"/>
        </w:tabs>
        <w:ind w:left="3600" w:hanging="360"/>
      </w:pPr>
      <w:rPr>
        <w:rFonts w:ascii="Courier New" w:hAnsi="Courier New" w:hint="default"/>
      </w:rPr>
    </w:lvl>
    <w:lvl w:ilvl="2" w:tplc="68F28BF8" w:tentative="1">
      <w:start w:val="1"/>
      <w:numFmt w:val="bullet"/>
      <w:lvlText w:val=""/>
      <w:lvlJc w:val="left"/>
      <w:pPr>
        <w:tabs>
          <w:tab w:val="num" w:pos="4320"/>
        </w:tabs>
        <w:ind w:left="4320" w:hanging="360"/>
      </w:pPr>
      <w:rPr>
        <w:rFonts w:ascii="Wingdings" w:hAnsi="Wingdings" w:hint="default"/>
      </w:rPr>
    </w:lvl>
    <w:lvl w:ilvl="3" w:tplc="32A8CD78">
      <w:start w:val="1"/>
      <w:numFmt w:val="bullet"/>
      <w:lvlText w:val=""/>
      <w:lvlJc w:val="left"/>
      <w:pPr>
        <w:tabs>
          <w:tab w:val="num" w:pos="5040"/>
        </w:tabs>
        <w:ind w:left="5040" w:hanging="360"/>
      </w:pPr>
      <w:rPr>
        <w:rFonts w:ascii="Symbol" w:hAnsi="Symbol" w:hint="default"/>
      </w:rPr>
    </w:lvl>
    <w:lvl w:ilvl="4" w:tplc="EC7ABBCE" w:tentative="1">
      <w:start w:val="1"/>
      <w:numFmt w:val="bullet"/>
      <w:lvlText w:val="o"/>
      <w:lvlJc w:val="left"/>
      <w:pPr>
        <w:tabs>
          <w:tab w:val="num" w:pos="5760"/>
        </w:tabs>
        <w:ind w:left="5760" w:hanging="360"/>
      </w:pPr>
      <w:rPr>
        <w:rFonts w:ascii="Courier New" w:hAnsi="Courier New" w:hint="default"/>
      </w:rPr>
    </w:lvl>
    <w:lvl w:ilvl="5" w:tplc="5628939A" w:tentative="1">
      <w:start w:val="1"/>
      <w:numFmt w:val="bullet"/>
      <w:lvlText w:val=""/>
      <w:lvlJc w:val="left"/>
      <w:pPr>
        <w:tabs>
          <w:tab w:val="num" w:pos="6480"/>
        </w:tabs>
        <w:ind w:left="6480" w:hanging="360"/>
      </w:pPr>
      <w:rPr>
        <w:rFonts w:ascii="Wingdings" w:hAnsi="Wingdings" w:hint="default"/>
      </w:rPr>
    </w:lvl>
    <w:lvl w:ilvl="6" w:tplc="23D894D8" w:tentative="1">
      <w:start w:val="1"/>
      <w:numFmt w:val="bullet"/>
      <w:lvlText w:val=""/>
      <w:lvlJc w:val="left"/>
      <w:pPr>
        <w:tabs>
          <w:tab w:val="num" w:pos="7200"/>
        </w:tabs>
        <w:ind w:left="7200" w:hanging="360"/>
      </w:pPr>
      <w:rPr>
        <w:rFonts w:ascii="Symbol" w:hAnsi="Symbol" w:hint="default"/>
      </w:rPr>
    </w:lvl>
    <w:lvl w:ilvl="7" w:tplc="A0A0B0A4" w:tentative="1">
      <w:start w:val="1"/>
      <w:numFmt w:val="bullet"/>
      <w:lvlText w:val="o"/>
      <w:lvlJc w:val="left"/>
      <w:pPr>
        <w:tabs>
          <w:tab w:val="num" w:pos="7920"/>
        </w:tabs>
        <w:ind w:left="7920" w:hanging="360"/>
      </w:pPr>
      <w:rPr>
        <w:rFonts w:ascii="Courier New" w:hAnsi="Courier New" w:hint="default"/>
      </w:rPr>
    </w:lvl>
    <w:lvl w:ilvl="8" w:tplc="0D3C07C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60D79"/>
    <w:rsid w:val="004532AE"/>
    <w:rsid w:val="00660D7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86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CD6866"/>
    <w:pPr>
      <w:keepNext/>
      <w:spacing w:line="480" w:lineRule="auto"/>
      <w:ind w:left="1440" w:right="-90" w:hanging="720"/>
      <w:outlineLvl w:val="4"/>
    </w:pPr>
    <w:rPr>
      <w:b/>
    </w:rPr>
  </w:style>
  <w:style w:type="paragraph" w:styleId="Heading6">
    <w:name w:val="heading 6"/>
    <w:basedOn w:val="Normal"/>
    <w:next w:val="Normal"/>
    <w:qFormat/>
    <w:rsid w:val="00CD6866"/>
    <w:pPr>
      <w:keepNext/>
      <w:spacing w:line="480" w:lineRule="auto"/>
      <w:ind w:left="1080" w:right="-90" w:hanging="360"/>
      <w:outlineLvl w:val="5"/>
    </w:pPr>
    <w:rPr>
      <w:b/>
    </w:rPr>
  </w:style>
  <w:style w:type="paragraph" w:styleId="Heading7">
    <w:name w:val="heading 7"/>
    <w:basedOn w:val="Normal"/>
    <w:next w:val="Normal"/>
    <w:qFormat/>
    <w:rsid w:val="00CD6866"/>
    <w:pPr>
      <w:keepNext/>
      <w:spacing w:line="480" w:lineRule="auto"/>
      <w:ind w:left="720" w:right="630"/>
      <w:outlineLvl w:val="6"/>
    </w:pPr>
    <w:rPr>
      <w:b/>
    </w:rPr>
  </w:style>
  <w:style w:type="paragraph" w:styleId="Heading8">
    <w:name w:val="heading 8"/>
    <w:basedOn w:val="Normal"/>
    <w:next w:val="Normal"/>
    <w:qFormat/>
    <w:rsid w:val="00CD6866"/>
    <w:pPr>
      <w:keepNext/>
      <w:spacing w:line="480" w:lineRule="auto"/>
      <w:ind w:left="720" w:right="-90"/>
      <w:outlineLvl w:val="7"/>
    </w:pPr>
    <w:rPr>
      <w:b/>
    </w:rPr>
  </w:style>
  <w:style w:type="paragraph" w:styleId="Heading9">
    <w:name w:val="heading 9"/>
    <w:basedOn w:val="Normal"/>
    <w:next w:val="Normal"/>
    <w:qFormat/>
    <w:rsid w:val="00CD68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CD686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CD6866"/>
    <w:pPr>
      <w:widowControl/>
      <w:tabs>
        <w:tab w:val="center" w:pos="4680"/>
        <w:tab w:val="right" w:pos="9360"/>
      </w:tabs>
    </w:pPr>
    <w:rPr>
      <w:snapToGrid/>
      <w:szCs w:val="24"/>
    </w:rPr>
  </w:style>
  <w:style w:type="paragraph" w:styleId="Date">
    <w:name w:val="Date"/>
    <w:basedOn w:val="Normal"/>
    <w:next w:val="Normal"/>
    <w:rsid w:val="00CD6866"/>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customStyle="1" w:styleId="Definition9">
    <w:name w:val="Definition_9"/>
    <w:basedOn w:val="Normal"/>
    <w:rsid w:val="00015453"/>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2018-06-15T18:01:00Z</dcterms:created>
  <dcterms:modified xsi:type="dcterms:W3CDTF">2018-06-15T18:01:00Z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-849799839</vt:i4>
  </property>
  <property fmtid="{D5CDD505-2E9C-101B-9397-08002B2CF9AE}" pid="3" name="_NewReviewCycle">
    <vt:lpwstr/>
  </property>
  <property fmtid="{D5CDD505-2E9C-101B-9397-08002B2CF9AE}" pid="4" name="_ReviewingToolsShownOnce">
    <vt:lpwstr/>
  </property>
</Properties>
</file>