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7A" w:rsidRDefault="00D104BD">
      <w:pPr>
        <w:pStyle w:val="Heading2"/>
      </w:pPr>
      <w:bookmarkStart w:id="0" w:name="_Toc261446131"/>
      <w:bookmarkStart w:id="1" w:name="_GoBack"/>
      <w:bookmarkEnd w:id="1"/>
      <w:r>
        <w:t>5.7</w:t>
      </w:r>
      <w:r>
        <w:tab/>
        <w:t xml:space="preserve">Requirements For Entities Not Located Within The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Control Area</w:t>
      </w:r>
      <w:bookmarkEnd w:id="0"/>
    </w:p>
    <w:p w:rsidR="00B7497A" w:rsidRDefault="00D104BD">
      <w:pPr>
        <w:pStyle w:val="Bodypara"/>
      </w:pPr>
      <w:r>
        <w:t xml:space="preserve">In order for a Supplier or a Load that is not included within the NYCA to take services under the Tariff, it must be contained, in whole or in part, within a separate Control Area </w:t>
      </w:r>
      <w:r>
        <w:t xml:space="preserve">that meets all of the requirements for a Control Area defined by NERC, NPCC and any succeeding organizations.  An entity that is contained in a Control Area other than the NYCA may take services under the ISO Services Tariff for the purpose of engaging in </w:t>
      </w:r>
      <w:r>
        <w:t>Control Area to Control Area Capacity and Energy Transactions with the ISO.  In order for a Supplier or a Load not contained in the NYCA to take services under the ISO Services Tariff, an inter</w:t>
      </w:r>
      <w:r>
        <w:noBreakHyphen/>
        <w:t>Control Area agreement between the Control Area in which the e</w:t>
      </w:r>
      <w:r>
        <w:t>ntity is located and the ISO, that satisfies the reasonable requirements of both Control Area operators, must be in place.</w:t>
      </w:r>
    </w:p>
    <w:sectPr w:rsidR="00B74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04BD">
      <w:r>
        <w:separator/>
      </w:r>
    </w:p>
  </w:endnote>
  <w:endnote w:type="continuationSeparator" w:id="0">
    <w:p w:rsidR="00000000" w:rsidRDefault="00D1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7A" w:rsidRDefault="00D104B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7A" w:rsidRDefault="00D104B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7A" w:rsidRDefault="00D104B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04BD">
      <w:r>
        <w:separator/>
      </w:r>
    </w:p>
  </w:footnote>
  <w:footnote w:type="continuationSeparator" w:id="0">
    <w:p w:rsidR="00000000" w:rsidRDefault="00D1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7A" w:rsidRDefault="00D104BD">
    <w:r>
      <w:rPr>
        <w:rFonts w:ascii="Arial" w:eastAsia="Arial" w:hAnsi="Arial" w:cs="Arial"/>
        <w:color w:val="000000"/>
        <w:sz w:val="16"/>
      </w:rPr>
      <w:t>NYISO Tariffs --&gt; Market Administration and Control Area Servic</w:t>
    </w:r>
    <w:r>
      <w:rPr>
        <w:rFonts w:ascii="Arial" w:eastAsia="Arial" w:hAnsi="Arial" w:cs="Arial"/>
        <w:color w:val="000000"/>
        <w:sz w:val="16"/>
      </w:rPr>
      <w:t>es Tariff (MST) --&gt; 5 MST Control Area Services:  Rights and Obligations --&gt; 5.7 MST Requirements For Entities Not Located Within The New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7A" w:rsidRDefault="00D104B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</w:t>
    </w:r>
    <w:r>
      <w:rPr>
        <w:rFonts w:ascii="Arial" w:eastAsia="Arial" w:hAnsi="Arial" w:cs="Arial"/>
        <w:color w:val="000000"/>
        <w:sz w:val="16"/>
      </w:rPr>
      <w:t>s and Obligations --&gt; 5.7 MST Requirements For Entities Not Located Within The New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7A" w:rsidRDefault="00D104B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</w:t>
    </w:r>
    <w:r>
      <w:rPr>
        <w:rFonts w:ascii="Arial" w:eastAsia="Arial" w:hAnsi="Arial" w:cs="Arial"/>
        <w:color w:val="000000"/>
        <w:sz w:val="16"/>
      </w:rPr>
      <w:t>rol Area Services:  Rights and Obligations --&gt; 5.7 MST Requirements For Entities Not Located Within The New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A62982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81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E6F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B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4B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D64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4F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0C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7E2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97A"/>
    <w:rsid w:val="00B7497A"/>
    <w:rsid w:val="00D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2021-03-02T13:33:00Z</dcterms:created>
  <dcterms:modified xsi:type="dcterms:W3CDTF">2021-03-02T13:33:00Z</dcterms:modified>
</cp:coreProperties>
</file>