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EC8" w:rsidRDefault="001A5EE4">
      <w:pPr>
        <w:pStyle w:val="Heading2"/>
      </w:pPr>
      <w:bookmarkStart w:id="0" w:name="_Toc261446122"/>
      <w:bookmarkStart w:id="1" w:name="_GoBack"/>
      <w:bookmarkEnd w:id="1"/>
      <w:r>
        <w:t xml:space="preserve">5.2 </w:t>
      </w:r>
      <w:r>
        <w:tab/>
        <w:t>Independent System Operator Authority</w:t>
      </w:r>
      <w:bookmarkEnd w:id="0"/>
    </w:p>
    <w:p w:rsidR="00406EC8" w:rsidRDefault="001A5EE4">
      <w:pPr>
        <w:pStyle w:val="Bodypara"/>
      </w:pPr>
      <w:r>
        <w:t xml:space="preserve">The ISO will act as the Control Area operator, as defined by NERC, for the NYCA.  The ISO will provide all Control Area Services in the NYCA.  Control Area Services provided by the ISO will be in accordance with </w:t>
      </w:r>
      <w:r>
        <w:t>the terms of the ISO Services Tariff, the Reliability Rules, the ISO Related Agreements and Good Utility Practice.  The ISO will act with other Control Area operators as required to modify External Transactions pursuant to this Tariff and to ensure the eff</w:t>
      </w:r>
      <w:r>
        <w:t>ective and reliable coordination with the interconnected Control Areas.  In acting as the Control Area operator, the ISO will be responsible for maintaining the safety and the short</w:t>
      </w:r>
      <w:r>
        <w:noBreakHyphen/>
        <w:t>term reliability of the NYCA and for the implementation of reliability sta</w:t>
      </w:r>
      <w:r>
        <w:t>ndards promulgated by NERC and NPCC and for the Reliability Rules promulgated by the NYSRC.  To be included within NYCA, a Market Participant must meet the requirements of Section 5.6.  Each Market Participant that (1) withdraws Energy to supply Load withi</w:t>
      </w:r>
      <w:r>
        <w:t>n the NYCA; or (2) provides installed Capacity to an LSE serving Load within the NYCA, benefits from the Control Area Services provided by the ISO and from the reliability achieved as a result of ISO Control Area Services and therefore must take service as</w:t>
      </w:r>
      <w:r>
        <w:t xml:space="preserve"> a Customer under the Tariff.  To be included within NYCA, a Market Participant must meet the requirements of Section 5.6.  A Market Participant that is not included within the NYCA may take service as a Customer under the Tariff, provided that it meets th</w:t>
      </w:r>
      <w:r>
        <w:t>e requirements of Section 5.7.</w:t>
      </w:r>
    </w:p>
    <w:p w:rsidR="00406EC8" w:rsidRDefault="001A5EE4">
      <w:pPr>
        <w:pStyle w:val="Heading3"/>
      </w:pPr>
      <w:bookmarkStart w:id="2" w:name="_Toc261446123"/>
      <w:r>
        <w:t>5.2.1</w:t>
      </w:r>
      <w:r>
        <w:tab/>
        <w:t>Suspension of Virtual Transactions</w:t>
      </w:r>
      <w:bookmarkEnd w:id="2"/>
    </w:p>
    <w:p w:rsidR="00406EC8" w:rsidRDefault="001A5EE4">
      <w:pPr>
        <w:pStyle w:val="Bodypara"/>
      </w:pPr>
      <w:r>
        <w:t>The ISO may temporarily suspend Virtual Transactions if it determines that:</w:t>
      </w:r>
    </w:p>
    <w:p w:rsidR="00406EC8" w:rsidRDefault="001A5EE4">
      <w:pPr>
        <w:pStyle w:val="romannumeralpara"/>
      </w:pPr>
      <w:r>
        <w:t>5.2.1.1</w:t>
      </w:r>
      <w:r>
        <w:tab/>
      </w:r>
      <w:r>
        <w:tab/>
        <w:t>The financial exposure of customers engaged in Virtual Transactions cannot be determined with a rea</w:t>
      </w:r>
      <w:r>
        <w:t>sonable degree of accuracy or to factors such as software or system failures;</w:t>
      </w:r>
    </w:p>
    <w:p w:rsidR="00406EC8" w:rsidRDefault="001A5EE4">
      <w:pPr>
        <w:pStyle w:val="romannumeralpara"/>
      </w:pPr>
      <w:r>
        <w:lastRenderedPageBreak/>
        <w:t>5.2.1.2</w:t>
      </w:r>
      <w:r>
        <w:tab/>
      </w:r>
      <w:r>
        <w:tab/>
        <w:t>A market aberration associated with Virtual Transactions substantially impairs the functioning of the ISO-administered markets; or</w:t>
      </w:r>
    </w:p>
    <w:p w:rsidR="00406EC8" w:rsidRDefault="001A5EE4">
      <w:pPr>
        <w:pStyle w:val="romannumeralpara"/>
      </w:pPr>
      <w:r>
        <w:t>5.2.1.3</w:t>
      </w:r>
      <w:r>
        <w:tab/>
      </w:r>
      <w:r>
        <w:tab/>
        <w:t>Virtual Transactions substant</w:t>
      </w:r>
      <w:r>
        <w:t>ially impair the ability of the ISO to maintain the reliability of the electric system.</w:t>
      </w:r>
    </w:p>
    <w:p w:rsidR="00406EC8" w:rsidRDefault="001A5EE4">
      <w:pPr>
        <w:pStyle w:val="Bodypara"/>
      </w:pPr>
      <w:r>
        <w:t>As soon as reasonably practicable, the ISO shall notify the Commission and Market Participants of the reason(s) for any suspension of Virtual Transactions, the action(s</w:t>
      </w:r>
      <w:r>
        <w:t>) necessary to restore Virtual Transactions, and the estimated time required to restore Virtual Transactions.</w:t>
      </w:r>
    </w:p>
    <w:p w:rsidR="00406EC8" w:rsidRDefault="001A5EE4">
      <w:pPr>
        <w:pStyle w:val="Bodypara"/>
        <w:tabs>
          <w:tab w:val="left" w:pos="1080"/>
        </w:tabs>
        <w:ind w:left="1080" w:hanging="1080"/>
      </w:pPr>
      <w:r>
        <w:rPr>
          <w:rStyle w:val="Heading3Char"/>
        </w:rPr>
        <w:t>5.2.2</w:t>
      </w:r>
      <w:r>
        <w:rPr>
          <w:rStyle w:val="Heading3Char"/>
        </w:rPr>
        <w:tab/>
        <w:t>Suspension of the Ability of Generators to Increase Their Bids in Real-Time</w:t>
      </w:r>
    </w:p>
    <w:p w:rsidR="00406EC8" w:rsidRDefault="001A5EE4">
      <w:pPr>
        <w:pStyle w:val="Bodypara"/>
      </w:pPr>
      <w:r>
        <w:t>The ISO may temporarily suspend the ability to submit Incrementa</w:t>
      </w:r>
      <w:r>
        <w:t>l Energy Bids in the real-time market that exceed the Incremental Energy Bids submitted in the Day-Ahead Market or the mitigated Day-Ahead Incremental Energy Bids where appropriate for the portions of Generators’ Capacity that were scheduled in the Day-Ahe</w:t>
      </w:r>
      <w:r>
        <w:t>ad Market, if the ISO determines that:</w:t>
      </w:r>
    </w:p>
    <w:p w:rsidR="00406EC8" w:rsidRDefault="001A5EE4">
      <w:pPr>
        <w:pStyle w:val="romannumeralpara"/>
        <w:tabs>
          <w:tab w:val="left" w:pos="2160"/>
        </w:tabs>
        <w:ind w:left="1080" w:hanging="1080"/>
      </w:pPr>
      <w:r>
        <w:t>5.2.2.1</w:t>
      </w:r>
      <w:r>
        <w:tab/>
      </w:r>
      <w:r>
        <w:tab/>
        <w:t>a market aberration associated with Incremental Energy Bids submitted in the real-time market that exceed the Incremental Energy Bids submitted in the Day-Ahead Market for the portions of Generators’ Capacity</w:t>
      </w:r>
      <w:r>
        <w:t xml:space="preserve"> that were scheduled in the Day-Ahead Market substantially impairs the functioning of the ISO-administered markets; or</w:t>
      </w:r>
    </w:p>
    <w:p w:rsidR="00406EC8" w:rsidRDefault="001A5EE4">
      <w:pPr>
        <w:pStyle w:val="romannumeralpara"/>
        <w:tabs>
          <w:tab w:val="left" w:pos="2160"/>
        </w:tabs>
        <w:ind w:left="1080" w:hanging="1080"/>
      </w:pPr>
      <w:r>
        <w:t>5.2.2.2</w:t>
      </w:r>
      <w:r>
        <w:tab/>
      </w:r>
      <w:r>
        <w:tab/>
        <w:t>Permitting Incremental Energy Bids submitted in the real-time market to exceed the Incremental Energy Bids submitted in the Day-</w:t>
      </w:r>
      <w:r>
        <w:t>Ahead Market or the mitigated Day-Ahead Incremental Energy Bids where appropriate, for portions of Generators’ Capacity that were scheduled in the Day-Ahead Market substantially impairs the ability of the ISO to maintain the reliability of the electric sys</w:t>
      </w:r>
      <w:r>
        <w:t>tem.</w:t>
      </w:r>
    </w:p>
    <w:p w:rsidR="00406EC8" w:rsidRDefault="001A5EE4">
      <w:pPr>
        <w:pStyle w:val="romannumeralpara"/>
        <w:tabs>
          <w:tab w:val="left" w:pos="2160"/>
        </w:tabs>
        <w:ind w:left="1080" w:hanging="1080"/>
      </w:pPr>
      <w:r>
        <w:lastRenderedPageBreak/>
        <w:tab/>
        <w:t>As soon as reasonably practicable, the ISO shall notify the Commission and Market Participants of the reason(s) for any suspension of the ability for Incremental Energy Bids submitted in the real-time market to exceed the Incremental Energy Bids subm</w:t>
      </w:r>
      <w:r>
        <w:t>itted in the Day-Ahead Market or the mitigated Day-Ahead Incremental Energy Bids where appropriate, for portions of Generators’ Capacity that were scheduled in the Day-Ahead Market; the action(s) necessary to restore this feature to the ISO-Administered Ma</w:t>
      </w:r>
      <w:r>
        <w:t>rkets; and the estimated time required to restore this feature to the ISO-Administered Markets.</w:t>
      </w:r>
    </w:p>
    <w:p w:rsidR="00406EC8" w:rsidRDefault="00406EC8">
      <w:pPr>
        <w:pStyle w:val="Bodypara"/>
        <w:ind w:firstLine="0"/>
      </w:pPr>
    </w:p>
    <w:sectPr w:rsidR="00406EC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A5EE4">
      <w:r>
        <w:separator/>
      </w:r>
    </w:p>
  </w:endnote>
  <w:endnote w:type="continuationSeparator" w:id="0">
    <w:p w:rsidR="00000000" w:rsidRDefault="001A5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EC8" w:rsidRDefault="001A5EE4">
    <w:pPr>
      <w:jc w:val="right"/>
    </w:pPr>
    <w:r>
      <w:rPr>
        <w:rFonts w:ascii="Arial" w:eastAsia="Arial" w:hAnsi="Arial" w:cs="Arial"/>
        <w:color w:val="000000"/>
        <w:sz w:val="16"/>
      </w:rPr>
      <w:t xml:space="preserve">Effective Date: 10/14/2011 - Docket #: ER11-4313-000 -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EC8" w:rsidRDefault="001A5EE4">
    <w:pPr>
      <w:jc w:val="right"/>
    </w:pPr>
    <w:r>
      <w:rPr>
        <w:rFonts w:ascii="Arial" w:eastAsia="Arial" w:hAnsi="Arial" w:cs="Arial"/>
        <w:color w:val="000000"/>
        <w:sz w:val="16"/>
      </w:rPr>
      <w:t xml:space="preserve">Effective Date: 10/14/2011 - Docket #: ER11-4313-000 -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EC8" w:rsidRDefault="001A5EE4">
    <w:pPr>
      <w:jc w:val="right"/>
    </w:pPr>
    <w:r>
      <w:rPr>
        <w:rFonts w:ascii="Arial" w:eastAsia="Arial" w:hAnsi="Arial" w:cs="Arial"/>
        <w:color w:val="000000"/>
        <w:sz w:val="16"/>
      </w:rPr>
      <w:t xml:space="preserve">Effective Date: 10/14/2011 - Docket #: ER11-4313-000 -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A5EE4">
      <w:r>
        <w:separator/>
      </w:r>
    </w:p>
  </w:footnote>
  <w:footnote w:type="continuationSeparator" w:id="0">
    <w:p w:rsidR="00000000" w:rsidRDefault="001A5E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EC8" w:rsidRDefault="001A5EE4">
    <w:r>
      <w:rPr>
        <w:rFonts w:ascii="Arial" w:eastAsia="Arial" w:hAnsi="Arial" w:cs="Arial"/>
        <w:color w:val="000000"/>
        <w:sz w:val="16"/>
      </w:rPr>
      <w:t xml:space="preserve">NYISO Tariffs --&gt; Market Administration and Control Area Services Tariff (MST) --&gt; 5 MST </w:t>
    </w:r>
    <w:r>
      <w:rPr>
        <w:rFonts w:ascii="Arial" w:eastAsia="Arial" w:hAnsi="Arial" w:cs="Arial"/>
        <w:color w:val="000000"/>
        <w:sz w:val="16"/>
      </w:rPr>
      <w:t>Control Area Services:  Rights and Obligations --&gt; 5.2 MST Independent System Operator Authority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EC8" w:rsidRDefault="001A5EE4">
    <w:r>
      <w:rPr>
        <w:rFonts w:ascii="Arial" w:eastAsia="Arial" w:hAnsi="Arial" w:cs="Arial"/>
        <w:color w:val="000000"/>
        <w:sz w:val="16"/>
      </w:rPr>
      <w:t>NYISO Tariffs --&gt; Market Administration and Control Area Services Tariff (MST) --&gt; 5 MST Control Area Services:  Rights and Obligations --&gt; 5.2 MST Independent</w:t>
    </w:r>
    <w:r>
      <w:rPr>
        <w:rFonts w:ascii="Arial" w:eastAsia="Arial" w:hAnsi="Arial" w:cs="Arial"/>
        <w:color w:val="000000"/>
        <w:sz w:val="16"/>
      </w:rPr>
      <w:t xml:space="preserve"> System Operator Authority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EC8" w:rsidRDefault="001A5EE4">
    <w:r>
      <w:rPr>
        <w:rFonts w:ascii="Arial" w:eastAsia="Arial" w:hAnsi="Arial" w:cs="Arial"/>
        <w:color w:val="000000"/>
        <w:sz w:val="16"/>
      </w:rPr>
      <w:t xml:space="preserve">NYISO Tariffs --&gt; Market Administration and Control Area Services Tariff (MST) --&gt; 5 MST </w:t>
    </w:r>
    <w:r>
      <w:rPr>
        <w:rFonts w:ascii="Arial" w:eastAsia="Arial" w:hAnsi="Arial" w:cs="Arial"/>
        <w:color w:val="000000"/>
        <w:sz w:val="16"/>
      </w:rPr>
      <w:t>Control Area Services:  Rights and Obligations --&gt; 5.2 MST Independent System Operator Authority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C2C47F52">
      <w:start w:val="1"/>
      <w:numFmt w:val="bullet"/>
      <w:pStyle w:val="Bulletpara"/>
      <w:lvlText w:val=""/>
      <w:lvlJc w:val="left"/>
      <w:pPr>
        <w:tabs>
          <w:tab w:val="num" w:pos="720"/>
        </w:tabs>
        <w:ind w:left="720" w:hanging="360"/>
      </w:pPr>
      <w:rPr>
        <w:rFonts w:ascii="Symbol" w:hAnsi="Symbol" w:hint="default"/>
      </w:rPr>
    </w:lvl>
    <w:lvl w:ilvl="1" w:tplc="D4EA9B04" w:tentative="1">
      <w:start w:val="1"/>
      <w:numFmt w:val="bullet"/>
      <w:lvlText w:val="o"/>
      <w:lvlJc w:val="left"/>
      <w:pPr>
        <w:tabs>
          <w:tab w:val="num" w:pos="1440"/>
        </w:tabs>
        <w:ind w:left="1440" w:hanging="360"/>
      </w:pPr>
      <w:rPr>
        <w:rFonts w:ascii="Courier New" w:hAnsi="Courier New" w:hint="default"/>
      </w:rPr>
    </w:lvl>
    <w:lvl w:ilvl="2" w:tplc="7FC630D0" w:tentative="1">
      <w:start w:val="1"/>
      <w:numFmt w:val="bullet"/>
      <w:lvlText w:val=""/>
      <w:lvlJc w:val="left"/>
      <w:pPr>
        <w:tabs>
          <w:tab w:val="num" w:pos="2160"/>
        </w:tabs>
        <w:ind w:left="2160" w:hanging="360"/>
      </w:pPr>
      <w:rPr>
        <w:rFonts w:ascii="Wingdings" w:hAnsi="Wingdings" w:hint="default"/>
      </w:rPr>
    </w:lvl>
    <w:lvl w:ilvl="3" w:tplc="25743934" w:tentative="1">
      <w:start w:val="1"/>
      <w:numFmt w:val="bullet"/>
      <w:lvlText w:val=""/>
      <w:lvlJc w:val="left"/>
      <w:pPr>
        <w:tabs>
          <w:tab w:val="num" w:pos="2880"/>
        </w:tabs>
        <w:ind w:left="2880" w:hanging="360"/>
      </w:pPr>
      <w:rPr>
        <w:rFonts w:ascii="Symbol" w:hAnsi="Symbol" w:hint="default"/>
      </w:rPr>
    </w:lvl>
    <w:lvl w:ilvl="4" w:tplc="EE4ED616" w:tentative="1">
      <w:start w:val="1"/>
      <w:numFmt w:val="bullet"/>
      <w:lvlText w:val="o"/>
      <w:lvlJc w:val="left"/>
      <w:pPr>
        <w:tabs>
          <w:tab w:val="num" w:pos="3600"/>
        </w:tabs>
        <w:ind w:left="3600" w:hanging="360"/>
      </w:pPr>
      <w:rPr>
        <w:rFonts w:ascii="Courier New" w:hAnsi="Courier New" w:hint="default"/>
      </w:rPr>
    </w:lvl>
    <w:lvl w:ilvl="5" w:tplc="9878B874" w:tentative="1">
      <w:start w:val="1"/>
      <w:numFmt w:val="bullet"/>
      <w:lvlText w:val=""/>
      <w:lvlJc w:val="left"/>
      <w:pPr>
        <w:tabs>
          <w:tab w:val="num" w:pos="4320"/>
        </w:tabs>
        <w:ind w:left="4320" w:hanging="360"/>
      </w:pPr>
      <w:rPr>
        <w:rFonts w:ascii="Wingdings" w:hAnsi="Wingdings" w:hint="default"/>
      </w:rPr>
    </w:lvl>
    <w:lvl w:ilvl="6" w:tplc="DA4AC946" w:tentative="1">
      <w:start w:val="1"/>
      <w:numFmt w:val="bullet"/>
      <w:lvlText w:val=""/>
      <w:lvlJc w:val="left"/>
      <w:pPr>
        <w:tabs>
          <w:tab w:val="num" w:pos="5040"/>
        </w:tabs>
        <w:ind w:left="5040" w:hanging="360"/>
      </w:pPr>
      <w:rPr>
        <w:rFonts w:ascii="Symbol" w:hAnsi="Symbol" w:hint="default"/>
      </w:rPr>
    </w:lvl>
    <w:lvl w:ilvl="7" w:tplc="24682888" w:tentative="1">
      <w:start w:val="1"/>
      <w:numFmt w:val="bullet"/>
      <w:lvlText w:val="o"/>
      <w:lvlJc w:val="left"/>
      <w:pPr>
        <w:tabs>
          <w:tab w:val="num" w:pos="5760"/>
        </w:tabs>
        <w:ind w:left="5760" w:hanging="360"/>
      </w:pPr>
      <w:rPr>
        <w:rFonts w:ascii="Courier New" w:hAnsi="Courier New" w:hint="default"/>
      </w:rPr>
    </w:lvl>
    <w:lvl w:ilvl="8" w:tplc="2DB852DE"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DECA8376">
      <w:start w:val="1"/>
      <w:numFmt w:val="lowerRoman"/>
      <w:lvlText w:val="(%1)"/>
      <w:lvlJc w:val="left"/>
      <w:pPr>
        <w:tabs>
          <w:tab w:val="num" w:pos="2448"/>
        </w:tabs>
        <w:ind w:left="2448" w:hanging="648"/>
      </w:pPr>
      <w:rPr>
        <w:rFonts w:cs="Times New Roman" w:hint="default"/>
        <w:b w:val="0"/>
        <w:i w:val="0"/>
        <w:u w:val="none"/>
      </w:rPr>
    </w:lvl>
    <w:lvl w:ilvl="1" w:tplc="C5FE402A" w:tentative="1">
      <w:start w:val="1"/>
      <w:numFmt w:val="lowerLetter"/>
      <w:lvlText w:val="%2."/>
      <w:lvlJc w:val="left"/>
      <w:pPr>
        <w:tabs>
          <w:tab w:val="num" w:pos="1440"/>
        </w:tabs>
        <w:ind w:left="1440" w:hanging="360"/>
      </w:pPr>
      <w:rPr>
        <w:rFonts w:cs="Times New Roman"/>
      </w:rPr>
    </w:lvl>
    <w:lvl w:ilvl="2" w:tplc="E3DE731E" w:tentative="1">
      <w:start w:val="1"/>
      <w:numFmt w:val="lowerRoman"/>
      <w:lvlText w:val="%3."/>
      <w:lvlJc w:val="right"/>
      <w:pPr>
        <w:tabs>
          <w:tab w:val="num" w:pos="2160"/>
        </w:tabs>
        <w:ind w:left="2160" w:hanging="180"/>
      </w:pPr>
      <w:rPr>
        <w:rFonts w:cs="Times New Roman"/>
      </w:rPr>
    </w:lvl>
    <w:lvl w:ilvl="3" w:tplc="B41AC9E8" w:tentative="1">
      <w:start w:val="1"/>
      <w:numFmt w:val="decimal"/>
      <w:lvlText w:val="%4."/>
      <w:lvlJc w:val="left"/>
      <w:pPr>
        <w:tabs>
          <w:tab w:val="num" w:pos="2880"/>
        </w:tabs>
        <w:ind w:left="2880" w:hanging="360"/>
      </w:pPr>
      <w:rPr>
        <w:rFonts w:cs="Times New Roman"/>
      </w:rPr>
    </w:lvl>
    <w:lvl w:ilvl="4" w:tplc="514AFCDE" w:tentative="1">
      <w:start w:val="1"/>
      <w:numFmt w:val="lowerLetter"/>
      <w:lvlText w:val="%5."/>
      <w:lvlJc w:val="left"/>
      <w:pPr>
        <w:tabs>
          <w:tab w:val="num" w:pos="3600"/>
        </w:tabs>
        <w:ind w:left="3600" w:hanging="360"/>
      </w:pPr>
      <w:rPr>
        <w:rFonts w:cs="Times New Roman"/>
      </w:rPr>
    </w:lvl>
    <w:lvl w:ilvl="5" w:tplc="55421F96" w:tentative="1">
      <w:start w:val="1"/>
      <w:numFmt w:val="lowerRoman"/>
      <w:lvlText w:val="%6."/>
      <w:lvlJc w:val="right"/>
      <w:pPr>
        <w:tabs>
          <w:tab w:val="num" w:pos="4320"/>
        </w:tabs>
        <w:ind w:left="4320" w:hanging="180"/>
      </w:pPr>
      <w:rPr>
        <w:rFonts w:cs="Times New Roman"/>
      </w:rPr>
    </w:lvl>
    <w:lvl w:ilvl="6" w:tplc="07EC24EE" w:tentative="1">
      <w:start w:val="1"/>
      <w:numFmt w:val="decimal"/>
      <w:lvlText w:val="%7."/>
      <w:lvlJc w:val="left"/>
      <w:pPr>
        <w:tabs>
          <w:tab w:val="num" w:pos="5040"/>
        </w:tabs>
        <w:ind w:left="5040" w:hanging="360"/>
      </w:pPr>
      <w:rPr>
        <w:rFonts w:cs="Times New Roman"/>
      </w:rPr>
    </w:lvl>
    <w:lvl w:ilvl="7" w:tplc="1F986FC4" w:tentative="1">
      <w:start w:val="1"/>
      <w:numFmt w:val="lowerLetter"/>
      <w:lvlText w:val="%8."/>
      <w:lvlJc w:val="left"/>
      <w:pPr>
        <w:tabs>
          <w:tab w:val="num" w:pos="5760"/>
        </w:tabs>
        <w:ind w:left="5760" w:hanging="360"/>
      </w:pPr>
      <w:rPr>
        <w:rFonts w:cs="Times New Roman"/>
      </w:rPr>
    </w:lvl>
    <w:lvl w:ilvl="8" w:tplc="1946F214"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40D81C50">
      <w:start w:val="1"/>
      <w:numFmt w:val="decimal"/>
      <w:lvlText w:val="%1."/>
      <w:lvlJc w:val="left"/>
      <w:pPr>
        <w:tabs>
          <w:tab w:val="num" w:pos="720"/>
        </w:tabs>
        <w:ind w:left="720" w:hanging="360"/>
      </w:pPr>
      <w:rPr>
        <w:rFonts w:cs="Times New Roman"/>
      </w:rPr>
    </w:lvl>
    <w:lvl w:ilvl="1" w:tplc="6A3299F8" w:tentative="1">
      <w:start w:val="1"/>
      <w:numFmt w:val="lowerLetter"/>
      <w:lvlText w:val="%2."/>
      <w:lvlJc w:val="left"/>
      <w:pPr>
        <w:tabs>
          <w:tab w:val="num" w:pos="1440"/>
        </w:tabs>
        <w:ind w:left="1440" w:hanging="360"/>
      </w:pPr>
      <w:rPr>
        <w:rFonts w:cs="Times New Roman"/>
      </w:rPr>
    </w:lvl>
    <w:lvl w:ilvl="2" w:tplc="264229D0" w:tentative="1">
      <w:start w:val="1"/>
      <w:numFmt w:val="lowerRoman"/>
      <w:lvlText w:val="%3."/>
      <w:lvlJc w:val="right"/>
      <w:pPr>
        <w:tabs>
          <w:tab w:val="num" w:pos="2160"/>
        </w:tabs>
        <w:ind w:left="2160" w:hanging="180"/>
      </w:pPr>
      <w:rPr>
        <w:rFonts w:cs="Times New Roman"/>
      </w:rPr>
    </w:lvl>
    <w:lvl w:ilvl="3" w:tplc="94085ADE" w:tentative="1">
      <w:start w:val="1"/>
      <w:numFmt w:val="decimal"/>
      <w:lvlText w:val="%4."/>
      <w:lvlJc w:val="left"/>
      <w:pPr>
        <w:tabs>
          <w:tab w:val="num" w:pos="2880"/>
        </w:tabs>
        <w:ind w:left="2880" w:hanging="360"/>
      </w:pPr>
      <w:rPr>
        <w:rFonts w:cs="Times New Roman"/>
      </w:rPr>
    </w:lvl>
    <w:lvl w:ilvl="4" w:tplc="73AC30E6" w:tentative="1">
      <w:start w:val="1"/>
      <w:numFmt w:val="lowerLetter"/>
      <w:lvlText w:val="%5."/>
      <w:lvlJc w:val="left"/>
      <w:pPr>
        <w:tabs>
          <w:tab w:val="num" w:pos="3600"/>
        </w:tabs>
        <w:ind w:left="3600" w:hanging="360"/>
      </w:pPr>
      <w:rPr>
        <w:rFonts w:cs="Times New Roman"/>
      </w:rPr>
    </w:lvl>
    <w:lvl w:ilvl="5" w:tplc="2C7C0C68" w:tentative="1">
      <w:start w:val="1"/>
      <w:numFmt w:val="lowerRoman"/>
      <w:lvlText w:val="%6."/>
      <w:lvlJc w:val="right"/>
      <w:pPr>
        <w:tabs>
          <w:tab w:val="num" w:pos="4320"/>
        </w:tabs>
        <w:ind w:left="4320" w:hanging="180"/>
      </w:pPr>
      <w:rPr>
        <w:rFonts w:cs="Times New Roman"/>
      </w:rPr>
    </w:lvl>
    <w:lvl w:ilvl="6" w:tplc="4D88A8DA" w:tentative="1">
      <w:start w:val="1"/>
      <w:numFmt w:val="decimal"/>
      <w:lvlText w:val="%7."/>
      <w:lvlJc w:val="left"/>
      <w:pPr>
        <w:tabs>
          <w:tab w:val="num" w:pos="5040"/>
        </w:tabs>
        <w:ind w:left="5040" w:hanging="360"/>
      </w:pPr>
      <w:rPr>
        <w:rFonts w:cs="Times New Roman"/>
      </w:rPr>
    </w:lvl>
    <w:lvl w:ilvl="7" w:tplc="657A7200" w:tentative="1">
      <w:start w:val="1"/>
      <w:numFmt w:val="lowerLetter"/>
      <w:lvlText w:val="%8."/>
      <w:lvlJc w:val="left"/>
      <w:pPr>
        <w:tabs>
          <w:tab w:val="num" w:pos="5760"/>
        </w:tabs>
        <w:ind w:left="5760" w:hanging="360"/>
      </w:pPr>
      <w:rPr>
        <w:rFonts w:cs="Times New Roman"/>
      </w:rPr>
    </w:lvl>
    <w:lvl w:ilvl="8" w:tplc="036A51E0"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12DCC410">
      <w:start w:val="1"/>
      <w:numFmt w:val="bullet"/>
      <w:lvlText w:val=""/>
      <w:lvlJc w:val="left"/>
      <w:pPr>
        <w:tabs>
          <w:tab w:val="num" w:pos="5760"/>
        </w:tabs>
        <w:ind w:left="5760" w:hanging="360"/>
      </w:pPr>
      <w:rPr>
        <w:rFonts w:ascii="Symbol" w:hAnsi="Symbol" w:hint="default"/>
        <w:color w:val="auto"/>
        <w:u w:val="none"/>
      </w:rPr>
    </w:lvl>
    <w:lvl w:ilvl="1" w:tplc="181ADB9C" w:tentative="1">
      <w:start w:val="1"/>
      <w:numFmt w:val="bullet"/>
      <w:lvlText w:val="o"/>
      <w:lvlJc w:val="left"/>
      <w:pPr>
        <w:tabs>
          <w:tab w:val="num" w:pos="3600"/>
        </w:tabs>
        <w:ind w:left="3600" w:hanging="360"/>
      </w:pPr>
      <w:rPr>
        <w:rFonts w:ascii="Courier New" w:hAnsi="Courier New" w:hint="default"/>
      </w:rPr>
    </w:lvl>
    <w:lvl w:ilvl="2" w:tplc="847E4F60" w:tentative="1">
      <w:start w:val="1"/>
      <w:numFmt w:val="bullet"/>
      <w:lvlText w:val=""/>
      <w:lvlJc w:val="left"/>
      <w:pPr>
        <w:tabs>
          <w:tab w:val="num" w:pos="4320"/>
        </w:tabs>
        <w:ind w:left="4320" w:hanging="360"/>
      </w:pPr>
      <w:rPr>
        <w:rFonts w:ascii="Wingdings" w:hAnsi="Wingdings" w:hint="default"/>
      </w:rPr>
    </w:lvl>
    <w:lvl w:ilvl="3" w:tplc="8F4A7972">
      <w:start w:val="1"/>
      <w:numFmt w:val="bullet"/>
      <w:lvlText w:val=""/>
      <w:lvlJc w:val="left"/>
      <w:pPr>
        <w:tabs>
          <w:tab w:val="num" w:pos="5040"/>
        </w:tabs>
        <w:ind w:left="5040" w:hanging="360"/>
      </w:pPr>
      <w:rPr>
        <w:rFonts w:ascii="Symbol" w:hAnsi="Symbol" w:hint="default"/>
      </w:rPr>
    </w:lvl>
    <w:lvl w:ilvl="4" w:tplc="8EBA0480" w:tentative="1">
      <w:start w:val="1"/>
      <w:numFmt w:val="bullet"/>
      <w:lvlText w:val="o"/>
      <w:lvlJc w:val="left"/>
      <w:pPr>
        <w:tabs>
          <w:tab w:val="num" w:pos="5760"/>
        </w:tabs>
        <w:ind w:left="5760" w:hanging="360"/>
      </w:pPr>
      <w:rPr>
        <w:rFonts w:ascii="Courier New" w:hAnsi="Courier New" w:hint="default"/>
      </w:rPr>
    </w:lvl>
    <w:lvl w:ilvl="5" w:tplc="EFA64B6A" w:tentative="1">
      <w:start w:val="1"/>
      <w:numFmt w:val="bullet"/>
      <w:lvlText w:val=""/>
      <w:lvlJc w:val="left"/>
      <w:pPr>
        <w:tabs>
          <w:tab w:val="num" w:pos="6480"/>
        </w:tabs>
        <w:ind w:left="6480" w:hanging="360"/>
      </w:pPr>
      <w:rPr>
        <w:rFonts w:ascii="Wingdings" w:hAnsi="Wingdings" w:hint="default"/>
      </w:rPr>
    </w:lvl>
    <w:lvl w:ilvl="6" w:tplc="ABC29D28" w:tentative="1">
      <w:start w:val="1"/>
      <w:numFmt w:val="bullet"/>
      <w:lvlText w:val=""/>
      <w:lvlJc w:val="left"/>
      <w:pPr>
        <w:tabs>
          <w:tab w:val="num" w:pos="7200"/>
        </w:tabs>
        <w:ind w:left="7200" w:hanging="360"/>
      </w:pPr>
      <w:rPr>
        <w:rFonts w:ascii="Symbol" w:hAnsi="Symbol" w:hint="default"/>
      </w:rPr>
    </w:lvl>
    <w:lvl w:ilvl="7" w:tplc="ADC881AA" w:tentative="1">
      <w:start w:val="1"/>
      <w:numFmt w:val="bullet"/>
      <w:lvlText w:val="o"/>
      <w:lvlJc w:val="left"/>
      <w:pPr>
        <w:tabs>
          <w:tab w:val="num" w:pos="7920"/>
        </w:tabs>
        <w:ind w:left="7920" w:hanging="360"/>
      </w:pPr>
      <w:rPr>
        <w:rFonts w:ascii="Courier New" w:hAnsi="Courier New" w:hint="default"/>
      </w:rPr>
    </w:lvl>
    <w:lvl w:ilvl="8" w:tplc="C3261230"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25D83B48">
      <w:start w:val="1"/>
      <w:numFmt w:val="decimal"/>
      <w:lvlText w:val="(%1)"/>
      <w:lvlJc w:val="left"/>
      <w:pPr>
        <w:tabs>
          <w:tab w:val="num" w:pos="2520"/>
        </w:tabs>
        <w:ind w:left="2520" w:hanging="720"/>
      </w:pPr>
      <w:rPr>
        <w:rFonts w:cs="Times New Roman" w:hint="default"/>
      </w:rPr>
    </w:lvl>
    <w:lvl w:ilvl="1" w:tplc="A6D6EDA8">
      <w:start w:val="1"/>
      <w:numFmt w:val="lowerRoman"/>
      <w:lvlText w:val="(%2)"/>
      <w:lvlJc w:val="left"/>
      <w:pPr>
        <w:tabs>
          <w:tab w:val="num" w:pos="1800"/>
        </w:tabs>
        <w:ind w:left="1800" w:hanging="720"/>
      </w:pPr>
      <w:rPr>
        <w:rFonts w:cs="Times New Roman" w:hint="default"/>
        <w:b w:val="0"/>
      </w:rPr>
    </w:lvl>
    <w:lvl w:ilvl="2" w:tplc="F1A27F7E">
      <w:start w:val="1"/>
      <w:numFmt w:val="decimal"/>
      <w:lvlText w:val="(%3)"/>
      <w:lvlJc w:val="right"/>
      <w:pPr>
        <w:tabs>
          <w:tab w:val="num" w:pos="2160"/>
        </w:tabs>
        <w:ind w:left="2160" w:hanging="180"/>
      </w:pPr>
      <w:rPr>
        <w:rFonts w:ascii="Times New Roman" w:eastAsia="Times New Roman" w:hAnsi="Times New Roman" w:cs="Times New Roman"/>
        <w:b w:val="0"/>
      </w:rPr>
    </w:lvl>
    <w:lvl w:ilvl="3" w:tplc="A44A389C">
      <w:start w:val="1"/>
      <w:numFmt w:val="lowerRoman"/>
      <w:lvlText w:val="(%4)"/>
      <w:lvlJc w:val="left"/>
      <w:pPr>
        <w:tabs>
          <w:tab w:val="num" w:pos="2520"/>
        </w:tabs>
        <w:ind w:left="2880" w:hanging="360"/>
      </w:pPr>
      <w:rPr>
        <w:rFonts w:cs="Times New Roman" w:hint="default"/>
        <w:b w:val="0"/>
      </w:rPr>
    </w:lvl>
    <w:lvl w:ilvl="4" w:tplc="2B22431C" w:tentative="1">
      <w:start w:val="1"/>
      <w:numFmt w:val="lowerLetter"/>
      <w:lvlText w:val="%5."/>
      <w:lvlJc w:val="left"/>
      <w:pPr>
        <w:tabs>
          <w:tab w:val="num" w:pos="3600"/>
        </w:tabs>
        <w:ind w:left="3600" w:hanging="360"/>
      </w:pPr>
      <w:rPr>
        <w:rFonts w:cs="Times New Roman"/>
      </w:rPr>
    </w:lvl>
    <w:lvl w:ilvl="5" w:tplc="DDA81E92" w:tentative="1">
      <w:start w:val="1"/>
      <w:numFmt w:val="lowerRoman"/>
      <w:lvlText w:val="%6."/>
      <w:lvlJc w:val="right"/>
      <w:pPr>
        <w:tabs>
          <w:tab w:val="num" w:pos="4320"/>
        </w:tabs>
        <w:ind w:left="4320" w:hanging="180"/>
      </w:pPr>
      <w:rPr>
        <w:rFonts w:cs="Times New Roman"/>
      </w:rPr>
    </w:lvl>
    <w:lvl w:ilvl="6" w:tplc="0818BF74" w:tentative="1">
      <w:start w:val="1"/>
      <w:numFmt w:val="decimal"/>
      <w:lvlText w:val="%7."/>
      <w:lvlJc w:val="left"/>
      <w:pPr>
        <w:tabs>
          <w:tab w:val="num" w:pos="5040"/>
        </w:tabs>
        <w:ind w:left="5040" w:hanging="360"/>
      </w:pPr>
      <w:rPr>
        <w:rFonts w:cs="Times New Roman"/>
      </w:rPr>
    </w:lvl>
    <w:lvl w:ilvl="7" w:tplc="73ECBE6C" w:tentative="1">
      <w:start w:val="1"/>
      <w:numFmt w:val="lowerLetter"/>
      <w:lvlText w:val="%8."/>
      <w:lvlJc w:val="left"/>
      <w:pPr>
        <w:tabs>
          <w:tab w:val="num" w:pos="5760"/>
        </w:tabs>
        <w:ind w:left="5760" w:hanging="360"/>
      </w:pPr>
      <w:rPr>
        <w:rFonts w:cs="Times New Roman"/>
      </w:rPr>
    </w:lvl>
    <w:lvl w:ilvl="8" w:tplc="EBAA9BEA"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6EC8"/>
    <w:rsid w:val="001A5EE4"/>
    <w:rsid w:val="00406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3567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2021-03-02T13:33:00Z</dcterms:created>
  <dcterms:modified xsi:type="dcterms:W3CDTF">2021-03-02T13:33:00Z</dcterms:modified>
</cp:coreProperties>
</file>