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00000">
      <w:pPr>
        <w:pStyle w:val="Heading2"/>
      </w:pPr>
      <w:bookmarkStart w:id="0" w:name="_Toc261446021"/>
      <w:bookmarkStart w:id="1" w:name="_GoBack"/>
      <w:bookmarkEnd w:id="1"/>
      <w:r>
        <w:t xml:space="preserve">3.2 </w:t>
      </w:r>
      <w:r>
        <w:tab/>
        <w:t>Term and Termination</w:t>
      </w:r>
      <w:bookmarkEnd w:id="0"/>
    </w:p>
    <w:p w:rsidR="00000000">
      <w:pPr>
        <w:pStyle w:val="Bodypara"/>
      </w:pPr>
      <w:r>
        <w:t>The ISO Services Tariff shall remain in effect until:  (i) canceled by the ISO upon sixty (60) days prior written notice in accordance with applicable Commission regulations; or (ii) the effective date of any law, order, rule, reg</w:t>
      </w:r>
      <w:r>
        <w:t xml:space="preserve">ulation, or determination of a body of competent </w:t>
      </w:r>
    </w:p>
    <w:p w:rsidR="00000000">
      <w:pPr>
        <w:tabs>
          <w:tab w:val="left" w:pos="1440"/>
          <w:tab w:val="right" w:pos="9360"/>
        </w:tabs>
        <w:spacing w:line="480" w:lineRule="auto"/>
        <w:rPr>
          <w:b/>
          <w:bCs/>
        </w:rPr>
      </w:pPr>
      <w:r>
        <w:t>jurisdiction requiring termination or a material modification of the ISO Services Tariff and/or the Service Agreements executed pursuant to the terms of the Tariff (</w:t>
      </w:r>
      <w:r>
        <w:rPr>
          <w:u w:val="single"/>
        </w:rPr>
        <w:t>See</w:t>
      </w:r>
      <w:r>
        <w:t xml:space="preserve"> Attachment A) that would be inconsist</w:t>
      </w:r>
      <w:r>
        <w:t xml:space="preserve">ent with any material term or provision of the ISO/TO Agreement.  Any Customer may withdraw from the Tariff on thirty (30) days prior notice to the ISO; provided, however, that an LSE is required to be a Customer and comply with applicable requirements of </w:t>
      </w:r>
      <w:r>
        <w:t xml:space="preserve">the Tariff as long as it continues to serve Load in the NYCA.  </w:t>
      </w:r>
    </w:p>
    <w:p w:rsidR="00000000">
      <w:pPr>
        <w:tabs>
          <w:tab w:val="left" w:pos="1440"/>
          <w:tab w:val="right" w:pos="9360"/>
        </w:tabs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3.2 MST Term and Termination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3.2 MST Term and Termination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3.2 MST Term and Termination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removePersonalInformation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8"/>
    <w:rsid w:val="00AB36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subalphapara">
    <w:name w:val="sub alpha para"/>
    <w:basedOn w:val="alphapara"/>
    <w:pPr>
      <w:ind w:firstLine="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BodyTextIndent2">
    <w:name w:val="Body Text Indent 2"/>
    <w:basedOn w:val="Normal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revision>1</cp:revision>
  <cp:lastPrinted>2010-06-10T23:17:00Z</cp:lastPrinted>
  <dcterms:created xsi:type="dcterms:W3CDTF">2019-07-02T18:17:00Z</dcterms:created>
  <dcterms:modified xsi:type="dcterms:W3CDTF">2019-07-02T18:17:00Z</dcterms:modified>
</cp:coreProperties>
</file>