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1A" w:rsidRDefault="00841B10">
      <w:pPr>
        <w:pStyle w:val="Heading2"/>
      </w:pPr>
      <w:bookmarkStart w:id="0" w:name="_Toc261446141"/>
      <w:bookmarkStart w:id="1" w:name="_GoBack"/>
      <w:bookmarkEnd w:id="1"/>
      <w:r>
        <w:t>5.12</w:t>
      </w:r>
      <w:r>
        <w:tab/>
        <w:t>Requirements Applicable to Installed Capacity Suppliers</w:t>
      </w:r>
      <w:bookmarkEnd w:id="0"/>
    </w:p>
    <w:p w:rsidR="00B3061A" w:rsidRDefault="00841B10">
      <w:pPr>
        <w:pStyle w:val="Heading3"/>
      </w:pPr>
      <w:bookmarkStart w:id="2" w:name="_Toc261446142"/>
      <w:r>
        <w:t>5.12.1</w:t>
      </w:r>
      <w:r>
        <w:tab/>
        <w:t>Installed Capacity Supplier Qualification Requirements</w:t>
      </w:r>
      <w:bookmarkEnd w:id="2"/>
    </w:p>
    <w:p w:rsidR="00B3061A" w:rsidRDefault="00841B10">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y interconnected with, and routinely serves a Host Load (which Host Load does not consist solely of Station Power) at a single PTID can only participate in the Installed Capacity market as a Behind-the-Meter Net Generation Resource.</w:t>
      </w:r>
    </w:p>
    <w:p w:rsidR="00B3061A" w:rsidRDefault="00841B10">
      <w:pPr>
        <w:pStyle w:val="Bodypara"/>
      </w:pPr>
      <w:r>
        <w:t>In addition, to qualify</w:t>
      </w:r>
      <w:r>
        <w:t xml:space="preserve"> as an Installed Capacity Supplier in the NYCA, Energy Limited Resources, Generators, Installed Capacity Marketers, Intermittent Power Resources, Behind-the-Meter Net Generation Resources, Limited Control Run-of-River Hydro Resources and System Resources r</w:t>
      </w:r>
      <w:r>
        <w:t>ated 1 MW or greater, other than External System Resources and Control Area System Resources which have agreed to certain Curtailment conditions as set forth in the third to last paragraph of Section 5.12.1 below, Responsible Interface Parties, existing mu</w:t>
      </w:r>
      <w:r>
        <w:t xml:space="preserve">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allow</w:t>
      </w:r>
      <w:r>
        <w:t>s a minimum injection to the NYS Transmission System or distribution system of 0.1 MW or greater shall:</w:t>
      </w:r>
    </w:p>
    <w:p w:rsidR="00B3061A" w:rsidRDefault="00841B10">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B3061A" w:rsidRDefault="00841B10">
      <w:pPr>
        <w:pStyle w:val="alphapara"/>
      </w:pPr>
      <w:r>
        <w:t>5.12.1.2</w:t>
      </w:r>
      <w:r>
        <w:tab/>
        <w:t>in accordance</w:t>
      </w:r>
      <w:r>
        <w:t xml:space="preserve"> with the ISO Procedures, perform DMNC or DMGC tests and submit the results to the ISO, or provide to the ISO appropriate historical production data;</w:t>
      </w:r>
    </w:p>
    <w:p w:rsidR="00B3061A" w:rsidRDefault="00841B10">
      <w:pPr>
        <w:pStyle w:val="alphapara"/>
      </w:pPr>
      <w:r>
        <w:t>5.12.1.3</w:t>
      </w:r>
      <w:r>
        <w:tab/>
        <w:t xml:space="preserve">abide by the </w:t>
      </w:r>
      <w:r>
        <w:rPr>
          <w:bCs/>
        </w:rPr>
        <w:t>ISO</w:t>
      </w:r>
      <w:r>
        <w:t xml:space="preserve"> Generator maintenance coordination procedures;</w:t>
      </w:r>
    </w:p>
    <w:p w:rsidR="00B3061A" w:rsidRDefault="00841B10">
      <w:pPr>
        <w:pStyle w:val="alphapara"/>
      </w:pPr>
      <w:r>
        <w:t>5.12.1.4</w:t>
      </w:r>
      <w:r>
        <w:tab/>
        <w:t xml:space="preserve">provide the </w:t>
      </w:r>
      <w:r>
        <w:rPr>
          <w:bCs/>
        </w:rPr>
        <w:t>expected</w:t>
      </w:r>
      <w:r>
        <w:t xml:space="preserve"> ret</w:t>
      </w:r>
      <w:r>
        <w:t>urn date from any outages (including partial outages) to the ISO;</w:t>
      </w:r>
    </w:p>
    <w:p w:rsidR="00B3061A" w:rsidRDefault="00841B10">
      <w:pPr>
        <w:pStyle w:val="alphapara"/>
      </w:pPr>
      <w:r>
        <w:t>5.12.1.5</w:t>
      </w:r>
      <w:r>
        <w:tab/>
        <w:t>in accordance with the ISO Procedures,</w:t>
      </w:r>
    </w:p>
    <w:p w:rsidR="00B3061A" w:rsidRDefault="00841B10">
      <w:pPr>
        <w:pStyle w:val="alphapara"/>
      </w:pPr>
      <w:r>
        <w:t>5.12.1.5.1</w:t>
      </w:r>
      <w:r>
        <w:tab/>
        <w:t>provide documentation demonstrating that it will not use the same Unforced Capacity for more than one (1) buyer at the same time, a</w:t>
      </w:r>
      <w:r>
        <w:t>nd</w:t>
      </w:r>
    </w:p>
    <w:p w:rsidR="00B3061A" w:rsidRDefault="00841B10">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w:t>
      </w:r>
      <w:r>
        <w:t xml:space="preserve"> shortfall.</w:t>
      </w:r>
    </w:p>
    <w:p w:rsidR="00B3061A" w:rsidRDefault="00841B10">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Res</w:t>
      </w:r>
      <w:r>
        <w:t xml:space="preserve">ource or System Resource is unable to do so due to an outage as defined in the ISO Procedures or due to temperature related de-ratings.  </w:t>
      </w:r>
      <w:r>
        <w:lastRenderedPageBreak/>
        <w:t>Generators may also enter into the MIS an upper operating limit that would define the operating limit under normal syst</w:t>
      </w:r>
      <w:r>
        <w:t xml:space="preserve">em conditions.  The circumstances under which the ISO will direct a Generator to exceed its upper operating limit are described in the ISO </w:t>
      </w:r>
      <w:r>
        <w:rPr>
          <w:bCs/>
        </w:rPr>
        <w:t>Procedures</w:t>
      </w:r>
      <w:r>
        <w:t>;</w:t>
      </w:r>
    </w:p>
    <w:p w:rsidR="00B3061A" w:rsidRDefault="00841B10">
      <w:pPr>
        <w:pStyle w:val="alphapara"/>
      </w:pPr>
      <w:r>
        <w:t>5.12.1.7</w:t>
      </w:r>
      <w:r>
        <w:tab/>
        <w:t xml:space="preserve">provide </w:t>
      </w:r>
      <w:r>
        <w:rPr>
          <w:bCs/>
        </w:rPr>
        <w:t>Operating</w:t>
      </w:r>
      <w:r>
        <w:t xml:space="preserve"> Data in accordance with Section 5.12.5 of this Tariff;</w:t>
      </w:r>
    </w:p>
    <w:p w:rsidR="00B3061A" w:rsidRDefault="00841B10">
      <w:pPr>
        <w:pStyle w:val="alphapara"/>
      </w:pPr>
      <w:r>
        <w:t>5.12.1.8</w:t>
      </w:r>
      <w:r>
        <w:tab/>
        <w:t>provide notice</w:t>
      </w:r>
      <w:r>
        <w:t xml:space="preserv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submissi</w:t>
      </w:r>
      <w:r>
        <w:t>on of the request if it is a request to transfer CRIS at the same location.</w:t>
      </w:r>
    </w:p>
    <w:p w:rsidR="00B3061A" w:rsidRDefault="00841B10">
      <w:pPr>
        <w:pStyle w:val="alphapara"/>
      </w:pPr>
      <w:r>
        <w:t>5.12.1.9</w:t>
      </w:r>
      <w:r>
        <w:tab/>
        <w:t>comply with the ISO Procedures;</w:t>
      </w:r>
    </w:p>
    <w:p w:rsidR="00B3061A" w:rsidRDefault="00841B10">
      <w:pPr>
        <w:pStyle w:val="alphapara"/>
      </w:pPr>
      <w:r>
        <w:t>5.12.1.10</w:t>
      </w:r>
      <w:r>
        <w:tab/>
        <w:t>when the ISO issues a Supplemental Resource Evaluation request (an SRE), NYCA Resources must Bid into the in-day market unless (a</w:t>
      </w:r>
      <w:r>
        <w:t xml:space="preserve">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tem</w:t>
      </w:r>
      <w:r>
        <w:t>perature related deratings.</w:t>
      </w:r>
    </w:p>
    <w:p w:rsidR="00B3061A" w:rsidRDefault="00841B10">
      <w:pPr>
        <w:pStyle w:val="alphapara"/>
        <w:ind w:firstLine="720"/>
      </w:pPr>
      <w:r>
        <w:t>If an External Installed Capacity Supplier is a Generator, or if an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w:t>
      </w:r>
      <w:r>
        <w: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w:t>
      </w:r>
      <w:r>
        <w:t>t take all of the following actions for each hour of an SRE request (a) Bid an Import to the NYCA in a MW quantity equal to the lesser of (i) the ICAP equivalent of the UCAP sold, or (ii) the maximum MW the Generator is able to produce, at the approved Pro</w:t>
      </w:r>
      <w:r>
        <w:t xml:space="preserve">xy Generator Bus, at the applicable minimum Bid Price, and (b) ensure that the External Generator is operating and is available to provide all of the MW that were Bid to be imported into the NYCA, up to the ICAP equivalent of the UCAP sold, for the entire </w:t>
      </w:r>
      <w:r>
        <w:t>duration of the SRE request, and (c) obtain all reservations and transmission service necessary to deliver all of the MW that were Bid to be imported into the NYCA or to a Locality from the Generator, up to the ICAP equivalent of the UCAP sold from the Ext</w:t>
      </w:r>
      <w:r>
        <w:t xml:space="preserve">ernal Generator, at the approved Proxy Generator Bus.  </w:t>
      </w:r>
    </w:p>
    <w:p w:rsidR="00B3061A" w:rsidRDefault="00841B10">
      <w:pPr>
        <w:pStyle w:val="alphapara"/>
        <w:ind w:firstLine="720"/>
      </w:pPr>
      <w:r>
        <w:t>If the External Installed Capacity Supplier that is a Generator, or the External Generator associated with an Unforced Capacity sale using UDRs or EDRs, is not able to Import the quantity of Energy eq</w:t>
      </w:r>
      <w:r>
        <w:t>ual to the ICAP equivalent of the UCAP sold from the Generator or EDR to the NYCA, or if a UDR to the Locality, for every hour of an SRE request then, except to the extent already addressed by a declared outage, the Generator shall provide to the ISO an ex</w:t>
      </w:r>
      <w:r>
        <w:t>planation of the reasons for its failure or inability to perform, including evidence demonstrating any physical operating limitations or other operational issues that prevented the Generator from Importing the quantity of Energy equal to the ICAP equivalen</w:t>
      </w:r>
      <w:r>
        <w:t>t of the UCAP sold from the Generator to the NYCA.  To the extent the ISO determines that the information and supporting evidence provided demonstrates that the failure or inability to deliver occurred for reasons outside the control of the External Instal</w:t>
      </w:r>
      <w:r>
        <w:t>led Capacity Supplier or the External Generator associated with an Unforced Capacity sale using UDRs or EDRs, then the deficiency charge set forth in Section 5.12.12.2 below that applies solely to violations of this Section 5.12.1.10, shall not be assessed</w:t>
      </w:r>
      <w:r>
        <w:t xml:space="preserve">.  </w:t>
      </w:r>
    </w:p>
    <w:p w:rsidR="00B3061A" w:rsidRDefault="00841B10">
      <w:pPr>
        <w:pStyle w:val="alphapara"/>
        <w:ind w:firstLine="720"/>
      </w:pPr>
      <w:r>
        <w:t>If an External Installed Capacity Supplier is a Control Area System Resource then, except 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B3061A" w:rsidRDefault="00841B10">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B3061A" w:rsidRDefault="00841B10">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B3061A" w:rsidRDefault="00841B10">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B3061A" w:rsidRDefault="00841B10">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B3061A" w:rsidRDefault="00841B10">
      <w:pPr>
        <w:pStyle w:val="alphapara"/>
      </w:pPr>
      <w:r>
        <w:t>5.12.1.11.2</w:t>
      </w:r>
      <w:r>
        <w:tab/>
        <w:t>Existing topping turbine Generators and extraction turbine Generators producing Energy resulting from the supply of steam to the district steam system located in New Yo</w:t>
      </w:r>
      <w:r>
        <w:t>rk City (LBMP Zone J) in operation on or before November 18, 1999 and/or Generators used in replacing or repowering steam supplies from such units (in accordance with good engineering and economic design) that cannot follow schedules, up to a maximum total</w:t>
      </w:r>
      <w:r>
        <w:t xml:space="preserve"> of 533 MW of such units; and</w:t>
      </w:r>
    </w:p>
    <w:p w:rsidR="00B3061A" w:rsidRDefault="00841B10">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10-Minute NSR.</w:t>
      </w:r>
    </w:p>
    <w:p w:rsidR="00B3061A" w:rsidRDefault="00841B10">
      <w:pPr>
        <w:pStyle w:val="alphapara"/>
      </w:pPr>
      <w:r>
        <w:t>5.12.1.12</w:t>
      </w:r>
      <w:r>
        <w:tab/>
        <w:t>A Resou</w:t>
      </w:r>
      <w:r>
        <w:t>rce that was determined by the ISO to be qualified as a Behind-the-Meter Net Generation Resource and for which Net Unforced Capacity was calculated by the ISO for a Capability Year can annually, by written notice received by the NYISO prior to August 1, el</w:t>
      </w:r>
      <w:r>
        <w:t>ect not to participate in the ISO Administered Markets as a Behind-the-Meter Net Generation Resource.  Such notice shall be in accordance with ISO Procedures.  A Resource that makes such an election cannot participate as a Behind-the-Meter Net Generation R</w:t>
      </w:r>
      <w:r>
        <w:t>esource for the entire Capability Year for which it made the election, but can, however, prior to August 1 of any subsequent Capability Year, provide all required information in order to seek to re-qualify as a Behind-the-Meter Net Generation Resource.</w:t>
      </w:r>
    </w:p>
    <w:p w:rsidR="00B3061A" w:rsidRDefault="00841B10">
      <w:pPr>
        <w:pStyle w:val="alphapara"/>
      </w:pPr>
      <w:r>
        <w:t>5.1</w:t>
      </w:r>
      <w:r>
        <w:t>2.1.13</w:t>
      </w:r>
      <w:r>
        <w:tab/>
        <w:t>An Energy Storage Resource may de-rate its maximum capability in order to meet the applicable Services Tariff Section 5.12.14 run-time requirement.  ESRs electing to de-rate their maximum capability shall perform a DMNC test at an output level consi</w:t>
      </w:r>
      <w:r>
        <w:t>stent with its de-rated capability in accordance with Services Tariff Section 5.12.14 and ISO Procedures (</w:t>
      </w:r>
      <w:r>
        <w:rPr>
          <w:i/>
        </w:rPr>
        <w:t>see</w:t>
      </w:r>
      <w:r>
        <w:t>, Installed Capacity Manual § 4).</w:t>
      </w:r>
    </w:p>
    <w:p w:rsidR="00B3061A" w:rsidRDefault="00841B10">
      <w:pPr>
        <w:pStyle w:val="alphapara"/>
      </w:pPr>
      <w:r>
        <w:t>5.12.1.14</w:t>
      </w:r>
      <w:r>
        <w:tab/>
        <w:t>Energy Limited Resources, and Energy Storage Resources must elect an Energy Duration Limitation that co</w:t>
      </w:r>
      <w:r>
        <w:t>rresponds to a Duration Adjustment Factor, as described in Section 5.12.14 below, and validate the Energy Duration Limitation pursuant to Section 5.12.1.2 above.  An Installed Capacity Supplier may elect any Energy Duration Limitation that it can demonstra</w:t>
      </w:r>
      <w:r>
        <w:t>te pursuant to Section 5.12.1.2.</w:t>
      </w:r>
    </w:p>
    <w:p w:rsidR="00B3061A" w:rsidRDefault="00841B10">
      <w:pPr>
        <w:pStyle w:val="Bodypara"/>
      </w:pPr>
      <w:r>
        <w:t xml:space="preserve">The ISO shall inform each potential Installed Capacity Supplier that the ISO must receive and approve DMNC or DMGC data, as applicable of its approved DMNC or DMGC ratings for the Summer Capability Period and the Winter </w:t>
      </w:r>
      <w:r>
        <w:t>Capability Period in accordance with the ISO Procedures.</w:t>
      </w:r>
    </w:p>
    <w:p w:rsidR="00B3061A" w:rsidRDefault="00841B10">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w:t>
      </w:r>
      <w:r>
        <w:t>sociated with such Installed Capacity or to afford it the same Curtailment priority that it affords its own Control Area Load shall be established in the ISO Procedures.</w:t>
      </w:r>
    </w:p>
    <w:p w:rsidR="00B3061A" w:rsidRDefault="00841B10">
      <w:pPr>
        <w:pStyle w:val="Bodypara"/>
      </w:pPr>
      <w:r>
        <w:t>External Installed Capacity not associated with UDRs, including capacity associated wi</w:t>
      </w:r>
      <w:r>
        <w:t xml:space="preserve">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w:t>
      </w:r>
      <w:r>
        <w:t xml:space="preserve">e 3 of Attachment L to the ISO OATT, Import Rights, and External System Resources, is only qualified to satisfy a NYCA Minimum Unforced Capacity Requirement and is not eligible to satisfy a Locational Minimum Installed Capacity Requirement.  </w:t>
      </w:r>
    </w:p>
    <w:p w:rsidR="00B3061A" w:rsidRDefault="00841B10">
      <w:pPr>
        <w:pStyle w:val="Bodypara"/>
      </w:pPr>
      <w:r>
        <w:t>Not later tha</w:t>
      </w:r>
      <w:r>
        <w:t xml:space="preserve">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w:t>
      </w:r>
      <w:r>
        <w:t>tifies each Affiliated Entity, as that term is defined in Section 23.2.1 of Attachment H of the Services Tariff, of the Market Party or with which the Market Party is an Affiliated Entity.  The names of entities that are Affiliated Entities shall not be tr</w:t>
      </w:r>
      <w:r>
        <w:t>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w:t>
      </w:r>
      <w:r>
        <w:t>specified in the definition of “Affiliated Entity” in Section 23.2.1 of Attachment H of the Services Tariff.</w:t>
      </w:r>
    </w:p>
    <w:p w:rsidR="00B3061A" w:rsidRDefault="00841B10">
      <w:pPr>
        <w:pStyle w:val="Heading3"/>
      </w:pPr>
      <w:bookmarkStart w:id="3" w:name="_Toc261446143"/>
      <w:r>
        <w:t>5.12.2</w:t>
      </w:r>
      <w:r>
        <w:tab/>
        <w:t>Additional Provisions Applicable to External Installed Capacity Suppliers</w:t>
      </w:r>
      <w:bookmarkEnd w:id="3"/>
    </w:p>
    <w:p w:rsidR="00B3061A" w:rsidRDefault="00841B10">
      <w:pPr>
        <w:pStyle w:val="Bodypara"/>
      </w:pPr>
      <w:r>
        <w:t>Terms in this Section 5.12.2 not defined in the Services Tariff ha</w:t>
      </w:r>
      <w:r>
        <w:t xml:space="preserve">ve the meaning set forth in the </w:t>
      </w:r>
      <w:r>
        <w:rPr>
          <w:rFonts w:eastAsia="Times New Roman"/>
          <w:snapToGrid w:val="0"/>
          <w:szCs w:val="20"/>
        </w:rPr>
        <w:t>OATT</w:t>
      </w:r>
      <w:r>
        <w:t xml:space="preserve">.  </w:t>
      </w:r>
      <w:bookmarkStart w:id="4" w:name="_Toc261446144"/>
    </w:p>
    <w:p w:rsidR="00B3061A" w:rsidRDefault="00841B10">
      <w:pPr>
        <w:pStyle w:val="Heading4"/>
      </w:pPr>
      <w:r>
        <w:t>5.12.2.1</w:t>
      </w:r>
      <w:r>
        <w:tab/>
        <w:t>Provisions Addressing the Applicable External Control Area</w:t>
      </w:r>
      <w:bookmarkEnd w:id="4"/>
    </w:p>
    <w:p w:rsidR="00B3061A" w:rsidRDefault="00841B10">
      <w:pPr>
        <w:pStyle w:val="Bodypara"/>
      </w:pPr>
      <w:r>
        <w:t>External Generators, External System Resources, and Control Area System Resources qualify as Installed Capacity Suppliers if they demonstrate to the</w:t>
      </w:r>
      <w:r>
        <w:t xml:space="preserv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with</w:t>
      </w:r>
      <w:r>
        <w:t xml:space="preserve"> that UDR transmission facility and will not be recalled or curtailed by an External Control Area to satisfy its own Control Area Loads; in the case of an EDR, to the NYCA interface over which it creates increased transfer capability; and in the case of Co</w:t>
      </w:r>
      <w:r>
        <w:t>ntrol Area System Resources, if they demonstrate that the External Control Area will afford the NYCA Load the same curtailment priority that they afford their own Control Area Native Load Customers. The amount of Unforced Capacity that may be supplied by s</w:t>
      </w:r>
      <w:r>
        <w:t>uch entities qualifying pursuant to the alternative criteria may be reduced by the ISO, pursuant to ISO Procedures, to reflect the possibility of curtailment.  External Installed Capacity associated with Import Rights, EDRs or UDRs is subject to the same d</w:t>
      </w:r>
      <w:r>
        <w:t xml:space="preserve">eliverability requirements applied to Internal Installed Capacity Suppliers associated with UDRs.  </w:t>
      </w:r>
    </w:p>
    <w:p w:rsidR="00B3061A" w:rsidRDefault="00841B10">
      <w:pPr>
        <w:pStyle w:val="Heading4"/>
      </w:pPr>
      <w:bookmarkStart w:id="5" w:name="_Toc261446145"/>
      <w:r>
        <w:t>5.12.2.2</w:t>
      </w:r>
      <w:r>
        <w:tab/>
        <w:t>Additional Provisions Addressing Internal Deliverability and Import Rights</w:t>
      </w:r>
      <w:bookmarkEnd w:id="5"/>
    </w:p>
    <w:p w:rsidR="00B3061A" w:rsidRDefault="00841B10">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the ISO OATT. </w:t>
      </w:r>
      <w:r>
        <w:t xml:space="preserve">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w:t>
      </w:r>
      <w:r>
        <w:t>talled Capacity that can be imported to the New York Control Area across any individual External Interface and across all of those External Interfaces, taken together. The External Installed Capacity deliverability test will be performed using the ISO’s fo</w:t>
      </w:r>
      <w:r>
        <w:t xml:space="preserve">recast, for the upcoming Capability Year, of New York Control Area CRIS resources, transmission facilities, and load.  Under this process (i) Grandfathered External Installed Capacity Agreements listed in Attachment E of the ISO Installed Capacity Manual, </w:t>
      </w:r>
      <w:r>
        <w:t>and (ii) the Existing Transmission Capacity for Native Load listed for New York State Electric &amp; Gas Corporation in Table 3 of Attachment L to the ISO OATT, will be considered deliverable within the Rest of State.  Additionally, 1090 MW of imports made ove</w:t>
      </w:r>
      <w:r>
        <w:t>r the Quebec (via Chateauguay) Interface will be considered to be deliverable until the end of the 2010 Summer Capability Period.</w:t>
      </w:r>
    </w:p>
    <w:p w:rsidR="00B3061A" w:rsidRDefault="00841B10">
      <w:pPr>
        <w:pStyle w:val="Bodypara"/>
      </w:pPr>
      <w:r>
        <w:t>The import limit set for External Installed Capacity not associated with UDRs, EDRs or External CRIS Rights will be set no hig</w:t>
      </w:r>
      <w:r>
        <w:t xml:space="preserve">her than the amount of imports deliverable into Rest of State that (i) would not increase the LOLE as determined in the upcoming Capability Year IRM consistent with Section 2.7 of the NYISO Installed Capacity Manual, “Limitations on Unforced Capacity Flow </w:t>
      </w:r>
      <w:r>
        <w:t>in External Control Areas,” (ii) are deliverable within the Rest of State Capacity Region when evaluated with the New York Control Area CRIS resources (including EDRs and UDRs) and External CRIS Rights forecast for the upcoming Capability Year, and (iii) w</w:t>
      </w:r>
      <w:r>
        <w:t xml:space="preserve">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w:t>
      </w:r>
      <w:r>
        <w:t>ights, but the awarded External CRIS rights will not be adjusted as part of import limit-setting process.  Procedures for qualifying selling, and delivery of External Installed Capacity are detailed in the Installed Capacity Manual.</w:t>
      </w:r>
    </w:p>
    <w:p w:rsidR="00B3061A" w:rsidRDefault="00841B10">
      <w:pPr>
        <w:pStyle w:val="Bodypara"/>
      </w:pPr>
      <w:r>
        <w:t xml:space="preserve">Until </w:t>
      </w:r>
      <w:r>
        <w:rPr>
          <w:rFonts w:eastAsia="Times New Roman"/>
          <w:snapToGrid w:val="0"/>
          <w:szCs w:val="20"/>
        </w:rPr>
        <w:t>the</w:t>
      </w:r>
      <w:r>
        <w:t xml:space="preserve"> grandfathered</w:t>
      </w:r>
      <w:r>
        <w:t xml:space="preserve"> import rights over the Quebec (via Chateauguay) Interface expire at the end of the 2010 Summer Capability Period, the 1090 MW of grandfathered import rights will be made available on a first-come, first-served basis pursuant to ISO Procedures.  Any of the</w:t>
      </w:r>
      <w:r>
        <w:t xml:space="preserve"> grandfathered import rights over the Quebec (via Chateauguay) Interface not utilized for a Capability Period will be made available to other external resources for that Capability Period, pursuant to ISO Procedures, to the extent the unutilized amount is </w:t>
      </w:r>
      <w:r>
        <w:t xml:space="preserve">determined to be deliverable.  </w:t>
      </w:r>
    </w:p>
    <w:p w:rsidR="00B3061A" w:rsidRDefault="00841B10">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w:t>
      </w:r>
      <w:r>
        <w:t xml:space="preserve">lable to other external resources for that Capability Period, pursuant to ISO procedures, to the extent the unutilized amount is determined to be deliverable within the Rest of State Capacity Region. </w:t>
      </w:r>
    </w:p>
    <w:p w:rsidR="00B3061A" w:rsidRDefault="00841B10">
      <w:pPr>
        <w:pStyle w:val="Bodypara"/>
      </w:pPr>
      <w:r>
        <w:t>LSEs with External Installed Capacity as of the effecti</w:t>
      </w:r>
      <w:r>
        <w:t xml:space="preserve">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w:t>
      </w:r>
      <w:r>
        <w:t xml:space="preserve">sponds to Existing Transmission Capacity for Native Load as reflected in Table 3 of Attachment L to the ISO OATT, these External Installed Capacity rights will continue without term and shall be allocated to the LSE’s retail access customers in accordance </w:t>
      </w:r>
      <w:r>
        <w:t>with the LSE’s retail access program on file with the PSC and subject to any necessary filings with the Commission.  External Installed Capacity rights existing as of September 17, 1999 that do not correspond to Table 3 of Attachment L to the ISO OATT shal</w:t>
      </w:r>
      <w:r>
        <w:t xml:space="preserve">l survive for the </w:t>
      </w:r>
      <w:r>
        <w:rPr>
          <w:rFonts w:eastAsia="Times New Roman"/>
          <w:snapToGrid w:val="0"/>
          <w:szCs w:val="20"/>
        </w:rPr>
        <w:t>term</w:t>
      </w:r>
      <w:r>
        <w:t xml:space="preserve"> of the relevant External Installed Capacity contract or until the relevant External Generator is retired.</w:t>
      </w:r>
    </w:p>
    <w:p w:rsidR="00B3061A" w:rsidRDefault="00841B10">
      <w:pPr>
        <w:pStyle w:val="Heading4"/>
      </w:pPr>
      <w:bookmarkStart w:id="6" w:name="_Toc261446146"/>
      <w:r>
        <w:t>5.12.2.3</w:t>
      </w:r>
      <w:r>
        <w:tab/>
        <w:t>One-Time Conversion of Grandfathered Quebec (via Chateauguay) Interface Rights.</w:t>
      </w:r>
      <w:bookmarkEnd w:id="6"/>
    </w:p>
    <w:p w:rsidR="00B3061A" w:rsidRDefault="00841B10">
      <w:pPr>
        <w:pStyle w:val="Bodypara"/>
      </w:pPr>
      <w:r>
        <w:t>An entity can request to convert a spe</w:t>
      </w:r>
      <w:r>
        <w:t xml:space="preserv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w:t>
      </w:r>
      <w:r>
        <w:t xml:space="preserve"> ISO OATT.  The converted number of MW will not be subject to further evaluation for deliverability within a Class Year Deliverability Study under Attachment S to the ISO OATT, as long as the External CRIS Rights are in effect.  </w:t>
      </w:r>
    </w:p>
    <w:p w:rsidR="00B3061A" w:rsidRDefault="00841B10">
      <w:pPr>
        <w:pStyle w:val="alphapara"/>
      </w:pPr>
      <w:r>
        <w:t>5.12.2.3.1</w:t>
      </w:r>
      <w:r>
        <w:tab/>
        <w:t>The External CR</w:t>
      </w:r>
      <w:r>
        <w:t>IS Rights awarded under this conversion process will first become effective for the 2010-2011 Winter Capability Period.</w:t>
      </w:r>
    </w:p>
    <w:p w:rsidR="00B3061A" w:rsidRDefault="00841B10">
      <w:pPr>
        <w:pStyle w:val="alphapara"/>
      </w:pPr>
      <w:r>
        <w:t>5.12.2.3.2</w:t>
      </w:r>
      <w:r>
        <w:tab/>
        <w:t>Requests to convert these grandfathered rights must be received by the NYISO on or before 5:00 pm Eastern Time on February 1,</w:t>
      </w:r>
      <w:r>
        <w:t xml:space="preserve"> 2010, with the following information:  (a) a statement that the entity is electing to convert by satisfying the requirements of a Contract Commitment or a Non-Contract Commitment in accordance with Section 25.7.11.1 of Attachment S to the ISO OATT; (b) th</w:t>
      </w:r>
      <w:r>
        <w:t>e length of the commitment in years; (c) for the Summer Capability Period, the requested number of MW; (d) for the Winter Capability Period, the Specified Winter Months, if any, and the requested number of MW; and (e) a minimum number of MW the entity will</w:t>
      </w:r>
      <w:r>
        <w:t xml:space="preserve"> accept if granted (“Specified Minimum”) for the Summer Capability Period and for all Specified Winter Months, if any.</w:t>
      </w:r>
    </w:p>
    <w:p w:rsidR="00B3061A" w:rsidRDefault="00841B10">
      <w:pPr>
        <w:pStyle w:val="alphapara"/>
      </w:pPr>
      <w:r>
        <w:t>5.12.2.3.3</w:t>
      </w:r>
      <w:r>
        <w:tab/>
        <w:t xml:space="preserve">An entity cannot submit one or more requests to convert in the aggregate more than 1090 MW in any single month.  </w:t>
      </w:r>
    </w:p>
    <w:p w:rsidR="00B3061A" w:rsidRDefault="00841B10">
      <w:pPr>
        <w:pStyle w:val="alphapara"/>
      </w:pPr>
      <w:r>
        <w:t>5.12.2.3.4</w:t>
      </w:r>
      <w:r>
        <w:tab/>
        <w:t>I</w:t>
      </w:r>
      <w:r>
        <w:t>f requests to convert that satisfy all other requirements stated herein are equal to or less than the 1090 MW limit, all requesting entities will be awarded the requested number of MW of External CRIS Rights.  If conversion requests exceed the 1090 MW limi</w:t>
      </w:r>
      <w:r>
        <w:t>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B3061A" w:rsidRDefault="00841B10">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m:t>
          </m:r>
          <m:r>
            <w:rPr>
              <w:rFonts w:ascii="Cambria Math" w:hAnsi="Cambria Math"/>
            </w:rPr>
            <m: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B3061A" w:rsidRDefault="00841B10">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B3061A" w:rsidRDefault="00841B10">
      <w:pPr>
        <w:pStyle w:val="alphapara"/>
      </w:pPr>
      <w:r>
        <w:tab/>
        <w:t>In the formula, contract/commitment length means the lesser of the re</w:t>
      </w:r>
      <w:r>
        <w:t>quested contract/commitment length and twenty (20) years.  The NYISO will perform separate calculations for the Summer and Winter Capability Periods.  The NYISO will determine whether the prorated allocated number of MW for any requesting entity is less th</w:t>
      </w:r>
      <w:r>
        <w:t xml:space="preserve">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w:t>
      </w:r>
      <w:r>
        <w:t>location meets or exceeds the specified minimum for all remaining requests.</w:t>
      </w:r>
    </w:p>
    <w:p w:rsidR="00B3061A" w:rsidRDefault="00841B10">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w:t>
      </w:r>
      <w:r>
        <w:t>hts converted to External CRIS Rights but then terminated will no longer be grandfathered from deliverability.</w:t>
      </w:r>
    </w:p>
    <w:p w:rsidR="00B3061A" w:rsidRDefault="00841B10">
      <w:pPr>
        <w:pStyle w:val="Heading4"/>
      </w:pPr>
      <w:bookmarkStart w:id="7" w:name="_Toc261446147"/>
      <w:r>
        <w:t>5.12.2.4</w:t>
      </w:r>
      <w:r>
        <w:tab/>
        <w:t>Offer Cap Applicable to Certain External CRIS Rights</w:t>
      </w:r>
      <w:bookmarkEnd w:id="7"/>
    </w:p>
    <w:p w:rsidR="00B3061A" w:rsidRDefault="00841B10">
      <w:pPr>
        <w:pStyle w:val="Bodypara"/>
      </w:pPr>
      <w:r>
        <w:t>Notwithstanding any other capacity mitigation measures or obligations that may appl</w:t>
      </w:r>
      <w:r>
        <w:t xml:space="preserve">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w:t>
      </w:r>
      <w:r>
        <w:t>cified Winter Months.  This offer cap will be determined as the higher of:</w:t>
      </w:r>
    </w:p>
    <w:p w:rsidR="00B3061A" w:rsidRDefault="00841B10">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B3061A" w:rsidRDefault="00841B10">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B3061A" w:rsidRDefault="00841B10">
      <w:pPr>
        <w:pStyle w:val="Heading3"/>
      </w:pPr>
      <w:bookmarkStart w:id="8" w:name="_Toc261446148"/>
      <w:r>
        <w:t>5.12.3</w:t>
      </w:r>
      <w:r>
        <w:tab/>
        <w:t>Installed Capacity Supplier Outage Scheduling Requirements</w:t>
      </w:r>
      <w:bookmarkEnd w:id="8"/>
    </w:p>
    <w:p w:rsidR="00B3061A" w:rsidRDefault="00841B10">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Installed Capacity Suppliers actually supplying Unforced Capacity to the NYCA, if voluntary rescheduling is ineffective, the ISO will invoke forced rescheduling of their outages to ensure that projected Operating Reserves over the upc</w:t>
      </w:r>
      <w:r>
        <w:t xml:space="preserve">oming year are adequate.  </w:t>
      </w:r>
    </w:p>
    <w:p w:rsidR="00B3061A" w:rsidRDefault="00841B10">
      <w:pPr>
        <w:pStyle w:val="Bodypara"/>
      </w:pPr>
      <w:r>
        <w:t xml:space="preserve">An Installed Capacity Supplier that refuses a forced rescheduling of its outages for any unit shall be prevented from supplying Unforced Capacity in the NYCA with that unit during any month where it undertakes such outages.  The </w:t>
      </w:r>
      <w:r>
        <w:t>rescheduling process is described in the ISO Procedures.</w:t>
      </w:r>
    </w:p>
    <w:p w:rsidR="00B3061A" w:rsidRDefault="00841B10">
      <w:pPr>
        <w:pStyle w:val="Bodypara"/>
      </w:pPr>
      <w:r>
        <w:t>An Installed Capacity Supplier that intends to supply Unforced Capacity in a given month that did not qualify as an Installed Capacity Supplier prior to the beginning of the Capability Period must no</w:t>
      </w:r>
      <w:r>
        <w:t xml:space="preserve">tify the ISO in accordance with the ISO Procedures so that it may be subject to forced rescheduling of its proposed outages in order to qualify as an Installed Capacity Supplier.  A Resource that </w:t>
      </w:r>
      <w:r>
        <w:rPr>
          <w:rFonts w:eastAsia="Times New Roman"/>
          <w:snapToGrid w:val="0"/>
          <w:szCs w:val="20"/>
        </w:rPr>
        <w:t>refuses</w:t>
      </w:r>
      <w:r>
        <w:t xml:space="preserve"> the ISO’s forced rescheduling of its proposed outage</w:t>
      </w:r>
      <w:r>
        <w:t>s shall not qualify as an Installed Capacity Supplier for that unit for any month during which it schedules or conducts an outage.</w:t>
      </w:r>
    </w:p>
    <w:p w:rsidR="00B3061A" w:rsidRDefault="00841B10">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w:t>
      </w:r>
      <w:r>
        <w:t xml:space="preserve"> Area and the ISO in accordance with the ISO Procedures.</w:t>
      </w:r>
    </w:p>
    <w:p w:rsidR="00B3061A" w:rsidRDefault="00841B10">
      <w:pPr>
        <w:pStyle w:val="Heading3"/>
      </w:pPr>
      <w:bookmarkStart w:id="9" w:name="_Toc261446149"/>
      <w:r>
        <w:t>5.12.4</w:t>
      </w:r>
      <w:r>
        <w:tab/>
        <w:t>Required Certification for Installed Capacity</w:t>
      </w:r>
      <w:bookmarkEnd w:id="9"/>
      <w:r>
        <w:t xml:space="preserve"> </w:t>
      </w:r>
    </w:p>
    <w:p w:rsidR="00B3061A" w:rsidRDefault="00841B10">
      <w:pPr>
        <w:pStyle w:val="alphapara"/>
        <w:rPr>
          <w:bCs/>
        </w:rPr>
      </w:pPr>
      <w:r>
        <w:t>(a)</w:t>
      </w:r>
      <w:r>
        <w:tab/>
        <w:t xml:space="preserve">Each Installed Capacity Supplier must confirm to the ISO, in accordance with ISO Procedures that the Unforced </w:t>
      </w:r>
      <w:r>
        <w:rPr>
          <w:bCs/>
        </w:rPr>
        <w:t xml:space="preserve">Capacity it has certified has </w:t>
      </w:r>
      <w:r>
        <w:rPr>
          <w:bCs/>
        </w:rPr>
        <w:t>not been sold for use in an External Control Area.</w:t>
      </w:r>
    </w:p>
    <w:p w:rsidR="00B3061A" w:rsidRDefault="00841B10">
      <w:pPr>
        <w:pStyle w:val="alphapara"/>
      </w:pPr>
      <w:r>
        <w:t>(b)</w:t>
      </w:r>
      <w:r>
        <w:tab/>
        <w:t>Each Installed Capacity Supplier holding rights to UDRs or EDRs from an External Control Area must confirm to the ISO, in accordance with ISO Procedures, that it will not use as self-supply or offer, a</w:t>
      </w:r>
      <w:r>
        <w:t>nd has not sold, Installed Capacity associated with the quantity of MW for which it has not made its one time capability adjustment year election pursuant to Section 5.11.4 (if applicable.)</w:t>
      </w:r>
    </w:p>
    <w:p w:rsidR="00B3061A" w:rsidRDefault="00841B10">
      <w:pPr>
        <w:pStyle w:val="alphapara"/>
      </w:pPr>
      <w:r>
        <w:t>(c)</w:t>
      </w:r>
      <w:r>
        <w:tab/>
        <w:t>On and after the execution of an RMR Agreement, and for the du</w:t>
      </w:r>
      <w:r>
        <w:t>ration of its term, an RMR Generator shall not enter into any new agreement or extend any other agreement that impairs or otherwise diminishes its ability to comply with its obligation under an RMR Agreement, or that limits its ability to provide Energy, C</w:t>
      </w:r>
      <w:r>
        <w:t>apacity, or Ancillary Services directly to the ISO Administered Markets.  An Interim Service Provider that is required to keep its generating unit(s) in service shall not enter into any new agreement or extend any other agreement that limits its ability to</w:t>
      </w:r>
      <w:r>
        <w:t xml:space="preserve"> provide Energy, Capacity, or Ancillary Services directly to the ISO Administered Markets or otherwise meet its obligations as an Interim Service Provider.</w:t>
      </w:r>
    </w:p>
    <w:p w:rsidR="00B3061A" w:rsidRDefault="00841B10">
      <w:pPr>
        <w:pStyle w:val="Heading3"/>
      </w:pPr>
      <w:bookmarkStart w:id="10" w:name="_Toc261446150"/>
      <w:r>
        <w:t>5.12.5</w:t>
      </w:r>
      <w:r>
        <w:tab/>
        <w:t>Operating Data Reporting Requirements</w:t>
      </w:r>
      <w:bookmarkEnd w:id="10"/>
    </w:p>
    <w:p w:rsidR="00B3061A" w:rsidRDefault="00841B10">
      <w:pPr>
        <w:pStyle w:val="Bodypara"/>
      </w:pPr>
      <w:r>
        <w:t>To qualify as Installed Capacity Suppliers in the NYCA,</w:t>
      </w:r>
      <w:r>
        <w:t xml:space="preserve">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w:t>
      </w:r>
      <w:r>
        <w:t>s provided in Section 5.12.12.1 of this Tariff.</w:t>
      </w:r>
    </w:p>
    <w:p w:rsidR="00B3061A" w:rsidRDefault="00841B10">
      <w:pPr>
        <w:pStyle w:val="Bodypara"/>
      </w:pPr>
      <w:r>
        <w:t>Resources that were not in operation on January 1, 2000 shall submit Operating Data to the ISO no later than one month after such Resources commence commercial operation, and in accordance with the ISO Proced</w:t>
      </w:r>
      <w:r>
        <w:t>ures and the following subsections as applicable.</w:t>
      </w:r>
    </w:p>
    <w:p w:rsidR="00B3061A" w:rsidRDefault="00841B10">
      <w:pPr>
        <w:pStyle w:val="Heading4"/>
      </w:pPr>
      <w:bookmarkStart w:id="11" w:name="_Toc261446151"/>
      <w:r>
        <w:t>5.12.5.1</w:t>
      </w:r>
      <w:r>
        <w:tab/>
        <w:t>Generators, System Resources, Energy Limited Resources, Energy storage Resources, Responsible Interface Parties, Intermittent Power Resources, Limited Control Run-of-River Hydro Resources and Munic</w:t>
      </w:r>
      <w:r>
        <w:t>ipally Owned Generation</w:t>
      </w:r>
      <w:bookmarkEnd w:id="11"/>
    </w:p>
    <w:p w:rsidR="00B3061A" w:rsidRDefault="00841B10">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w:t>
      </w:r>
      <w:r>
        <w:t>trol Run-of-River Hydro Resources, Energy Storage Resources, and municipally owned generation or the purchasers of Unforced Capacity associated with those Resources shall submit GADS Data, data equivalent to GADS Data, or other Operating Data to the ISO in</w:t>
      </w:r>
      <w:r>
        <w:t xml:space="preserve"> accordance with the ISO Procedures.  Prior to the successful implementation of a software modification that allows gas turbines to submit multiple bid points, these units shall not be considered to be forced out for any hours that the unit was available a</w:t>
      </w:r>
      <w:r>
        <w:t xml:space="preserve">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B3061A" w:rsidRDefault="00841B10">
      <w:pPr>
        <w:pStyle w:val="Heading4"/>
      </w:pPr>
      <w:bookmarkStart w:id="12" w:name="_Toc261446152"/>
      <w:r>
        <w:t>5.12.5.2</w:t>
      </w:r>
      <w:r>
        <w:tab/>
        <w:t>Control Area System R</w:t>
      </w:r>
      <w:r>
        <w:t>esources</w:t>
      </w:r>
      <w:bookmarkEnd w:id="12"/>
    </w:p>
    <w:p w:rsidR="00B3061A" w:rsidRDefault="00841B10">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and actual system failure occurrences data to the ISO each month </w:t>
      </w:r>
      <w:r>
        <w:t>in accordance with the ISO Procedures.</w:t>
      </w:r>
    </w:p>
    <w:p w:rsidR="00B3061A" w:rsidRDefault="00841B10">
      <w:pPr>
        <w:pStyle w:val="Heading4"/>
      </w:pPr>
      <w:bookmarkStart w:id="13" w:name="_Toc261446153"/>
      <w:r>
        <w:t>5.12.5.3</w:t>
      </w:r>
      <w:r>
        <w:tab/>
        <w:t>Transmission Projects Granted Unforced Capacity Deliverability Rights</w:t>
      </w:r>
      <w:bookmarkEnd w:id="13"/>
    </w:p>
    <w:p w:rsidR="00B3061A" w:rsidRDefault="00841B10">
      <w:pPr>
        <w:pStyle w:val="Bodypara"/>
      </w:pPr>
      <w:r>
        <w:t>An owner of a transmission project that receives UDRs must, among other obligations, submit outage data or other operational information i</w:t>
      </w:r>
      <w:r>
        <w:t xml:space="preserve">n accordance with the ISO procedures to allow the ISO </w:t>
      </w:r>
      <w:r>
        <w:rPr>
          <w:rFonts w:eastAsia="Times New Roman"/>
          <w:snapToGrid w:val="0"/>
          <w:szCs w:val="20"/>
        </w:rPr>
        <w:t>to</w:t>
      </w:r>
      <w:r>
        <w:t xml:space="preserve"> determine the number of UDRs associated with the transmission facility.</w:t>
      </w:r>
    </w:p>
    <w:p w:rsidR="00B3061A" w:rsidRDefault="00841B10">
      <w:pPr>
        <w:pStyle w:val="Heading4"/>
      </w:pPr>
      <w:r>
        <w:t>5.12.5.4</w:t>
      </w:r>
      <w:r>
        <w:tab/>
        <w:t>Transmission Projects Granted External-to ROS Deliverability Rights</w:t>
      </w:r>
    </w:p>
    <w:p w:rsidR="00B3061A" w:rsidRDefault="00841B10">
      <w:pPr>
        <w:pStyle w:val="Bodypara"/>
      </w:pPr>
      <w:r>
        <w:t xml:space="preserve">An </w:t>
      </w:r>
      <w:r>
        <w:rPr>
          <w:spacing w:val="-1"/>
        </w:rPr>
        <w:t>owner</w:t>
      </w:r>
      <w:r>
        <w:t xml:space="preserve"> of a</w:t>
      </w:r>
      <w:r>
        <w:rPr>
          <w:spacing w:val="-1"/>
        </w:rPr>
        <w:t xml:space="preserve"> transmission</w:t>
      </w:r>
      <w:r>
        <w:t xml:space="preserve"> project that receives E</w:t>
      </w:r>
      <w:r>
        <w:t>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or other </w:t>
      </w:r>
      <w:r>
        <w:rPr>
          <w:spacing w:val="-1"/>
        </w:rPr>
        <w:t>operational</w:t>
      </w:r>
      <w:r>
        <w:t xml:space="preserve"> information when determined applicable by the ISO and in accordance with ISO Procedures</w:t>
      </w:r>
      <w:r>
        <w:rPr>
          <w:spacing w:val="-1"/>
        </w:rPr>
        <w:t>.</w:t>
      </w:r>
    </w:p>
    <w:p w:rsidR="00B3061A" w:rsidRDefault="00841B10">
      <w:pPr>
        <w:pStyle w:val="Heading3"/>
      </w:pPr>
      <w:bookmarkStart w:id="14" w:name="_Toc261446154"/>
      <w:r>
        <w:t>5.12.6</w:t>
      </w:r>
      <w:r>
        <w:tab/>
      </w:r>
      <w:r>
        <w:rPr>
          <w:szCs w:val="24"/>
        </w:rPr>
        <w:t xml:space="preserve">Capacity Calculations, </w:t>
      </w:r>
      <w:r>
        <w:t>Operating Data Default, Value and Collection</w:t>
      </w:r>
      <w:bookmarkEnd w:id="14"/>
    </w:p>
    <w:p w:rsidR="00B3061A" w:rsidRDefault="00841B10">
      <w:pPr>
        <w:pStyle w:val="Heading4"/>
      </w:pPr>
      <w:bookmarkStart w:id="15" w:name="_Toc261446155"/>
      <w:r>
        <w:t>5.12.6.1</w:t>
      </w:r>
      <w:r>
        <w:tab/>
        <w:t>ICAP Cal</w:t>
      </w:r>
      <w:r>
        <w:t>culation for Behind-the-Meter Net Generation Resources</w:t>
      </w:r>
    </w:p>
    <w:p w:rsidR="00B3061A" w:rsidRDefault="00841B10">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w:t>
      </w:r>
      <w:r>
        <w:t>’s Adjusted Host Load in accordance with this Tariff and ISO Procedures.</w:t>
      </w:r>
    </w:p>
    <w:p w:rsidR="00B3061A" w:rsidRDefault="00841B10">
      <w:pPr>
        <w:pStyle w:val="Heading4"/>
      </w:pPr>
      <w:r>
        <w:t>5.12.6.1.1</w:t>
      </w:r>
      <w:r>
        <w:tab/>
        <w:t>Adjusted DMGC</w:t>
      </w:r>
    </w:p>
    <w:p w:rsidR="00B3061A" w:rsidRDefault="00841B10">
      <w:pPr>
        <w:pStyle w:val="Bodypara"/>
      </w:pPr>
      <w:r>
        <w:t>The ISO’s calculation of the Adjusted DMGC of a Behind-the-Meter Net Generation Resource shall be the least of: (i) its DMGC for the Capability Period; (ii) i</w:t>
      </w:r>
      <w:r>
        <w:t xml:space="preserve">ts Adjusted Host Load plus its applicable Injection Limit; and (iii) its Adjusted Host Load plus the number of MW of CRIS it has obtained, as determined in accordance with OATT Section 25 (OATT Attachment S) and ISO Procedures.  </w:t>
      </w:r>
    </w:p>
    <w:p w:rsidR="00B3061A" w:rsidRDefault="00841B10">
      <w:pPr>
        <w:pStyle w:val="Bodypara"/>
      </w:pPr>
      <w:r>
        <w:t xml:space="preserve">If the Station Power of a </w:t>
      </w:r>
      <w:r>
        <w:t xml:space="preserve">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w:t>
      </w:r>
      <w:r>
        <w:t xml:space="preserve">m a DMNC Test instead of a DMGC Test pursuant to ISO Procedures.  Such election must be made in writing to the ISO prior to the start of the DMNC Test Period.  </w:t>
      </w:r>
    </w:p>
    <w:p w:rsidR="00B3061A" w:rsidRDefault="00841B10">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w:t>
      </w:r>
      <w:r>
        <w:t xml:space="preserve"> shall be used in lieu of a DMGC value in the calculation of the Resource’s Adjusted DMGC for the purposes of Sections 5.12.6.1 and 5.12.6.2 of this Services Tariff. </w:t>
      </w:r>
    </w:p>
    <w:p w:rsidR="00B3061A" w:rsidRDefault="00841B10">
      <w:pPr>
        <w:pStyle w:val="Heading4"/>
      </w:pPr>
      <w:r>
        <w:t>5.12.6.1.2</w:t>
      </w:r>
      <w:r>
        <w:tab/>
        <w:t>Adjusted Host Load</w:t>
      </w:r>
    </w:p>
    <w:p w:rsidR="00B3061A" w:rsidRDefault="00841B10">
      <w:pPr>
        <w:pStyle w:val="Bodypara"/>
      </w:pPr>
      <w:r>
        <w:t xml:space="preserve">A Behind-the-Meter Net Generation Resource’s Adjusted Host </w:t>
      </w:r>
      <w:r>
        <w:t xml:space="preserve">Load shall be equal to the product of the </w:t>
      </w:r>
      <w:r>
        <w:rPr>
          <w:rFonts w:eastAsia="Times New Roman"/>
          <w:snapToGrid w:val="0"/>
          <w:szCs w:val="20"/>
        </w:rPr>
        <w:t>Average</w:t>
      </w:r>
      <w:r>
        <w:t xml:space="preserve"> Coincident Host Load multiplied by one plus the Installed Reserve Margin.</w:t>
      </w:r>
    </w:p>
    <w:p w:rsidR="00B3061A" w:rsidRDefault="00841B10">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w:t>
      </w:r>
      <w:r>
        <w:t xml:space="preserve">ccordance with ISO Procedures, based upon the Behind-the-Meter Net Generation Resource’s Average Coincident Host Load for the prior Summer Capability Period and the Winter Capability Period before that.  </w:t>
      </w:r>
    </w:p>
    <w:p w:rsidR="00B3061A" w:rsidRDefault="00841B10">
      <w:pPr>
        <w:pStyle w:val="Heading4"/>
      </w:pPr>
      <w:r>
        <w:t>5.12.6.1.2.1</w:t>
      </w:r>
      <w:r>
        <w:tab/>
        <w:t>Average Coincident Host Load</w:t>
      </w:r>
    </w:p>
    <w:p w:rsidR="00B3061A" w:rsidRDefault="00841B10">
      <w:pPr>
        <w:pStyle w:val="Bodypara"/>
      </w:pPr>
      <w:r>
        <w:t xml:space="preserve">The ISO </w:t>
      </w:r>
      <w:r>
        <w:t>must receive the Behind-the-Meter Net Generation Resource’s applicable metered Load data required to calculate an Average Coincident Host Load in accordance with ISO Procedures.  The ISO shall compute the Average Coincident Host Load for each Capability Ye</w:t>
      </w:r>
      <w:r>
        <w:t xml:space="preserv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by the ISO in relation to developing the NYCA Minimum Insta</w:t>
      </w:r>
      <w:r>
        <w:t xml:space="preserve">lled Capacity Requirement in accordance with ISO Procedures.    </w:t>
      </w:r>
    </w:p>
    <w:p w:rsidR="00B3061A" w:rsidRDefault="00841B10">
      <w:pPr>
        <w:pStyle w:val="Bodypara"/>
      </w:pPr>
      <w:r>
        <w:t>For each Capability Year, the NYISO shall use the average of the highest twenty (20) one-hour peak Loads of the Host Load of the Behind-the-Meter Net Generation Resource that occur during the</w:t>
      </w:r>
      <w:r>
        <w:t xml:space="preserv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B3061A" w:rsidRDefault="00841B10">
      <w:pPr>
        <w:pStyle w:val="Bodypara"/>
      </w:pPr>
      <w:r>
        <w:t>If a facility meets the criteria to be, and has not previously been, a Behind-the-Meter N</w:t>
      </w:r>
      <w:r>
        <w:t xml:space="preserve">et Generation Resource, but does not have all of the appropriate meter data, its Average Coincident Host Load shall be a value forecasted by the Behind-the-Meter Net Generation Resource.  The Behind-the-Meter Net </w:t>
      </w:r>
      <w:r>
        <w:rPr>
          <w:rFonts w:eastAsia="Times New Roman"/>
          <w:snapToGrid w:val="0"/>
          <w:szCs w:val="20"/>
        </w:rPr>
        <w:t>Generation</w:t>
      </w:r>
      <w:r>
        <w:t xml:space="preserve"> Resource’s forecast shall be bas</w:t>
      </w:r>
      <w:r>
        <w:t xml:space="preserve">ed on actual meter data, or if not available, billing data or other business data of the Host Load.  An estimated Average Coincident Host Load can only be applicable to a Behind-the-Meter Net Generation Resource until actual data becomes available, but in </w:t>
      </w:r>
      <w:r>
        <w:t xml:space="preserve">any event no longer than three (3) consecutive Capability Years beginning with the Capability Year it is first an Installed Capacity Supplier.  </w:t>
      </w:r>
    </w:p>
    <w:p w:rsidR="00B3061A" w:rsidRDefault="00841B10">
      <w:pPr>
        <w:pStyle w:val="Heading4"/>
      </w:pPr>
      <w:r>
        <w:t>5.12.6.1.2.2</w:t>
      </w:r>
      <w:r>
        <w:tab/>
        <w:t xml:space="preserve">Determination of Adjusted Host Load </w:t>
      </w:r>
    </w:p>
    <w:p w:rsidR="00B3061A" w:rsidRDefault="00841B10">
      <w:pPr>
        <w:pStyle w:val="Bodypara"/>
      </w:pPr>
      <w:r>
        <w:t>After the ISO has calculated a Behind-the-Meter Net Generatio</w:t>
      </w:r>
      <w:r>
        <w:t xml:space="preserve">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the Resource’s Average Coincident Host Load for the Capa</w:t>
      </w:r>
      <w:r>
        <w:t xml:space="preserve">bility Year by the quantity of one plus the NYCA Installed Reserve Margin. </w:t>
      </w:r>
    </w:p>
    <w:p w:rsidR="00B3061A" w:rsidRDefault="00841B10">
      <w:pPr>
        <w:pStyle w:val="Heading4"/>
      </w:pPr>
      <w:r>
        <w:t>5.12.6.2</w:t>
      </w:r>
      <w:r>
        <w:tab/>
        <w:t>UCAP Calculations</w:t>
      </w:r>
      <w:bookmarkEnd w:id="15"/>
    </w:p>
    <w:p w:rsidR="00B3061A" w:rsidRDefault="00841B10">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w:t>
      </w:r>
      <w:r>
        <w:t>ordance with formulae provided in the ISO Procedures.  A Resource’s Unforced Capacity will be the applicable Adjusted Installed Capacity multiplied by the quantity of 1 minus the Resource’s derating factor.</w:t>
      </w:r>
    </w:p>
    <w:p w:rsidR="00B3061A" w:rsidRDefault="00841B10">
      <w:pPr>
        <w:pStyle w:val="Bodypara"/>
      </w:pPr>
      <w:r>
        <w:t xml:space="preserve">The </w:t>
      </w:r>
      <w:r>
        <w:rPr>
          <w:rFonts w:eastAsia="Times New Roman"/>
          <w:snapToGrid w:val="0"/>
          <w:szCs w:val="20"/>
        </w:rPr>
        <w:t>amount</w:t>
      </w:r>
      <w:r>
        <w:t xml:space="preserve"> of Unforced Capacity that each Generat</w:t>
      </w:r>
      <w:r>
        <w:t>or, except for the Generator of a Behind-the-Meter Net Generation Resource, System Resource, Energy Limited Resource, Special Case Resource, and municipally-owned generation is authorized to supply in the NYCA shall be based on the ISO’s calculations of in</w:t>
      </w:r>
      <w:r>
        <w:t>dividual Equivalent Demand Forced Outage Rates. The amount of Unforced Capacity that each Energy Storage Resource is authorized to supply in the NYCA shall be based on the individual availability of the Energy Storage Resource in the Real-Time Market and c</w:t>
      </w:r>
      <w:r>
        <w:t>alculated by the ISO in accordance with ISO Procedures.  Except as provided in Section 5.12.6.2.1 of this Services Tariff, this calculation shall not include hours in any month that the Energy Storage Resource was in an outage state that started on or afte</w:t>
      </w:r>
      <w:r>
        <w:t>r May 1, 2015 and that precluded its eligibility to participate in the Installed Capacity market.  The amount of Unforced Capacity that each Control Area System Resource is authorized to supply in the NYCA shall be based on the ISO’s calculation of each Co</w:t>
      </w:r>
      <w:r>
        <w:t>ntrol Area System Resource’s availability.  The amount of Unforced Capacity that each Intermittent Power Resource is authorized to supply in the NYCA shall be based on the ISO’s calculation of the amount of capacity that the Intermittent Power Resource can</w:t>
      </w:r>
      <w:r>
        <w:t xml:space="preserve"> reliably provide during system peak Load hours in accordance with ISO Procedures</w:t>
      </w:r>
      <w:bookmarkStart w:id="16" w:name="_cp_text_1_56"/>
      <w:r>
        <w:t xml:space="preserve">.  </w:t>
      </w:r>
    </w:p>
    <w:p w:rsidR="00B3061A" w:rsidRDefault="00841B10">
      <w:pPr>
        <w:pStyle w:val="Bodypara"/>
      </w:pPr>
      <w:r>
        <w:t>Starting with the Capability Year beginning May 1, 2021, this calculation will be weighted according to the respective Peak Load Window weighting factors provided in the t</w:t>
      </w:r>
      <w:r>
        <w:t>able below.  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B3558D">
        <w:trPr>
          <w:trHeight w:val="636"/>
        </w:trPr>
        <w:tc>
          <w:tcPr>
            <w:tcW w:w="1260" w:type="dxa"/>
            <w:shd w:val="clear" w:color="auto" w:fill="auto"/>
            <w:noWrap/>
            <w:vAlign w:val="bottom"/>
            <w:hideMark/>
          </w:tcPr>
          <w:p w:rsidR="00B3061A" w:rsidRDefault="00841B10">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B3061A" w:rsidRDefault="00841B10">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B3061A" w:rsidRDefault="00841B10">
            <w:pPr>
              <w:spacing w:after="0" w:line="240" w:lineRule="auto"/>
              <w:jc w:val="center"/>
              <w:rPr>
                <w:rFonts w:eastAsia="Times New Roman" w:cs="Calibri"/>
                <w:color w:val="000000"/>
              </w:rPr>
            </w:pPr>
            <w:r>
              <w:rPr>
                <w:rFonts w:eastAsia="Times New Roman" w:cs="Calibri"/>
                <w:color w:val="000000"/>
              </w:rPr>
              <w:t>Winter Peak Load Window</w:t>
            </w:r>
          </w:p>
        </w:tc>
      </w:tr>
      <w:tr w:rsidR="00B3558D">
        <w:trPr>
          <w:trHeight w:val="570"/>
        </w:trPr>
        <w:tc>
          <w:tcPr>
            <w:tcW w:w="1260" w:type="dxa"/>
            <w:shd w:val="clear" w:color="auto" w:fill="auto"/>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8 Hour</w:t>
            </w:r>
          </w:p>
        </w:tc>
      </w:tr>
      <w:tr w:rsidR="00B3558D">
        <w:trPr>
          <w:trHeight w:val="285"/>
        </w:trPr>
        <w:tc>
          <w:tcPr>
            <w:tcW w:w="126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p>
        </w:tc>
        <w:tc>
          <w:tcPr>
            <w:tcW w:w="1020" w:type="dxa"/>
            <w:shd w:val="clear" w:color="auto" w:fill="auto"/>
            <w:noWrap/>
            <w:vAlign w:val="center"/>
            <w:hideMark/>
          </w:tcPr>
          <w:p w:rsidR="00B3061A" w:rsidRDefault="00841B10">
            <w:pPr>
              <w:spacing w:after="0" w:line="240" w:lineRule="auto"/>
              <w:jc w:val="center"/>
              <w:rPr>
                <w:rFonts w:ascii="Times New Roman" w:eastAsia="Times New Roman" w:hAnsi="Times New Roman"/>
                <w:sz w:val="20"/>
                <w:szCs w:val="20"/>
              </w:rPr>
            </w:pPr>
          </w:p>
        </w:tc>
      </w:tr>
      <w:tr w:rsidR="00B3558D">
        <w:trPr>
          <w:trHeight w:val="285"/>
        </w:trPr>
        <w:tc>
          <w:tcPr>
            <w:tcW w:w="126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p>
        </w:tc>
        <w:tc>
          <w:tcPr>
            <w:tcW w:w="1020" w:type="dxa"/>
            <w:shd w:val="clear" w:color="auto" w:fill="auto"/>
            <w:noWrap/>
            <w:vAlign w:val="center"/>
            <w:hideMark/>
          </w:tcPr>
          <w:p w:rsidR="00B3061A" w:rsidRDefault="00841B10">
            <w:pPr>
              <w:spacing w:after="0" w:line="240" w:lineRule="auto"/>
              <w:jc w:val="center"/>
              <w:rPr>
                <w:rFonts w:ascii="Times New Roman" w:eastAsia="Times New Roman" w:hAnsi="Times New Roman"/>
                <w:sz w:val="20"/>
                <w:szCs w:val="20"/>
              </w:rPr>
            </w:pPr>
          </w:p>
        </w:tc>
      </w:tr>
      <w:tr w:rsidR="00B3558D">
        <w:trPr>
          <w:trHeight w:val="285"/>
        </w:trPr>
        <w:tc>
          <w:tcPr>
            <w:tcW w:w="126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5.00%</w:t>
            </w:r>
          </w:p>
        </w:tc>
      </w:tr>
      <w:tr w:rsidR="00B3558D">
        <w:trPr>
          <w:trHeight w:val="285"/>
        </w:trPr>
        <w:tc>
          <w:tcPr>
            <w:tcW w:w="126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5.00%</w:t>
            </w:r>
          </w:p>
        </w:tc>
      </w:tr>
      <w:tr w:rsidR="00B3558D">
        <w:trPr>
          <w:trHeight w:val="285"/>
        </w:trPr>
        <w:tc>
          <w:tcPr>
            <w:tcW w:w="126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17.50%</w:t>
            </w:r>
          </w:p>
        </w:tc>
      </w:tr>
      <w:tr w:rsidR="00B3558D">
        <w:trPr>
          <w:trHeight w:val="285"/>
        </w:trPr>
        <w:tc>
          <w:tcPr>
            <w:tcW w:w="126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17.50%</w:t>
            </w:r>
          </w:p>
        </w:tc>
      </w:tr>
      <w:tr w:rsidR="00B3558D">
        <w:trPr>
          <w:trHeight w:val="285"/>
        </w:trPr>
        <w:tc>
          <w:tcPr>
            <w:tcW w:w="126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17.50%</w:t>
            </w:r>
          </w:p>
        </w:tc>
      </w:tr>
      <w:tr w:rsidR="00B3558D">
        <w:trPr>
          <w:trHeight w:val="285"/>
        </w:trPr>
        <w:tc>
          <w:tcPr>
            <w:tcW w:w="126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17.50%</w:t>
            </w:r>
          </w:p>
        </w:tc>
      </w:tr>
      <w:tr w:rsidR="00B3558D">
        <w:trPr>
          <w:trHeight w:val="285"/>
        </w:trPr>
        <w:tc>
          <w:tcPr>
            <w:tcW w:w="126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p>
        </w:tc>
        <w:tc>
          <w:tcPr>
            <w:tcW w:w="1070" w:type="dxa"/>
            <w:shd w:val="clear" w:color="auto" w:fill="auto"/>
            <w:noWrap/>
            <w:vAlign w:val="center"/>
            <w:hideMark/>
          </w:tcPr>
          <w:p w:rsidR="00B3061A" w:rsidRDefault="00841B10">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10.00%</w:t>
            </w:r>
          </w:p>
        </w:tc>
      </w:tr>
      <w:tr w:rsidR="00B3558D">
        <w:trPr>
          <w:trHeight w:val="285"/>
        </w:trPr>
        <w:tc>
          <w:tcPr>
            <w:tcW w:w="126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B3061A" w:rsidRDefault="00841B10">
            <w:pPr>
              <w:spacing w:after="0" w:line="240" w:lineRule="auto"/>
              <w:jc w:val="center"/>
              <w:rPr>
                <w:rFonts w:eastAsia="Times New Roman" w:cs="Calibri"/>
                <w:color w:val="000000"/>
              </w:rPr>
            </w:pPr>
          </w:p>
        </w:tc>
        <w:tc>
          <w:tcPr>
            <w:tcW w:w="1070" w:type="dxa"/>
            <w:shd w:val="clear" w:color="auto" w:fill="auto"/>
            <w:noWrap/>
            <w:vAlign w:val="center"/>
            <w:hideMark/>
          </w:tcPr>
          <w:p w:rsidR="00B3061A" w:rsidRDefault="00841B10">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B3061A" w:rsidRDefault="00841B10">
            <w:pPr>
              <w:spacing w:after="0" w:line="240" w:lineRule="auto"/>
              <w:jc w:val="center"/>
              <w:rPr>
                <w:rFonts w:eastAsia="Times New Roman" w:cs="Calibri"/>
                <w:color w:val="000000"/>
              </w:rPr>
            </w:pPr>
            <w:r>
              <w:rPr>
                <w:rFonts w:eastAsia="Times New Roman" w:cs="Calibri"/>
                <w:color w:val="000000"/>
              </w:rPr>
              <w:t>10.00%</w:t>
            </w:r>
          </w:p>
        </w:tc>
      </w:tr>
    </w:tbl>
    <w:p w:rsidR="00B3061A" w:rsidRDefault="00841B10">
      <w:pPr>
        <w:pStyle w:val="Bodypara"/>
        <w:ind w:firstLine="0"/>
      </w:pPr>
    </w:p>
    <w:p w:rsidR="00B3061A" w:rsidRDefault="00841B10">
      <w:pPr>
        <w:pStyle w:val="Bodypara"/>
      </w:pPr>
      <w:r>
        <w:t xml:space="preserve">Except as </w:t>
      </w:r>
      <w:bookmarkEnd w:id="16"/>
      <w:r>
        <w:t xml:space="preserve">provided in </w:t>
      </w:r>
      <w:r>
        <w:t xml:space="preserve">Section 5.12.6.2.1 of this Services Tariff, this calculation shall not include hours in any month that the Intermittent Power Resource was in an outage state that started on or after May 1, 2015 and that precluded its eligibility to participate in the </w:t>
      </w:r>
      <w:bookmarkStart w:id="17" w:name="_cp_text_2_62"/>
      <w:r>
        <w:t>Inst</w:t>
      </w:r>
      <w:r>
        <w:t xml:space="preserve">alled Capacity </w:t>
      </w:r>
      <w:bookmarkEnd w:id="17"/>
      <w:r>
        <w:t xml:space="preserve">market.  The amount of Unforced Capacity that each Limited Control Run-of-River Hydro Resource is authorized to provide in the NYCA shall be determined separately for Summer and Winter Capability Periods as the rolling average of the hourly </w:t>
      </w:r>
      <w:r>
        <w:t>net Energy provided by each such Resource during the 20 highest NYCA integrated real-time load hours in each of the five previous Summer or Winter Capability Periods, as appropriate, stated in megawatts.  Except as provided in Section 5.12.6.2.1 of this</w:t>
      </w:r>
      <w:r>
        <w:rPr>
          <w:bCs/>
        </w:rPr>
        <w:t xml:space="preserve"> Se</w:t>
      </w:r>
      <w:r>
        <w:rPr>
          <w:bCs/>
        </w:rPr>
        <w:t>rvices Tariff</w:t>
      </w:r>
      <w:r>
        <w:t xml:space="preserve">, for a Limited Control Run-of-River Hydro Resource in an outage state that started on or after May 1, 2015 and that precluded its </w:t>
      </w:r>
      <w:bookmarkStart w:id="18" w:name="_cp_text_2_72"/>
      <w:r>
        <w:t xml:space="preserve">eligibility </w:t>
      </w:r>
      <w:bookmarkEnd w:id="18"/>
      <w:r>
        <w:t xml:space="preserve">to participate in the Installed Capacity market during </w:t>
      </w:r>
      <w:r>
        <w:rPr>
          <w:bCs/>
        </w:rPr>
        <w:t>one of the 20 highest NYCA integrated real-ti</w:t>
      </w:r>
      <w:r>
        <w:rPr>
          <w:bCs/>
        </w:rPr>
        <w:t>me load hours</w:t>
      </w:r>
      <w:r>
        <w:t xml:space="preserve"> in </w:t>
      </w:r>
      <w:r>
        <w:rPr>
          <w:bCs/>
        </w:rPr>
        <w:t xml:space="preserve">any one of </w:t>
      </w:r>
      <w:r>
        <w:t xml:space="preserve">the five previous Summer or Winter Capability Periods, the </w:t>
      </w:r>
      <w:r>
        <w:rPr>
          <w:bCs/>
        </w:rPr>
        <w:t xml:space="preserve">ISO shall replace that Winter or Summer Capability Period, as appropriate, with the next most recent Winter or Summer Capability Period such that the </w:t>
      </w:r>
      <w:r>
        <w:t xml:space="preserve">rolling average of </w:t>
      </w:r>
      <w:r>
        <w:t xml:space="preserve">the hourly net Energy provided by each such Resource shall be calculated from the </w:t>
      </w:r>
      <w:r>
        <w:rPr>
          <w:bCs/>
        </w:rPr>
        <w:t>20</w:t>
      </w:r>
      <w:r>
        <w:t xml:space="preserve"> highest NYCA integrated real-time load hours in the five </w:t>
      </w:r>
      <w:r>
        <w:rPr>
          <w:bCs/>
        </w:rPr>
        <w:t xml:space="preserve">most recent </w:t>
      </w:r>
      <w:r>
        <w:t>prior Summer or Winter Capability Periods in which the Resource was not in an outage state that preclu</w:t>
      </w:r>
      <w:r>
        <w:t>ded its eligibility</w:t>
      </w:r>
      <w:bookmarkStart w:id="19" w:name="_cp_text_2_83"/>
      <w:r>
        <w:t xml:space="preserve"> </w:t>
      </w:r>
      <w:bookmarkEnd w:id="19"/>
      <w:r>
        <w:t xml:space="preserve">to participate in the Installed Capacity market </w:t>
      </w:r>
      <w:r>
        <w:rPr>
          <w:bCs/>
        </w:rPr>
        <w:t>on one of the 20 highest NYCA integrated real-time load hours in that Capability Period.</w:t>
      </w:r>
      <w:r>
        <w:t xml:space="preserve"> </w:t>
      </w:r>
    </w:p>
    <w:p w:rsidR="00B3061A" w:rsidRDefault="00841B10">
      <w:pPr>
        <w:pStyle w:val="Bodypara"/>
      </w:pPr>
      <w:r>
        <w:t>Prior to Capability Year beginning May 1, 2021, the ISO shall calculate separate Summer and Winter</w:t>
      </w:r>
      <w:r>
        <w:t xml:space="preserve"> Capability Period Unforced Capacity values for each Generator, System Resource, Special Case Resource, Energy Limited Resource, and municipally owned generation and update them periodically using a twelve-month calculation.  </w:t>
      </w:r>
      <w:r w:rsidRPr="00784B72">
        <w:t>Starting with the Capability Y</w:t>
      </w:r>
      <w:r w:rsidRPr="00784B72">
        <w:t xml:space="preserve">ear beginning May 1, 2021, the ISO shall calculate separate Summer and Winter Capability Period Unforced Capacity values for each Special Case Resource and update them periodically using a twelve-month calculation in accordance with ISO Procedures.  </w:t>
      </w:r>
      <w:r>
        <w:t>Starti</w:t>
      </w:r>
      <w:r>
        <w:t xml:space="preserve">ng with the Capability Year beginning May 1, 2021, the calculation </w:t>
      </w:r>
      <w:r w:rsidRPr="00784B72">
        <w:t xml:space="preserve">for each Generator, System Resource, Energy Limited Resource, and municipally owned generation </w:t>
      </w:r>
      <w:r>
        <w:t xml:space="preserve">will use the months comprising the two most recent like Capability Periods in accordance with </w:t>
      </w:r>
      <w:r>
        <w:t>formulae provided in the ISO Procedures</w:t>
      </w:r>
      <w:bookmarkStart w:id="20" w:name="_cp_text_1_88"/>
      <w:r>
        <w:t xml:space="preserve">; </w:t>
      </w:r>
      <w:bookmarkEnd w:id="20"/>
      <w:r>
        <w:t>provided</w:t>
      </w:r>
      <w:r>
        <w:rPr>
          <w:b/>
        </w:rPr>
        <w:t xml:space="preserve">, </w:t>
      </w:r>
      <w:r>
        <w:t xml:space="preserve">however, except as provided in Section 5.12.6.2.1 of this Services Tariff, for a Generator in an outage state that started on or after May 1, 2015 and that precluded its eligibility to participate in the </w:t>
      </w:r>
      <w:r>
        <w:t>Installed Capacity market at any time during any month from which GADS or other</w:t>
      </w:r>
      <w:r>
        <w:rPr>
          <w:b/>
        </w:rPr>
        <w:t xml:space="preserve"> </w:t>
      </w:r>
      <w:r>
        <w:t>operating data would otherwise be used to calculate an individual Equivalent Demand Forced Outage Rate, the ISO shall replace such month’s GADS or other operating data with GAD</w:t>
      </w:r>
      <w:r>
        <w:t>S or other operating data from the most recent like month in which the Generator was not in an outage state that precluded its eligibility to participate in the Installed Capacity market.</w:t>
      </w:r>
    </w:p>
    <w:p w:rsidR="00B3061A" w:rsidRDefault="00841B10">
      <w:pPr>
        <w:pStyle w:val="Bodypara"/>
      </w:pPr>
      <w:r>
        <w:t>The ISO shall calculate separate Summer and Winter Capability Period</w:t>
      </w:r>
      <w:r>
        <w:t xml:space="preserve"> Unforced Capacity values for Energy Storage Resources and update them seasonally as described in ISO Procedures.</w:t>
      </w:r>
    </w:p>
    <w:p w:rsidR="00B3061A" w:rsidRDefault="00841B10">
      <w:pPr>
        <w:pStyle w:val="Bodypara"/>
      </w:pPr>
      <w:r>
        <w:t>The ISO shall calculate separate Summer and Winter Capability Period Unforced Capacity values for Intermittent Power Resources and update them</w:t>
      </w:r>
      <w:r>
        <w:t xml:space="preserve"> seasonally as described in ISO Procedures.</w:t>
      </w:r>
    </w:p>
    <w:p w:rsidR="00B3061A" w:rsidRDefault="00841B10">
      <w:pPr>
        <w:pStyle w:val="Bodypara"/>
      </w:pPr>
      <w:r>
        <w:t xml:space="preserve">The amount of Unforced Capacity that each Behind-the-Meter Net Generation Resource is authorized to supply in the NYCA shall be its Net-UCAP.  Net-UCAP is the lesser of (i) the ISO’s calculation of the Generator </w:t>
      </w:r>
      <w:r>
        <w:t>of the Behind-the-Meter Net Generation Resource Adjusted DMGC multiplied by one minus its Equivalent Demand Forced Outage Rate, and then decreased by its Adjusted Host Load translated into Unforced Capacity terms consistent with Section 5.11.1 of this Tari</w:t>
      </w:r>
      <w:r>
        <w:t>ff, and (ii) the Resource’s Net-ICAP.</w:t>
      </w:r>
    </w:p>
    <w:p w:rsidR="00B3061A" w:rsidRDefault="00841B10">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B3061A" w:rsidRDefault="00841B10">
      <w:pPr>
        <w:widowControl w:val="0"/>
        <w:spacing w:after="0" w:line="480" w:lineRule="auto"/>
        <w:ind w:firstLine="720"/>
        <w:rPr>
          <w:rFonts w:ascii="Times New Roman" w:hAnsi="Times New Roman"/>
          <w:sz w:val="24"/>
          <w:szCs w:val="24"/>
        </w:rPr>
      </w:pPr>
      <w:r>
        <w:rPr>
          <w:rFonts w:ascii="Times New Roman" w:hAnsi="Times New Roman"/>
          <w:sz w:val="24"/>
          <w:szCs w:val="24"/>
        </w:rPr>
        <w:t>A Resource returning to the Energy market after taking an outage that precluded its participation in the Installed Capacity market and which returns with modifications to its operating characteris</w:t>
      </w:r>
      <w:r>
        <w:rPr>
          <w:rFonts w:ascii="Times New Roman" w:hAnsi="Times New Roman"/>
          <w:sz w:val="24"/>
          <w:szCs w:val="24"/>
        </w:rPr>
        <w:t>tics determined by the ISO to be material and which, therefore, requires the submission of a new Interconnection Request will receive, as the initial derating factor for calculation of the Resource’s Unforced Capacity upon its return to service,</w:t>
      </w:r>
      <w:r>
        <w:rPr>
          <w:rFonts w:ascii="Times New Roman" w:hAnsi="Times New Roman"/>
          <w:b/>
          <w:sz w:val="24"/>
          <w:szCs w:val="24"/>
        </w:rPr>
        <w:t xml:space="preserve"> </w:t>
      </w:r>
      <w:r>
        <w:rPr>
          <w:rFonts w:ascii="Times New Roman" w:hAnsi="Times New Roman"/>
          <w:sz w:val="24"/>
          <w:szCs w:val="24"/>
        </w:rPr>
        <w:t>the derati</w:t>
      </w:r>
      <w:r>
        <w:rPr>
          <w:rFonts w:ascii="Times New Roman" w:hAnsi="Times New Roman"/>
          <w:sz w:val="24"/>
          <w:szCs w:val="24"/>
        </w:rPr>
        <w:t xml:space="preserve">ng factor it would have received as a newly connecting unit in lieu of a derating factor developed from unit-specific data.  </w:t>
      </w:r>
      <w:bookmarkStart w:id="21" w:name="_cp_text_1_122"/>
      <w:r>
        <w:rPr>
          <w:rFonts w:ascii="Times New Roman" w:hAnsi="Times New Roman"/>
          <w:sz w:val="24"/>
          <w:szCs w:val="24"/>
        </w:rPr>
        <w:t xml:space="preserve">A </w:t>
      </w:r>
      <w:bookmarkEnd w:id="21"/>
      <w:r>
        <w:rPr>
          <w:rFonts w:ascii="Times New Roman" w:hAnsi="Times New Roman"/>
          <w:sz w:val="24"/>
          <w:szCs w:val="24"/>
        </w:rPr>
        <w:t>Resource returning to the Energy market after taking an outage that precluded its  participation in the Installed Capacity market</w:t>
      </w:r>
      <w:r>
        <w:rPr>
          <w:rFonts w:ascii="Times New Roman" w:hAnsi="Times New Roman"/>
          <w:sz w:val="24"/>
          <w:szCs w:val="24"/>
        </w:rPr>
        <w:t xml:space="preserve"> </w:t>
      </w:r>
      <w:bookmarkStart w:id="22" w:name="_cp_text_2_129"/>
      <w:r>
        <w:rPr>
          <w:rFonts w:ascii="Times New Roman" w:hAnsi="Times New Roman"/>
          <w:sz w:val="24"/>
          <w:szCs w:val="24"/>
        </w:rPr>
        <w:t xml:space="preserve">and which, upon </w:t>
      </w:r>
      <w:bookmarkEnd w:id="22"/>
      <w:r>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Resource’s Unforced Capacity upon its retu</w:t>
      </w:r>
      <w:r>
        <w:rPr>
          <w:rFonts w:ascii="Times New Roman" w:hAnsi="Times New Roman"/>
          <w:sz w:val="24"/>
          <w:szCs w:val="24"/>
        </w:rPr>
        <w:t>rn to service,</w:t>
      </w:r>
      <w:r>
        <w:rPr>
          <w:rFonts w:ascii="Times New Roman" w:hAnsi="Times New Roman"/>
          <w:b/>
          <w:sz w:val="24"/>
          <w:szCs w:val="24"/>
        </w:rPr>
        <w:t xml:space="preserve"> </w:t>
      </w:r>
      <w:r>
        <w:rPr>
          <w:rFonts w:ascii="Times New Roman" w:hAnsi="Times New Roman"/>
          <w:sz w:val="24"/>
          <w:szCs w:val="24"/>
        </w:rPr>
        <w:t>the default derating factor in lieu of a derating factor developed from unit-specific data even if the modifications to allow use of a new primary fuel are not material and do not require the submission of a new Interconnection Request.</w:t>
      </w:r>
    </w:p>
    <w:p w:rsidR="00B3061A" w:rsidRDefault="00841B10">
      <w:pPr>
        <w:pStyle w:val="Bodypara"/>
      </w:pPr>
      <w:r>
        <w:t>This</w:t>
      </w:r>
      <w:r>
        <w:t xml:space="preserve"> Section 5.12.6.2.1 shall apply to a Resource returning to the Energy market after taking an outage that started on or after May 1, 2015 and that precluded its participation in the Installed Capacity market.</w:t>
      </w:r>
    </w:p>
    <w:p w:rsidR="00B3061A" w:rsidRDefault="00841B10">
      <w:pPr>
        <w:pStyle w:val="Heading4"/>
      </w:pPr>
      <w:bookmarkStart w:id="23" w:name="_Toc261446156"/>
      <w:r>
        <w:t>5.12.6.3</w:t>
      </w:r>
      <w:r>
        <w:tab/>
        <w:t>Default Unforced Capacity</w:t>
      </w:r>
      <w:bookmarkEnd w:id="23"/>
    </w:p>
    <w:p w:rsidR="00B3061A" w:rsidRDefault="00841B10">
      <w:pPr>
        <w:pStyle w:val="Bodypara"/>
      </w:pPr>
      <w:r>
        <w:t>In its calcul</w:t>
      </w:r>
      <w:r>
        <w:t xml:space="preserve">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w:t>
      </w:r>
      <w:r>
        <w:t xml:space="preserve">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an Unforced</w:t>
      </w:r>
      <w:r>
        <w:t xml:space="preserve"> Capacity value for the Resource.</w:t>
      </w:r>
    </w:p>
    <w:p w:rsidR="00B3061A" w:rsidRDefault="00841B10">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B3061A" w:rsidRDefault="00841B10">
      <w:pPr>
        <w:pStyle w:val="Heading4"/>
      </w:pPr>
      <w:bookmarkStart w:id="24" w:name="_Toc261446157"/>
      <w:r>
        <w:t>5.</w:t>
      </w:r>
      <w:r>
        <w:t>12.6.4</w:t>
      </w:r>
      <w:r>
        <w:tab/>
        <w:t>Exception for Certain Equipment Failures</w:t>
      </w:r>
      <w:bookmarkEnd w:id="24"/>
    </w:p>
    <w:p w:rsidR="00B3061A" w:rsidRDefault="00841B10">
      <w:pPr>
        <w:pStyle w:val="Bodypara"/>
      </w:pPr>
      <w:r>
        <w:t>When a Generator, Special Case Resource, Energy Limited Resource, or System Resource is forced into an outage by an equipment failure that involves equipment located on the high voltage side of the electric n</w:t>
      </w:r>
      <w:r>
        <w:t xml:space="preserve">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B3061A" w:rsidRDefault="00841B10">
      <w:pPr>
        <w:pStyle w:val="Heading4"/>
      </w:pPr>
      <w:r>
        <w:t>5.12.6.5</w:t>
      </w:r>
      <w:r>
        <w:tab/>
        <w:t>Unforced Capacity, Outage Data and Operational Informat</w:t>
      </w:r>
      <w:r>
        <w:t>ion Associated with External-to-ROS Deliverability Rights</w:t>
      </w:r>
    </w:p>
    <w:p w:rsidR="00B3061A" w:rsidRDefault="00841B10">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interface associated with each project granted EDRs, in accordance with ISO Procedures.  The availability factor (percentage) of the interfac</w:t>
      </w:r>
      <w:r>
        <w:rPr>
          <w:rFonts w:ascii="Times New Roman" w:hAnsi="Times New Roman"/>
          <w:b w:val="0"/>
          <w:bCs w:val="0"/>
          <w:sz w:val="24"/>
          <w:szCs w:val="24"/>
        </w:rPr>
        <w:t>e will be used to reduce the amount of EDRs for which Unforced Capacity may be offered.  This calculation is distinct from and in addition to the calculation the ISO performs for each Installed Capacity Resource qualified for use with EDRs.</w:t>
      </w:r>
    </w:p>
    <w:p w:rsidR="00B3061A" w:rsidRDefault="00841B10">
      <w:pPr>
        <w:pStyle w:val="Heading3"/>
      </w:pPr>
      <w:bookmarkStart w:id="25" w:name="_Toc261446158"/>
      <w:r>
        <w:t>5.12.7</w:t>
      </w:r>
      <w:r>
        <w:tab/>
        <w:t>Availabi</w:t>
      </w:r>
      <w:r>
        <w:t>lity Requirements</w:t>
      </w:r>
      <w:bookmarkEnd w:id="25"/>
    </w:p>
    <w:p w:rsidR="00B3061A" w:rsidRDefault="00841B10">
      <w:pPr>
        <w:pStyle w:val="Bodypara"/>
      </w:pPr>
      <w:r>
        <w:t>Subsequent to qualifying, each Installed Capacity Supplier shall, except as noted in Section 5.12.11 of this Tariff, on a daily basis: (i) schedule a Bilateral Transaction; (ii) Bid Energy in each hour of the Day-Ahead Market in accordanc</w:t>
      </w:r>
      <w:r>
        <w:t xml:space="preserve">e with the applicable provisions of Section 5.12.1 of this Tariff; or (iii) notify the ISO of any outages.  </w:t>
      </w:r>
    </w:p>
    <w:p w:rsidR="00B3061A" w:rsidRDefault="00841B10">
      <w:pPr>
        <w:pStyle w:val="Bodypara"/>
      </w:pPr>
      <w:r>
        <w:t>Installed Capacity Suppliers with Energy Duration Limitations corresponding to a Duration Adjustment Factor, as described in Section 5.12.14 below,</w:t>
      </w:r>
      <w:r>
        <w:t xml:space="preserve"> must on a daily basis during the Peak Load Window and for the number of consecutive hours that correspond to its Energy Duration Limitation, or for the entirety of the Peak Load Window for an Energy Storage Resource : (i) schedule a Bilateral Transaction;</w:t>
      </w:r>
      <w:r>
        <w:t xml:space="preserve"> (ii) Bid Energy in the Day-Ahead Market in accordance with the applicable provisions of Section 5.12.1 of this Tariff; or (iii) notify the ISO of any outages.  The ISO may adjust the Peak Load Window that Installed Capacity Suppliers with Energy Duration </w:t>
      </w:r>
      <w:r>
        <w:t>Limitations will be responsible for scheduling, bidding, or notifying for, with scheduling or bidding in hours outside the Peak Load Window in Section 5.12.14.  An RMR Generator can only schedule a Bilateral Transaction to the extent expressly authorized i</w:t>
      </w:r>
      <w:r>
        <w:t xml:space="preserve">n its RMR Agreement.  </w:t>
      </w:r>
    </w:p>
    <w:p w:rsidR="00B3061A" w:rsidRDefault="00841B10">
      <w:pPr>
        <w:pStyle w:val="Bodypara"/>
      </w:pPr>
      <w:r>
        <w:t xml:space="preserve">The total amount of Energy that an Installed Capacity Supplier schedules, bids, or declares to be unavailable on a given day must equal or exceed the Installed Capacity Equivalent of the Unforced Capacity it supplies.  </w:t>
      </w:r>
    </w:p>
    <w:p w:rsidR="00B3061A" w:rsidRDefault="00841B10">
      <w:pPr>
        <w:pStyle w:val="Bodypara"/>
      </w:pPr>
      <w:r>
        <w:t>For Energy St</w:t>
      </w:r>
      <w:r>
        <w:t>orage Resources without an Energy Duration Limitation, the total amount of Energy that is scheduled, Bid, or declared to be unavailable shall also include the maximum of the Energy Storage Resource’s (i) negative Installed Capacity Equivalent, or (ii) Lowe</w:t>
      </w:r>
      <w:r>
        <w:t>r Operating Limit, such that amount scheduled, Bid, or declared to be unavailable reflects the entire withdrawal to injection operating range.  Energy Storage Resources with an Energy Duration Limitation must, on a daily basis, and for each hour outside of</w:t>
      </w:r>
      <w:r>
        <w:t xml:space="preserve"> the Peak Load Window:  (i) Bid in the Day-Ahead Market in accordance with the applicable provisions of Section 5.12.1 of this Tariff; or (ii) notify the ISO of any outages, the maximum of the Energy Storage Resource’s (a) negative Installed Capacity Equiv</w:t>
      </w:r>
      <w:r>
        <w:t>alent, or (b) Lower Operating Limit.  The amount scheduled, Bid, and/or declared to be unavailable must reflect the Energy Storage Resource’s entire withdrawal operating range.</w:t>
      </w:r>
      <w:r>
        <w:rPr>
          <w:u w:val="single"/>
        </w:rPr>
        <w:t xml:space="preserve"> </w:t>
      </w:r>
    </w:p>
    <w:p w:rsidR="00B3061A" w:rsidRDefault="00841B10">
      <w:pPr>
        <w:pStyle w:val="Heading3"/>
      </w:pPr>
      <w:bookmarkStart w:id="26" w:name="_Toc261446159"/>
      <w:r>
        <w:t>5.12.8</w:t>
      </w:r>
      <w:r>
        <w:tab/>
        <w:t>Unforced Capacity Sales</w:t>
      </w:r>
      <w:bookmarkEnd w:id="26"/>
    </w:p>
    <w:p w:rsidR="00B3061A" w:rsidRDefault="00841B10">
      <w:pPr>
        <w:pStyle w:val="Bodypara"/>
      </w:pPr>
      <w:r>
        <w:t>Each Installed Capacity Supplier will, after sa</w:t>
      </w:r>
      <w:r>
        <w:t>tisfying the deliverability requirements set forth in the applicable provisions of Attachment X, Attachment Z and Attachment S to the ISO OATT, be authorized to supply an amount of Unforced Capacity during each Obligation Procurement Period, based on separ</w:t>
      </w:r>
      <w:r>
        <w:t xml:space="preserve">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B3061A" w:rsidRDefault="00841B10">
      <w:pPr>
        <w:pStyle w:val="Bodypara"/>
      </w:pPr>
      <w:r>
        <w:t>External Unforced Capacity (except External Install</w:t>
      </w:r>
      <w:r>
        <w:t xml:space="preserve">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w:t>
      </w:r>
      <w:r>
        <w:t xml:space="preserve"> which certify External Unforced Capacity using Import Rights</w:t>
      </w:r>
      <w:r>
        <w:rPr>
          <w:spacing w:val="-1"/>
        </w:rPr>
        <w:t>, EDRs, or External CRIS</w:t>
      </w:r>
      <w:r>
        <w:t xml:space="preserve"> Rights may not be used to satisfy a Locational Minimum Unforced Capacity Requirement.</w:t>
      </w:r>
    </w:p>
    <w:p w:rsidR="00B3061A" w:rsidRDefault="00841B10">
      <w:pPr>
        <w:pStyle w:val="Bodypara"/>
      </w:pPr>
      <w:r>
        <w:t>UCAP from an RMR Generator may only be offered into the ICAP Spot Market Auction, ex</w:t>
      </w:r>
      <w:r>
        <w:t>cept and only to the extent that the RMR Agreement expressly permits the RMR Generator’s UCAP to be certified in a Bilateral Transaction.</w:t>
      </w:r>
    </w:p>
    <w:p w:rsidR="00B3061A" w:rsidRDefault="00841B10">
      <w:pPr>
        <w:pStyle w:val="Bodypara"/>
      </w:pPr>
      <w:r>
        <w:t xml:space="preserve">If an Energy Limited Resource’s, Generator’s, System Resource’s or Control Area System Resource’s DMNC rating, or the </w:t>
      </w:r>
      <w:r>
        <w:t>DMGC rating of a Generator of a Behind-the-Meter Net Generation Resource, if applicable, is determined to have increased during an Obligation Procurement Period, pursuant to testing procedures described in the ISO Procedures, the amount of Unforced Capacit</w:t>
      </w:r>
      <w:r>
        <w:t xml:space="preserve">y that it shall be authorized to supply in that or future Obligation Procurement Periods shall also be increased on a prospective basis in accordance with the schedule set forth in the ISO Procedures provided that it first has satisfied the deliverability </w:t>
      </w:r>
      <w:r>
        <w:t>requirements set forth in the applicable provisions of Attachment X, Attachment Z and Attachment S to the ISO OATT.</w:t>
      </w:r>
    </w:p>
    <w:p w:rsidR="00B3061A" w:rsidRDefault="00841B10">
      <w:pPr>
        <w:pStyle w:val="Bodypara"/>
      </w:pPr>
      <w:r>
        <w:t>New Generators and Generators that have increased their Capacity since the previous Summer Capability Period due to changes in their generat</w:t>
      </w:r>
      <w:r>
        <w:t xml:space="preserve">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w:t>
      </w:r>
      <w:r>
        <w:t xml:space="preserve"> Period based upon a DMNC test, or the DMGC test of a Generator of a Behind-the-Meter Net Generation Resource, that is performed and reported to the ISO after March 1 and prior to the beginning of the Summer Capability Period DMNC Test Period.  The Generat</w:t>
      </w:r>
      <w:r>
        <w:t>or will be required to verify the claimed DMNC or DMGC rating by performing an additional test during the Summer DMNC Test Period.  Any shortfall between the amount of Unforced Capacity supplied by the Generator for the Summer Capability Period and the amo</w:t>
      </w:r>
      <w:r>
        <w:t>unt verified during the Summer DMNC Test Period will be subject to deficiency charges pursuant to Section 5.14.2 of this Tariff.  The deficiency charges will be applied to no more than the difference between the Generator’s previous Summer Capability Perio</w:t>
      </w:r>
      <w:r>
        <w:t>d Unforced Capacity and the amount of Unforced Capacity equivalent the Generator supplied for the Summer Capability Period.</w:t>
      </w:r>
    </w:p>
    <w:p w:rsidR="00B3061A" w:rsidRDefault="00841B10">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w:t>
      </w:r>
      <w:r>
        <w:t xml:space="preserve"> generating equipment may, after satisfying the deliverability requirements set forth in the applicable provisions of Attachment X, Attachment Z and Attachment S to the ISO OATT, qualify to supply Unforced Capacity on a foregoing basis during the Winter Ca</w:t>
      </w:r>
      <w:r>
        <w:t xml:space="preserve">pability Period based upon a DMNC test, or the DMGC test of a Generator of a Behind-the-Meter Net Generation Resource, that is performed and reported to the ISO after September 1 and prior to the beginning of the Winter Capability Period DMNC Test Period. </w:t>
      </w:r>
      <w:r>
        <w:t xml:space="preserve"> The Generator will be required to verify the claimed DMNC or DMGC rating by performing an additional test during the Winter Capability Period DMNC Test Period.  Any shortfall between the amount of Unforced Capacity certified by the Generator for the Winte</w:t>
      </w:r>
      <w:r>
        <w:t>r Capability Period and the amount verified during the Winter Capability Period DMNC Test Period will be subject to deficiency charges pursuant to Section 5.14.2 of this Tariff.  The deficiency charges will be applied to no more than the difference between</w:t>
      </w:r>
      <w:r>
        <w:t xml:space="preserve">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B3061A" w:rsidRDefault="00841B10">
      <w:pPr>
        <w:pStyle w:val="Bodypara"/>
      </w:pPr>
      <w:r>
        <w:t xml:space="preserve">Any Installed Capacity Supplier, except as noted in Section 5.12.11 of this </w:t>
      </w:r>
      <w:r>
        <w:rPr>
          <w:iCs/>
        </w:rPr>
        <w:t>ISO Ser</w:t>
      </w:r>
      <w:r>
        <w:rPr>
          <w:iCs/>
        </w:rPr>
        <w:t xml:space="preserve">vices </w:t>
      </w:r>
      <w:r>
        <w:t>Tariff, which fails on a daily basis to schedule, Bid, or declare to be unavailable in the Day-Ahead Market an amount of Unforced Capacity, expressed in terms of Installed Capacity Equivalent, that it certified for that day, rounded down to the neare</w:t>
      </w:r>
      <w:r>
        <w:t>st 0.1 MW, or rounded down to the nearest whole MW for an External Installed Capacity Supplier, is subject to sanctions pursuant to Section 5.12.12.2 of this Tariff.  If an entity other than the owner of an Energy Limited Resource, Generator, System Resour</w:t>
      </w:r>
      <w:r>
        <w:t>ce, Behind-the-Meter Net Generation Resource, or Control Area System Resource that is providing Unforced Capacity is responsible for fulfilling bidding, scheduling, and notification requirements, the owner and that entity must designate to the ISO which of</w:t>
      </w:r>
      <w:r>
        <w:t xml:space="preserve"> them will be responsible for complying with the scheduling, bidding, and notification requirements.  The designated bidding and scheduling entity shall be subject to sanctions pursuant to Section 5.12.12.2 of this </w:t>
      </w:r>
      <w:r>
        <w:rPr>
          <w:iCs/>
        </w:rPr>
        <w:t xml:space="preserve">ISO Services </w:t>
      </w:r>
      <w:r>
        <w:t>Tariff.</w:t>
      </w:r>
    </w:p>
    <w:p w:rsidR="00B3061A" w:rsidRDefault="00841B10">
      <w:pPr>
        <w:pStyle w:val="Heading3"/>
      </w:pPr>
      <w:bookmarkStart w:id="27" w:name="_Toc261446160"/>
      <w:r>
        <w:t>5.12.9</w:t>
      </w:r>
      <w:r>
        <w:tab/>
        <w:t>Sales of Unfo</w:t>
      </w:r>
      <w:r>
        <w:t>rced Capacity by System Resources</w:t>
      </w:r>
      <w:bookmarkEnd w:id="27"/>
    </w:p>
    <w:p w:rsidR="00B3061A" w:rsidRDefault="00841B10">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DMNC testing data or historical data described in </w:t>
      </w:r>
      <w:r>
        <w:t xml:space="preserve">Sections 5.12.1 and 5.12.5 of this </w:t>
      </w:r>
      <w:r>
        <w:rPr>
          <w:iCs/>
        </w:rPr>
        <w:t xml:space="preserve">ISO Services </w:t>
      </w:r>
      <w:r>
        <w:t>Tariff in accordance with the ISO Procedures.  Such Installed Capacity Suppliers will be allowed to supply the amount of Unforced Capacity that the ISO determines pursuant to the ISO Procedures to reflect the</w:t>
      </w:r>
      <w:r>
        <w:t xml:space="preserve"> appropriate Equivalent Demand Forced Outage Rate.  Installed Capacity Suppliers offering to sell the Unforced Capacity associated with System Resources may only aggregate Resources in acco</w:t>
      </w:r>
      <w:r>
        <w:rPr>
          <w:rStyle w:val="FooterChar"/>
        </w:rPr>
        <w:t>rdance with the ISO Procedures.</w:t>
      </w:r>
    </w:p>
    <w:p w:rsidR="00B3061A" w:rsidRDefault="00841B10">
      <w:pPr>
        <w:pStyle w:val="Heading3"/>
      </w:pPr>
      <w:bookmarkStart w:id="28" w:name="_Toc261446161"/>
      <w:r>
        <w:t>5.12.10</w:t>
      </w:r>
      <w:r>
        <w:tab/>
        <w:t>Curtailment of External Tra</w:t>
      </w:r>
      <w:r>
        <w:t>nsactions In-Hour</w:t>
      </w:r>
      <w:bookmarkEnd w:id="28"/>
    </w:p>
    <w:p w:rsidR="00B3061A" w:rsidRDefault="00841B10">
      <w:pPr>
        <w:pStyle w:val="Bodypara"/>
      </w:pPr>
      <w:r>
        <w:t>All Unforced Capacity that is not out of service, or scheduled to serve the Internal NYCA Load in the Day-Ahead Market may be scheduled to supply Energy for use in External Transactions provided, however, that such External Transactions s</w:t>
      </w:r>
      <w:r>
        <w:t>hall be subject to Curtailment within the hour, consistent with ISO Procedures.  Such Curtailment shall not exceed the Installed Capacity Equivalent committed to the NYCA.</w:t>
      </w:r>
    </w:p>
    <w:p w:rsidR="00B3061A" w:rsidRDefault="00841B10">
      <w:pPr>
        <w:pStyle w:val="Heading3"/>
      </w:pPr>
      <w:bookmarkStart w:id="29" w:name="_Toc261446162"/>
      <w:r>
        <w:t>5.12.11</w:t>
      </w:r>
      <w:r>
        <w:tab/>
        <w:t xml:space="preserve">Responsible Interface Parties, Municipally-Owned Generation, Energy Limited </w:t>
      </w:r>
      <w:r>
        <w:t>Resources, Intermittent Power Resources</w:t>
      </w:r>
      <w:bookmarkEnd w:id="29"/>
      <w:r>
        <w:t>, and Installed Capacity Suppliers with Energy Duration Limitations</w:t>
      </w:r>
    </w:p>
    <w:p w:rsidR="00B3061A" w:rsidRDefault="00841B10">
      <w:pPr>
        <w:pStyle w:val="Heading4"/>
      </w:pPr>
      <w:bookmarkStart w:id="30" w:name="_Toc261446163"/>
      <w:r>
        <w:t xml:space="preserve">5.12.11.1  </w:t>
      </w:r>
      <w:r>
        <w:tab/>
      </w:r>
      <w:bookmarkEnd w:id="30"/>
      <w:r>
        <w:t>Responsible Interface Parties</w:t>
      </w:r>
    </w:p>
    <w:p w:rsidR="00B3061A" w:rsidRDefault="00841B10">
      <w:pPr>
        <w:pStyle w:val="Bodypara"/>
      </w:pPr>
      <w:r>
        <w:t>Responsible Interface Parties may qualify as Installed Capacity Suppliers, without having to comply with th</w:t>
      </w:r>
      <w:r>
        <w:t xml:space="preserve">e daily bidding, scheduling, and notification requirements set forth in Section 5.12.7 of this </w:t>
      </w:r>
      <w:r>
        <w:rPr>
          <w:rFonts w:eastAsia="Times New Roman"/>
          <w:snapToGrid w:val="0"/>
          <w:szCs w:val="20"/>
        </w:rPr>
        <w:t>Tariff</w:t>
      </w:r>
      <w:r>
        <w:t xml:space="preserve">, if their Special Case Resources are available to operate at the direction of the ISO in order to reduce Load from the NYS Transmission System and/or the </w:t>
      </w:r>
      <w:r>
        <w:t xml:space="preserve">distribution system for a minimum of four (4) consecutive hours each day, following notice of the potential need to operate twenty-one (21) hours in advance if notification is provided by 3:00 P.M. ET, or twenty-four (24) hours in advance otherwise, and a </w:t>
      </w:r>
      <w:r>
        <w:t>notification to operate two (2) hours ahead.  Special Case Resources will be considered to have a four (4) hour Energy Duration Limitation to align with their obligation.  In order for a Responsible Interface Party to enroll an SCR that uses an eligible Lo</w:t>
      </w:r>
      <w:r>
        <w:t>cal Generator, any amount of generation that can reduce Load from the NYS Transmission System and/or distribution system at the direction of the ISO that was produced by the Local Generator during the hour coincident with the NYCA or Locality peaks, upon w</w:t>
      </w:r>
      <w:r>
        <w:t>hich the LSE Unforced Capacity Obligation of the LSE that serves that SCR is based, must be accounted for when the LSE’s Unforced Capacity Obligation for the upcoming Capability Year is established.  Responsible Interface Parties must provide this generato</w:t>
      </w:r>
      <w:r>
        <w:t xml:space="preserve">r data in accordance with ISO Procedures so that the ISO can adjust upwards the LSE Unforced Capacity Obligation to prevent double-counting.   </w:t>
      </w:r>
    </w:p>
    <w:p w:rsidR="00B3061A" w:rsidRDefault="00841B10">
      <w:pPr>
        <w:pStyle w:val="Bodypara"/>
      </w:pPr>
      <w:r>
        <w:t>Responsible Interface Parties supplying Unforced Capacity cannot offer the Demand Reduction associated with such</w:t>
      </w:r>
      <w:r>
        <w:t xml:space="preserve"> Unforced Capacity in the Emergency Demand Response Program.  A Resource with sufficient metering to distinguish MWs of Demand Reduction may participate as a Special Case Resource and in the Emergency Demand Response Program provided that the same MWs are </w:t>
      </w:r>
      <w:r>
        <w:t>not committed both as Unforced Capacity and to the Emergency Demand Response Program.</w:t>
      </w:r>
    </w:p>
    <w:p w:rsidR="00B3061A" w:rsidRDefault="00841B10">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w:t>
      </w:r>
      <w:r>
        <w:t>o (2) hours notification.  Local Generators that can be operated to reduce Load from the NYS Transmission System and/or distribution system at the direction of the ISO and Loads capable of being interrupted upon demand, that are not available on certain ho</w:t>
      </w:r>
      <w:r>
        <w:t xml:space="preserve">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B3061A" w:rsidRDefault="00841B10">
      <w:pPr>
        <w:pStyle w:val="Bodypara"/>
      </w:pPr>
      <w:r>
        <w:t>Responsible Interface Parties must submit a Minimum Payment Nomination, in accordance with ISO Procedure</w:t>
      </w:r>
      <w:r>
        <w:t xml:space="preserv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B3061A" w:rsidRDefault="00841B10">
      <w:pPr>
        <w:pStyle w:val="Bodypara"/>
      </w:pPr>
      <w:r>
        <w:t>Special Case Resources with Local Generators that can be operated to reduc</w:t>
      </w:r>
      <w:r>
        <w:t>e Load from the NYS Transmission System and/or distribution system at the direction of the ISO and Special Case Resources with Loads capable of being interrupted upon demand will be required to comply with verification and validation procedures set forth i</w:t>
      </w:r>
      <w:r>
        <w:t xml:space="preserve">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to by the customer, except that Special Case Resources no</w:t>
      </w:r>
      <w:r>
        <w:t>t called to supply Energy in a Capability Period will be required to run a test once every Capability Period in accordance with the ISO Procedures.</w:t>
      </w:r>
    </w:p>
    <w:p w:rsidR="00B3061A" w:rsidRDefault="00841B10">
      <w:pPr>
        <w:pStyle w:val="Bodypara"/>
      </w:pPr>
      <w:r>
        <w:t>Unforced Capacity supplied in a Bilateral Transaction by a Special Case Resource pursuant to this subsection</w:t>
      </w:r>
      <w:r>
        <w:t xml:space="preserve">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w:t>
      </w:r>
      <w:r>
        <w:t>me Responsible Interface Parties and aggregate Special Case Resources and sell the Unforced Capacity associated with them in an ISO-administered auction if they comply with ISO notification requirements for Special Case Resources.</w:t>
      </w:r>
    </w:p>
    <w:p w:rsidR="00B3061A" w:rsidRDefault="00841B10">
      <w:pPr>
        <w:pStyle w:val="Bodypara"/>
      </w:pPr>
      <w:r>
        <w:t>Responsible Interface Par</w:t>
      </w:r>
      <w:r>
        <w:t xml:space="preserve">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Responsible Interface Party to submit performance data for any Sp</w:t>
      </w:r>
      <w:r>
        <w:t>ecial Case Resources required to respond to the event or test within the 75-day limit will result in zero performance attributed to those Special Case Resources for purposes of satisfying the Special Case Resource’s capacity obligation as well as for deter</w:t>
      </w:r>
      <w:r>
        <w:t>mining energy payments.  All performance data are subject to audit by the NYISO and its market monitoring unit.  If the ISO determines that it has made an erroneous payment to a Responsible Interface Party, the ISO shall have the right to recover it either</w:t>
      </w:r>
      <w:r>
        <w:t xml:space="preserve"> by reducing other payments to that Responsible Interface Parties or by resolving the issue pursuant to other provisions of this Services Tariff or other lawful means. </w:t>
      </w:r>
    </w:p>
    <w:p w:rsidR="00B3061A" w:rsidRDefault="00841B10">
      <w:pPr>
        <w:pStyle w:val="Bodypara"/>
      </w:pPr>
      <w:r>
        <w:t>Provided the Responsible Interface Party supplies evidence of such reductions in 75 day</w:t>
      </w:r>
      <w:r>
        <w:t xml:space="preserve">s, the ISO shall pay the Responsible Interface Party  that, through their Special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w:t>
      </w:r>
      <w:r>
        <w:t>(iii) an ISO request to perform made in response to a request for assistance for Load relief purposes or as a result of a Local Reliability Rule, or (iv) a test called by the ISO, for such Load reduction, in accordance with ISO Procedures.  Subject to perf</w:t>
      </w:r>
      <w:r>
        <w:t>ormance evidence and verification, in the case of a response pursuant to clauses (i), (ii), of (iii) of this subsection, Suppliers that schedule Responsible Interface Parties shall be paid the zonal Real-Time LBMP for the period of requested performance or</w:t>
      </w:r>
      <w:r>
        <w:t xml:space="preserve"> four (4) hours, whichever is greater, in accordance with ISO Procedures; provided, however, Special Case Resource Capacity shall settle Demand Reductions, in the interval and for the capacity for which Special Case Resource Capacity has been scheduled Day</w:t>
      </w:r>
      <w:r>
        <w:t>-Ahead to provide Operating Reserves, Regulation Service or Energy,</w:t>
      </w:r>
      <w:r>
        <w:rPr>
          <w:bCs/>
          <w:iCs/>
        </w:rPr>
        <w:t xml:space="preserve"> as being provided by a Supplier of Operating Reserves, Regulation Service or Energy</w:t>
      </w:r>
      <w:r>
        <w:t xml:space="preserve">.  </w:t>
      </w:r>
    </w:p>
    <w:p w:rsidR="00B3061A" w:rsidRDefault="00841B10">
      <w:pPr>
        <w:pStyle w:val="Bodypara"/>
      </w:pPr>
      <w:r>
        <w:t>In the event that a Responsible Interface Party’s Minimum Payment Nomination for a Special Case Resou</w:t>
      </w:r>
      <w:r>
        <w:t xml:space="preserve">rce, for the number of hours of requested performance or the minimum four (4) hour period, whichever is </w:t>
      </w:r>
      <w:r>
        <w:rPr>
          <w:rFonts w:eastAsia="Times New Roman"/>
          <w:snapToGrid w:val="0"/>
          <w:szCs w:val="20"/>
        </w:rPr>
        <w:t>greater</w:t>
      </w:r>
      <w:r>
        <w:t>, exceeds the LBMP revenue received, the Special Case Resource will be eligible for a Bid Production Cost Guarantee to make up the difference, in</w:t>
      </w:r>
      <w:r>
        <w:t xml:space="preserve"> accordance with Section 4.23 of this Services Tariff and ISO Procedures; provided, however, the ISO shall set to zero the Minimum Payment Nomination for Special Case Resource Capacity in each interval in which such Capacity was scheduled Day-Ahead to prov</w:t>
      </w:r>
      <w:r>
        <w:t xml:space="preserve">ide Operating Reserves, Regulation Service or Energy.  Subject to performance evidence and verification, in the case of a response pursuant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B3061A" w:rsidRDefault="00841B10">
      <w:pPr>
        <w:pStyle w:val="Bodypara"/>
      </w:pPr>
      <w:r>
        <w:t>Transmission Owners that require assistance from enrolled Special Case Resources with Local Generators larger than 100 kW and Special Case Resources with Loads capable of being interrupte</w:t>
      </w:r>
      <w:r>
        <w:t xml:space="preserv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w:t>
      </w:r>
      <w:r>
        <w:t>request to perform made as a result of a request for assistance from a Transmission Owner for less than the total number of Special Case Resources, for Load relief purposes or as a result of a Local Reliability Rule, in accordance with ISO Procedures, shal</w:t>
      </w:r>
      <w:r>
        <w:t>l be voluntary and the responsiveness of the Special Case Resource shall not be taken into account for performance measurement.</w:t>
      </w:r>
    </w:p>
    <w:p w:rsidR="00B3061A" w:rsidRDefault="00841B10">
      <w:pPr>
        <w:pStyle w:val="subhead"/>
      </w:pPr>
      <w:r>
        <w:t>5.12.11.1.1</w:t>
      </w:r>
      <w:r>
        <w:tab/>
        <w:t xml:space="preserve">Special Case Resource Average Coincident Load </w:t>
      </w:r>
    </w:p>
    <w:p w:rsidR="00B3061A" w:rsidRDefault="00841B10">
      <w:pPr>
        <w:pStyle w:val="Bodypara"/>
      </w:pPr>
      <w:r>
        <w:t>The ISO must receive from the Responsible Interface Party that enroll</w:t>
      </w:r>
      <w:r>
        <w:t>s a Special Case Resource, the applicable metered Load data required to calculate an ACL for that SCR as provided below and in accordance with ISO Procedures.  The ACL shall be computed using the metered Load for the applicable Capability Period SCR Load Z</w:t>
      </w:r>
      <w:r>
        <w:t xml:space="preserve">one Peak Hours that indicates the Load consumed by each SCR that is supplied by the NYS Transmission System and/or distribution system and is exclusive of any generation produced by a Local Generator, other behind-the-meter generator, or other supply </w:t>
      </w:r>
      <w:r>
        <w:rPr>
          <w:rFonts w:eastAsia="Times New Roman"/>
          <w:snapToGrid w:val="0"/>
          <w:szCs w:val="20"/>
        </w:rPr>
        <w:t>sourc</w:t>
      </w:r>
      <w:r>
        <w:rPr>
          <w:rFonts w:eastAsia="Times New Roman"/>
          <w:snapToGrid w:val="0"/>
          <w:szCs w:val="20"/>
        </w:rPr>
        <w:t>e</w:t>
      </w:r>
      <w:r>
        <w:t xml:space="preserve"> located behind the SCR’s meter, that served some of the SCR’s Load.  </w:t>
      </w:r>
    </w:p>
    <w:p w:rsidR="00B3061A" w:rsidRDefault="00841B10">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w:t>
      </w:r>
      <w:r>
        <w:t>eported for the Capability Period SCR Load Zone Peak Hours during the Prior Equivalent Capability Period, and taking into account the resource’s reported verified Load reduction in a Transmission Owner’s demand response program in hours coincident with any</w:t>
      </w:r>
      <w:r>
        <w:t xml:space="preserve"> of these hours, to create a SCR ACL baseline.  In addition, beginning with the Summer 2014 Capability Period, the resource’s verified Load reduction in either of the ISO’s economic demand response programs (the Day Ahead Demand Response Program and the De</w:t>
      </w:r>
      <w:r>
        <w:t>mand Side Ancillary Services Program) in hours coincident with any of the applicable Capability Period SCR Load Zone Peak Hours will be taken into account when creating the SCR ACL.  For the Day Ahead Demand Response Program, the verified Load reduction th</w:t>
      </w:r>
      <w:r>
        <w:t>at occurred in response to a DADRP schedule shall be added to the Capability Period SCR Load Zone Peak Hour for which the reduction in response to a DADRP schedule occurred.  For the Demand Side Ancillary Services Program, the Load value to be used in calc</w:t>
      </w:r>
      <w:r>
        <w:t>ulating the ACL for each hour during the Capability Period SCR Load Zone Peak Hours in which a non-zero Base Point Signal the ISO provides to the resource, shall be the greater of (a) the DSASP Baseline MW value in the interval immediately preceding the fi</w:t>
      </w:r>
      <w:r>
        <w:t>rst non-zero Base Point Signal in the Capability Period SCR Load Zone Peak Hour and (b) the metered Load of the resource as reported by the RIP for the Capability Period SCR Load Zone Peak Hour.  When the non-zero Base Point Signal dispatch of a DSASP reso</w:t>
      </w:r>
      <w:r>
        <w:t>urce begins in one hour and continues into consecutive hours, and the consecutive hour is identified as being a Capability Period SCR Load Zone Peak Hour, the DSASP Baseline MW value in effect at the beginning of the dispatch of the non-zero Base Point Sig</w:t>
      </w:r>
      <w:r>
        <w:t>nal shall be the MW value used for purposes of determining the applicable Load value for that Capability Period SCR Load Zone Peak Hour, in accordance with the preceding sentence.  The ISO will post to its website the Capability Period SCR Load Zone Peak H</w:t>
      </w:r>
      <w:r>
        <w:t xml:space="preserve">ours for each zone ninety (90) days prior to the beginning of the Capability Period for which the ACL will be in effect. </w:t>
      </w:r>
    </w:p>
    <w:p w:rsidR="00B3061A" w:rsidRDefault="00841B10">
      <w:pPr>
        <w:pStyle w:val="Bodypara"/>
      </w:pPr>
      <w:r>
        <w:t xml:space="preserve">In the SCR </w:t>
      </w:r>
      <w:r>
        <w:rPr>
          <w:rFonts w:eastAsia="Times New Roman"/>
          <w:snapToGrid w:val="0"/>
          <w:szCs w:val="20"/>
        </w:rPr>
        <w:t>enrollment</w:t>
      </w:r>
      <w:r>
        <w:t xml:space="preserve"> file uploaded by the RIP each month within the Capability Period, among other required information, the RIP shall provide the SCR’s metered Load values for the applicable Capability Period SCR Load Zone Peak Hours necessary to compute the ACL for each SCR</w:t>
      </w:r>
      <w:r>
        <w:t xml:space="preserve">. </w:t>
      </w:r>
    </w:p>
    <w:p w:rsidR="00B3061A" w:rsidRDefault="00841B1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interval metering</w:t>
      </w:r>
      <w:r>
        <w:rPr>
          <w:rFonts w:ascii="Times New Roman" w:hAnsi="Times New Roman"/>
          <w:sz w:val="24"/>
          <w:szCs w:val="24"/>
        </w:rPr>
        <w:t xml:space="preserve"> Load data for each month in the Prior Equivalent Capability Period needed to compute the SCR’s ACL.  Beginning with the Summer 2014 Capability Period, the exception to this requirement to report the required metered Load data for the ACL, is dependent upo</w:t>
      </w:r>
      <w:r>
        <w:rPr>
          <w:rFonts w:ascii="Times New Roman" w:hAnsi="Times New Roman"/>
          <w:sz w:val="24"/>
          <w:szCs w:val="24"/>
        </w:rPr>
        <w:t>n one or more of the eligibility conditions for SCR enrollment with a Provisional ACL provided in Section 5.12.11.1.2 of this Services Tariff and ISO Procedures.  For SCRs that meet the criteria to enroll with a Provisional ACL, the ISO must receive from t</w:t>
      </w:r>
      <w:r>
        <w:rPr>
          <w:rFonts w:ascii="Times New Roman" w:hAnsi="Times New Roman"/>
          <w:sz w:val="24"/>
          <w:szCs w:val="24"/>
        </w:rPr>
        <w:t xml:space="preserve">he RIP a Provisional ACL as provided in Section 5.12.11.1.2 of this Services Tariff and in accordance with ISO Procedures. </w:t>
      </w:r>
    </w:p>
    <w:p w:rsidR="00B3061A" w:rsidRDefault="00841B1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w:t>
      </w:r>
      <w:r>
        <w:rPr>
          <w:rFonts w:ascii="Times New Roman" w:hAnsi="Times New Roman"/>
          <w:sz w:val="24"/>
          <w:szCs w:val="24"/>
        </w:rPr>
        <w:t>hat occurred during the Capability Period SCR Load Zone Peak Hours, in accordance with this Services Tariff and ISO Procedures during the enrollment process, any qualifying increase in a SCR’s Load that will be supplied by the NYS Transmission System and/o</w:t>
      </w:r>
      <w:r>
        <w:rPr>
          <w:rFonts w:ascii="Times New Roman" w:hAnsi="Times New Roman"/>
          <w:sz w:val="24"/>
          <w:szCs w:val="24"/>
        </w:rPr>
        <w:t>r distribution system may be reported as an Incremental ACL, subject to the limitations and verification reporting requirements provided in Section 5.12.11.1.5 of this Services Tariff and in accordance with ISO Procedures.  Incremental ACL values must be r</w:t>
      </w:r>
      <w:r>
        <w:rPr>
          <w:rFonts w:ascii="Times New Roman" w:hAnsi="Times New Roman"/>
          <w:sz w:val="24"/>
          <w:szCs w:val="24"/>
        </w:rPr>
        <w:t>eported using the required enrollment file that may be uploaded by the RIP during each month’s enrollment period.  RIPs may not report Incremental ACL values for any SCRs that are enrolled in the Capability Period with a Provisional ACL.</w:t>
      </w:r>
    </w:p>
    <w:p w:rsidR="00B3061A" w:rsidRDefault="00841B1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w:t>
      </w:r>
      <w:r>
        <w:rPr>
          <w:rFonts w:ascii="Times New Roman" w:hAnsi="Times New Roman"/>
          <w:sz w:val="24"/>
          <w:szCs w:val="24"/>
        </w:rPr>
        <w:t>CR’s Load that is supplied by the NYS Transmission System and/or distribution system and meets the criteria for a SCR Change of Status must be reported as a SCR Change of Status as provided by Section 5.12.11.1.3 of this Services Tariff and in accordance w</w:t>
      </w:r>
      <w:r>
        <w:rPr>
          <w:rFonts w:ascii="Times New Roman" w:hAnsi="Times New Roman"/>
          <w:sz w:val="24"/>
          <w:szCs w:val="24"/>
        </w:rPr>
        <w:t>ith ISO Procedures.</w:t>
      </w:r>
    </w:p>
    <w:p w:rsidR="00B3061A" w:rsidRDefault="00841B10">
      <w:pPr>
        <w:pStyle w:val="Bodypara"/>
      </w:pPr>
      <w:r>
        <w:t xml:space="preserve">The ACL is the basis for the upper limit of ICAP, except in circumstances when the SCR has reported a SCR Change of Status or reported an Incremental ACL pursuant to Sections 5.12.11.1.3 and 5.12.11.1.5 of this Services Tariff.  The </w:t>
      </w:r>
      <w:r>
        <w:t>basis for the upper limit of ICAP for a SCR that has experienced a SCR Change of Status or reported an Incremental ACL shall be the Net ACL.</w:t>
      </w:r>
    </w:p>
    <w:p w:rsidR="00B3061A" w:rsidRDefault="00841B10">
      <w:pPr>
        <w:pStyle w:val="Heading4"/>
      </w:pPr>
      <w:r>
        <w:t>5.12.11.1.2</w:t>
      </w:r>
      <w:r>
        <w:tab/>
        <w:t xml:space="preserve">Use of a Provisional Average Coincident Load </w:t>
      </w:r>
    </w:p>
    <w:p w:rsidR="00B3061A" w:rsidRDefault="00841B10">
      <w:pPr>
        <w:pStyle w:val="Bodypara"/>
      </w:pPr>
      <w:r>
        <w:rPr>
          <w:bCs/>
        </w:rPr>
        <w:t xml:space="preserve">Prior to the Summer 2014 Capability Period, </w:t>
      </w:r>
      <w:r>
        <w:t>as provided i</w:t>
      </w:r>
      <w:r>
        <w:t>n Section 5.12.11.1.1 of this Services Tariff, if a new Special Case Resource has not previously been enrolled with the ISO and never had interval billing meter data from the Prior Equivalent Capability Period, its Installed Capacity value shall be its Pro</w:t>
      </w:r>
      <w:r>
        <w:t xml:space="preserve">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w:t>
      </w:r>
      <w:r>
        <w:t xml:space="preserve">CR is first enrolled. </w:t>
      </w:r>
    </w:p>
    <w:p w:rsidR="00B3061A" w:rsidRDefault="00841B1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w:t>
      </w:r>
      <w:r>
        <w:rPr>
          <w:rFonts w:ascii="Times New Roman" w:hAnsi="Times New Roman"/>
          <w:sz w:val="24"/>
          <w:szCs w:val="24"/>
        </w:rPr>
        <w:t>led with the ISO for the seasonal Capability Period for which the SCR enrollment with a Provisional ACL is intended, (ii) the SCR was enrolled with a Provisional ACL in the Prior Equivalent Capability Period and was required to report fewer than twenty (20</w:t>
      </w:r>
      <w:r>
        <w:rPr>
          <w:rFonts w:ascii="Times New Roman" w:hAnsi="Times New Roman"/>
          <w:sz w:val="24"/>
          <w:szCs w:val="24"/>
        </w:rPr>
        <w:t>) hours of metered Load verification data that correspond with the Capability Period SCR Load Zone Peak Hours based on the meter installation date of the SCR, (iii) the RIP attempting to enroll the SCR with a Provisional ACL is not the same RIP that enroll</w:t>
      </w:r>
      <w:r>
        <w:rPr>
          <w:rFonts w:ascii="Times New Roman" w:hAnsi="Times New Roman"/>
          <w:sz w:val="24"/>
          <w:szCs w:val="24"/>
        </w:rPr>
        <w:t>ed the SCR in the Prior Equivalent Capability Period and interval billing meter data for the SCR from the Prior Equivalent Capability Period is not obtainable by the enrolling RIP and not available to be provided to the enrolling RIP by the ISO.  The Provi</w:t>
      </w:r>
      <w:r>
        <w:rPr>
          <w:rFonts w:ascii="Times New Roman" w:hAnsi="Times New Roman"/>
          <w:sz w:val="24"/>
          <w:szCs w:val="24"/>
        </w:rPr>
        <w:t xml:space="preserve">sional ACL may be applicable to a SCR for a maximum of three (3) consecutive Capability Periods when enrolled with the same RIP, beginning with the Capability Period in which the SCR is first enrolled by the RIP. </w:t>
      </w:r>
    </w:p>
    <w:p w:rsidR="00B3061A" w:rsidRDefault="00841B10">
      <w:pPr>
        <w:pStyle w:val="Bodypara"/>
      </w:pPr>
      <w:r>
        <w:t>A SCR enrolled in the Capability Period wi</w:t>
      </w:r>
      <w:r>
        <w:t>th a Provisional ACL may not be enrolled by another RIP for the remainder of the Capability Period and the Provisional ACL value shall apply to the resource for the entire Capability Period for which the value is established.</w:t>
      </w:r>
    </w:p>
    <w:p w:rsidR="00B3061A" w:rsidRDefault="00841B10">
      <w:pPr>
        <w:pStyle w:val="Bodypara"/>
      </w:pPr>
      <w:r>
        <w:t>The Provisional ACL is the RIP</w:t>
      </w:r>
      <w:r>
        <w:t>’s forecast of the SCR’s ACL and shall be the basis for the upper limit of ICAP for which the RIP may enroll the SCR during the Capability Period.</w:t>
      </w:r>
    </w:p>
    <w:p w:rsidR="00B3061A" w:rsidRDefault="00841B10">
      <w:pPr>
        <w:pStyle w:val="Bodypara"/>
      </w:pPr>
      <w:r>
        <w:t>Any SCR enrolled with a Provisional ACL shall be subject to actual in-period verification.  A Verified ACL sh</w:t>
      </w:r>
      <w:r>
        <w:t xml:space="preserve">all be calculated by the ISO using the top twenty (20) one-hour peak Loads reported for the SCR from the Capability Period SCR Load Zone Peak Hours that are applicable to verify the Provisional ACL in accordance with ISO Procedures and taking into account </w:t>
      </w:r>
      <w:r>
        <w:t>the resource’s reported verified Load reductions in a Transmission Owner’s demand response program that are coincident with any of the applicable Capability Period SCR Load Zone Peak Hours.  In addition, beginning with the Summer 2014 Capability Period, th</w:t>
      </w:r>
      <w:r>
        <w:t>e resource’s verified Load reduction in either of the ISO’s economic demand response programs (the Day Ahead Demand Response Program and the Demand Side Ancillary Services Program) in hours coincident with any of the applicable Capability Period SCR Load Z</w:t>
      </w:r>
      <w:r>
        <w:t>one Peak Hours will be taken into account when creating the SCR Verified ACL.  For the Day Ahead Demand Response Program, the verified Load reduction that occurred in response to a DADRP schedule shall be added to the Capability Period SCR Load Zone Peak H</w:t>
      </w:r>
      <w:r>
        <w:t xml:space="preserve">our for which the reduction in response to a DADRP schedule occurred.  For the Demand Side Ancillary Services Program, the Load value to be used in calculating the Verified ACL for each hour during the Capability Period SCR Load Zone Peak Hours in which a </w:t>
      </w:r>
      <w:r>
        <w:t>non-zero Base Point Signal the ISO provides to the resource, shall be the greater of (a) the DSASP Baseline MW value in the interval immediately preceding the first non-zero Base Point Signal in the Capability Period SCR Load Zone Peak Hour and (b) the met</w:t>
      </w:r>
      <w:r>
        <w:t>ered Load of the resource as reported by the RIP for the Capability Period SCR Load Zone Peak Hour.  When the non-zero Base Point Signal dispatch of a DSASP resource begins in one hour and continues into consecutive hours, and the consecutive hour is ident</w:t>
      </w:r>
      <w:r>
        <w:t>ified as being a Capability Period SCR Load Zone Peak Hour, the DSASP Baseline MW value in effect at the beginning of the dispatch of the non-zero Base Point Signal shall be the MW value used for purposes of determining the applicable Load value for that C</w:t>
      </w:r>
      <w:r>
        <w:t>apability Period SCR Load Zone Peak Hour, in accordance with the preceding sentence.</w:t>
      </w:r>
    </w:p>
    <w:p w:rsidR="00B3061A" w:rsidRDefault="00841B10">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w:t>
      </w:r>
      <w:r>
        <w:t>rified ACL of the resource.  The ISO shall compare the Provisional ACL to the Verified ACL  to determine, after applying the applicable performance factor, whether the UCAP of the SCR had been oversold and whether a shortfall has occurred as provided under</w:t>
      </w:r>
      <w:r>
        <w:t xml:space="preserve"> Section 5.14.2 of this Services Tariff.  If the RIP fails to provide verification data required to compute the Verified ACL of the resource enrolled with a Provisional ACL by the deadline: (a) the Verified ACL of the resource shall be set to zero for each</w:t>
      </w:r>
      <w:r>
        <w:t xml:space="preserve"> Capability Period in which the resource with a Provisional ACL was enrolled and verification data was not reported, and (b) the RIP may be subject to penalties in accordance with this Services Tariff.  </w:t>
      </w:r>
    </w:p>
    <w:p w:rsidR="00B3061A" w:rsidRDefault="00841B10">
      <w:pPr>
        <w:pStyle w:val="Heading4"/>
      </w:pPr>
      <w:r>
        <w:t>5.12.11.1.3</w:t>
      </w:r>
      <w:r>
        <w:tab/>
        <w:t xml:space="preserve">Reporting a </w:t>
      </w:r>
      <w:r>
        <w:rPr>
          <w:szCs w:val="24"/>
        </w:rPr>
        <w:t xml:space="preserve">SCR Change of Load or </w:t>
      </w:r>
      <w:r>
        <w:t>SCR Ch</w:t>
      </w:r>
      <w:r>
        <w:t xml:space="preserve">ange of Status </w:t>
      </w:r>
    </w:p>
    <w:p w:rsidR="00B3061A" w:rsidRDefault="00841B10">
      <w:pPr>
        <w:pStyle w:val="Heading4"/>
      </w:pPr>
      <w:r>
        <w:t xml:space="preserve">5.12.11.1.3.1 </w:t>
      </w:r>
      <w:r>
        <w:tab/>
        <w:t>SCR Change of Load</w:t>
      </w:r>
    </w:p>
    <w:p w:rsidR="00B3061A" w:rsidRDefault="00841B10">
      <w:pPr>
        <w:pStyle w:val="Bodypara"/>
      </w:pPr>
      <w:r>
        <w:t>The Responsible Interface Party shall report any SCR Change of Load in accordance with ISO Procedures.  The RIP is required to document the SCR Change of Load and when the total Load reduction for SCRs that</w:t>
      </w:r>
      <w:r>
        <w:t xml:space="preserve"> have a SCR Change of Load within the same Load Zone is greater than or equal to 5 MWs, the RIP shall report the SCR Change of Load for each SCR in accordance with ISO Procedures. </w:t>
      </w:r>
    </w:p>
    <w:p w:rsidR="00B3061A" w:rsidRDefault="00841B10">
      <w:pPr>
        <w:pStyle w:val="Heading4"/>
      </w:pPr>
      <w:r>
        <w:t xml:space="preserve">5.12.11.1.3.2 </w:t>
      </w:r>
      <w:r>
        <w:tab/>
        <w:t>SCR Change of Status</w:t>
      </w:r>
    </w:p>
    <w:p w:rsidR="00B3061A" w:rsidRDefault="00841B10">
      <w:pPr>
        <w:pStyle w:val="Bodypara"/>
      </w:pPr>
      <w:r>
        <w:t>The Responsible Interface Party shall r</w:t>
      </w:r>
      <w:r>
        <w:t xml:space="preserve">eport any SCR Change of Status in accordance with ISO Procedures.  The ISO shall adjust the reported ACL of the SCR for a reported SCR Change of Status to the Net ACL, for all prospective months to which the SCR Change of Status is applicable.  When a SCR </w:t>
      </w:r>
      <w:r>
        <w:t xml:space="preserve">Change of Status is reported under clause (i), (ii) or (iii) within the definition of a Qualified Change of Status Condition and the SCR has sold capacity, the SCR shall be evaluated for a potential shortfall under Section 5.14.2 of this Services Tariff.  </w:t>
      </w:r>
      <w:r>
        <w:t>Failure by the RIP to report a SCR Change of Status shall be evaluated as a potential shortfall under Section 5.14.2 of this Service Tariff and evaluated for failure to report under Section 5.12.12.2 of this Services Tariff.</w:t>
      </w:r>
    </w:p>
    <w:p w:rsidR="00B3061A" w:rsidRDefault="00841B10">
      <w:pPr>
        <w:pStyle w:val="Bodypara"/>
      </w:pPr>
      <w:r>
        <w:t xml:space="preserve">Beginning with the Summer 2014 </w:t>
      </w:r>
      <w:r>
        <w:t xml:space="preserve">Capability Period, SCRs that were required to perform in the first performance test in the Capability Period in accordance with ISO Procedures and that subsequently report or change a reported SCR Change of Status value after the first performance test in </w:t>
      </w:r>
      <w:r>
        <w:t>the Capability Period shall be required to demonstrate the performance of the resource against the Net ACL value in the second performance test in the Capability Period.  The exceptions to this provision occur when a SCR’s eligible Installed Capacity is se</w:t>
      </w:r>
      <w:r>
        <w:t>t to zero throughout the period of the SCR Change of Status, when a SCR’s eligible Installed Capacity is decreased by at least the same kW value as the reported SCR Change of Status, or if a SCR Change of Status is reported, and prior to the second perform</w:t>
      </w:r>
      <w:r>
        <w:t>ance test, the SCR returns to the full applicable ACL enrolled prior to the SCR Change of Status.  Performance in both performance tests shall be used in calculation of the resource’s performance factors and all associated performance factors, deficiencies</w:t>
      </w:r>
      <w:r>
        <w:t xml:space="preserve"> and penalties.  If the RIP fails to report the performance for a resource that was required to perform in the second performance test in the Capability Period: (a) the resource will be assigned a performance of zero (0) for the test hour, and (b) the RIP </w:t>
      </w:r>
      <w:r>
        <w:t>shall be evaluated for failure to report under Section 5.12.12.2 of this Services Tariff.</w:t>
      </w:r>
    </w:p>
    <w:p w:rsidR="00B3061A" w:rsidRDefault="00841B10">
      <w:pPr>
        <w:pStyle w:val="Heading4"/>
      </w:pPr>
      <w:r>
        <w:t>5.12.11.1.4</w:t>
      </w:r>
      <w:r>
        <w:tab/>
        <w:t>Average Coincident Load of an SCR Aggregation</w:t>
      </w:r>
    </w:p>
    <w:p w:rsidR="00B3061A" w:rsidRDefault="00841B10">
      <w:pPr>
        <w:pStyle w:val="Bodypara"/>
      </w:pPr>
      <w:r>
        <w:t xml:space="preserve">The ISO shall compute the Average Coincident Load of an SCR Aggregation each month in accordance with ISO </w:t>
      </w:r>
      <w:r>
        <w:rPr>
          <w:rFonts w:eastAsia="Times New Roman"/>
          <w:snapToGrid w:val="0"/>
          <w:szCs w:val="20"/>
        </w:rPr>
        <w:t>Pr</w:t>
      </w:r>
      <w:r>
        <w:rPr>
          <w:rFonts w:eastAsia="Times New Roman"/>
          <w:snapToGrid w:val="0"/>
          <w:szCs w:val="20"/>
        </w:rPr>
        <w:t>ocedures</w:t>
      </w:r>
      <w:r>
        <w:t>.</w:t>
      </w:r>
    </w:p>
    <w:p w:rsidR="00B3061A" w:rsidRDefault="00841B10">
      <w:pPr>
        <w:pStyle w:val="Heading4"/>
      </w:pPr>
      <w:r>
        <w:t xml:space="preserve">5.12.11.1.5 </w:t>
      </w:r>
      <w:r>
        <w:tab/>
        <w:t>Use of an Incremental Average Coincident Load</w:t>
      </w:r>
    </w:p>
    <w:p w:rsidR="00B3061A" w:rsidRDefault="00841B10">
      <w:pPr>
        <w:pStyle w:val="Bodypara"/>
      </w:pPr>
      <w:r>
        <w:t>Beginning with the Summer 2014 Capability Period, a Responsible Interface Party may report any qualifying increase to a Special Case Resource’s Average Coincident Load as Incremental Aver</w:t>
      </w:r>
      <w:r>
        <w:t xml:space="preserve">age Coincident Load in the RIP enrollment file upload and in accordance with this Services Tariff and ISO Procedures. </w:t>
      </w:r>
    </w:p>
    <w:p w:rsidR="00B3061A" w:rsidRDefault="00841B10">
      <w:pPr>
        <w:pStyle w:val="Bodypara"/>
      </w:pPr>
      <w:r>
        <w:t>For SCRs with a total Load increase equal to or greater than twenty (20) percent and less than thirty (30) percent of the applicable ACL,</w:t>
      </w:r>
      <w:r>
        <w:t xml:space="preserve"> the RIP may enroll the SCR with an Incremental ACL provided that the eligible Installed Capacity does not increase from the prior enrollment months within the same Capability Period and prior to enrollment with an Incremental ACL.  If the SCR is enrolled </w:t>
      </w:r>
      <w:r>
        <w:t>with an Incremental ACL and it is the first month of the SCR’s enrollment in the applicable Capability Period, the enrolled eligible Installed Capacity value shall not exceed the maximum eligible Installed Capacity of the SCR from the Prior Equivalent Capa</w:t>
      </w:r>
      <w:r>
        <w:t xml:space="preserve">bility Period.  When no enrollment exists for the SCR in the Prior Equivalent Capability Period and it is the first month of the SCR’s enrollment in the applicable Capability Period, the enrolled eligible Installed Capacity of the SCR shall not exceed the </w:t>
      </w:r>
      <w:r>
        <w:t>ACL calculated from the Capability Period SCR Load Zone Peak Hours.  For SCRs with a total Load increase equal to or greater than thirty (30) percent of the applicable ACL, the RIP may enroll the SCR with an Incremental ACL and an increase to the SCR’s eli</w:t>
      </w:r>
      <w:r>
        <w:t>gible Installed Capacity and is required to test as described in this section of the Service Tariff.</w:t>
      </w:r>
    </w:p>
    <w:p w:rsidR="00B3061A" w:rsidRDefault="00841B10">
      <w:pPr>
        <w:pStyle w:val="Bodypara"/>
      </w:pPr>
      <w:r>
        <w:t>The ISO shall adjust the ACL of the SCR for an Incremental ACL for all months for which the Incremental ACL is reported by the RIP.  For resources reportin</w:t>
      </w:r>
      <w:r>
        <w:t xml:space="preserve">g an Incremental ACL, the Net ACL shall equal the enrolled ACL plus the reported Incremental ACL less any applicable SCR Change of Status and shall be the basis for the upper limit of ICAP for which the RIP may enroll the SCR during the Capability Period. </w:t>
      </w:r>
      <w:r>
        <w:t xml:space="preserve">  </w:t>
      </w:r>
    </w:p>
    <w:p w:rsidR="00B3061A" w:rsidRDefault="00841B10">
      <w:pPr>
        <w:pStyle w:val="Bodypara"/>
      </w:pPr>
      <w:r>
        <w:t>An Incremental ACL is a discrete change to the SCR operations that is expected to result in an increase to the Load that the SCR will consume from the NYS Transmission System and/or distribution system.  It is not available to account for random fluctua</w:t>
      </w:r>
      <w:r>
        <w:t>tions in Load, such as those caused by weather or other seasonal Load variations. Therefore, the ACL of a SCR may only be increased once per Capability Period and the amount of the increase enrolled must remain the same for all months for which the Increme</w:t>
      </w:r>
      <w:r>
        <w:t xml:space="preserve">ntal ACL is reported.  A SCR enrolled in the Capability Period with an Incremental ACL may not be enrolled by another RIP for the remainder of the Capability Period.  A SCR enrolled in the Capability Period with a Provisional ACL is not eligible to enroll </w:t>
      </w:r>
      <w:r>
        <w:t>with an Incremental ACL.</w:t>
      </w:r>
    </w:p>
    <w:p w:rsidR="00B3061A" w:rsidRDefault="00841B10">
      <w:pPr>
        <w:pStyle w:val="Bodypara"/>
      </w:pPr>
      <w:r>
        <w:t>Following the Capability Period for which a SCR has been enrolled with an Incremental ACL, the RIP shall provide the hourly metered Load verification data that corresponds to the Monthly SCR Load Zone Peak Hours identified by the I</w:t>
      </w:r>
      <w:r>
        <w:t>SO for all months in which an Incremental ACL value was reported for the SCR.  For each month for which verification data was required to be reported, the ISO shall calculate a Monthly ACL that will be used in the calculation of a Verified ACL.  The Monthl</w:t>
      </w:r>
      <w:r>
        <w:t>y ACL shall equal the average of the SCR’s top twenty (20) one-hour metered Load values that correspond with the applicable Monthly SCR Load Zone Peak Hours, and taking into account (i) the resource’s reported verified Load reduction in a Transmission Owne</w:t>
      </w:r>
      <w:r>
        <w:t>r’s demand response program in hours coincident with any of these hours and (ii) the resource’s verified Load reduction in either of the ISO’s economic demand response programs (the Day Ahead Demand Response Program and the Demand Side Ancillary Services P</w:t>
      </w:r>
      <w:r>
        <w:t>rogram) in hours coincident with any of these hours.  For the Day Ahead Demand Response Program, the verified Load reduction that occurred in response to a DADRP schedule shall be added to the Monthly SCR Load Zone Peak Hour for which the reduction in resp</w:t>
      </w:r>
      <w:r>
        <w:t>onse to a DADRP schedule occurred.  For the Demand Side Ancillary Services Program, the Load value to be used in calculating the Monthly ACL for each hour during the Monthly SCR Load Zone Peak Hours in which a non-zero Base Point Signal the ISO provides to</w:t>
      </w:r>
      <w:r>
        <w:t xml:space="preserve"> the resource, shall be the greater of (a) the DSASP Baseline MW value in the interval immediately preceding the first non-zero Base Point Signal in the Monthly SCR Load Zone Peak Hour and (b) the metered Load of the resource as reported by the RIP for the</w:t>
      </w:r>
      <w:r>
        <w:t xml:space="preserve"> Monthly SCR Load Zone Peak Hour.  When the non-zero Base Point Signal dispatch of a DSASP resource begins in one hour and continues into consecutive hours, and the consecutive hour is identified as being a Monthly SCR Load Zone Peak Hour, the DSASP Baseli</w:t>
      </w:r>
      <w:r>
        <w:t xml:space="preserve">ne MW value in effect at the beginning of the dispatch of the non-zero Base Point Signal shall be the MW value used for purposes of determining the applicable Load value for that Monthly SCR Load Zone Peak Hour, in accordance with the preceding sentence.  </w:t>
      </w:r>
      <w:r>
        <w:t xml:space="preserve">The Verified ACL shall be the average of the two (2) highest Monthly ACLs during the Capability Period in which the SCR was enrolled with an Incremental ACL within the same Capability Period. </w:t>
      </w:r>
    </w:p>
    <w:p w:rsidR="00B3061A" w:rsidRDefault="00841B10">
      <w:pPr>
        <w:pStyle w:val="Bodypara"/>
      </w:pPr>
      <w:r>
        <w:t>For any month in which verification data for the Incremental AC</w:t>
      </w:r>
      <w:r>
        <w:t>L is required but not timely submitted to the ISO in accordance with ISO procedures, the ISO shall set the metered Load values to zero.  When a Monthly ACL is set to zero, the Verified ACL will be calculated as the average of: a) the two (2) highest Monthl</w:t>
      </w:r>
      <w:r>
        <w:t xml:space="preserve">y ACLs during the Capability Period in which the SCR was enrolled with an Incremental ACL within the same Capability Period; plus b) the Monthly ACLs for all months in which the SCR was enrolled within the same Capability Period with an Incremental ACL in </w:t>
      </w:r>
      <w:r>
        <w:t>the Capability Period in which the RIP failed to provide the minimum verification data required.  In addition, a RIP may be subject to a penalty for each month for which verification data was required and not reported in accordance with this Services Tarif</w:t>
      </w:r>
      <w:r>
        <w:t>f.</w:t>
      </w:r>
    </w:p>
    <w:p w:rsidR="00B3061A" w:rsidRDefault="00841B10">
      <w:pPr>
        <w:pStyle w:val="Bodypara"/>
      </w:pPr>
      <w:r>
        <w:t xml:space="preserve">For each SCR that is enrolled with an Incremental ACL, the ISO shall compare the Net ACL calculated from the resource enrollment (ACL plus Incremental ACL less any applicable SCR Change of Status) to the Verified ACL calculated for the SCR to determine </w:t>
      </w:r>
      <w:r>
        <w:t xml:space="preserve">if the RIP’s use of an Incremental ACL may have resulted in a shortfall pursuant to Section 5.14.2.  </w:t>
      </w:r>
    </w:p>
    <w:p w:rsidR="00B3061A" w:rsidRDefault="00841B10">
      <w:pPr>
        <w:pStyle w:val="Bodypara"/>
      </w:pPr>
      <w:r>
        <w:t>A Special Case Resource that was required to perform in the first performance test in the Capability Period in accordance with ISO Procedures and was subs</w:t>
      </w:r>
      <w:r>
        <w:t xml:space="preserve">equently enrolled using an Incremental ACL and an increase in the amount of Installed Capacity that the SCR is eligible to sell, shall be required to demonstrate performance against the maximum amount of eligible Installed Capacity reported for the SCR in </w:t>
      </w:r>
      <w:r>
        <w:t>the second performance test in the Capability Period.  Performance in this test shall be measured from the Net ACL.  Performance in both performance tests shall be used in calculation of the resource’s performance factor and all associated performance fact</w:t>
      </w:r>
      <w:r>
        <w:t>ors, deficiencies and penalties.  If the RIP fails to report the performance for a resource that was required to perform in the second performance test in the Capability Period: (a) the resource will be assigned a performance of zero (0) for the test hour,</w:t>
      </w:r>
      <w:r>
        <w:t xml:space="preserve"> and (b) the RIP shall be evaluated for failure to report under Section 5.12.12.2 of this Services Tariff.</w:t>
      </w:r>
    </w:p>
    <w:p w:rsidR="00B3061A" w:rsidRDefault="00841B10">
      <w:pPr>
        <w:pStyle w:val="Heading4"/>
      </w:pPr>
      <w:bookmarkStart w:id="31" w:name="_Toc261446164"/>
      <w:r>
        <w:t>5.12.11.2</w:t>
      </w:r>
      <w:r>
        <w:tab/>
        <w:t>Existing Municipally-Owned Generation</w:t>
      </w:r>
      <w:bookmarkEnd w:id="31"/>
    </w:p>
    <w:p w:rsidR="00B3061A" w:rsidRDefault="00841B10">
      <w:pPr>
        <w:pStyle w:val="Bodypara"/>
      </w:pPr>
      <w:r>
        <w:t>A municipal utility that owns existing generation in excess of its Unforced Capacity requirement, net</w:t>
      </w:r>
      <w:r>
        <w:t xml:space="preserve"> of NYPA-provided Capacity may, consistent with the deliverability requirements set forth in Attachment X and Attachment S to the ISO OATT, offer the excess Capacity for sale as Installed Capacity provided that it is willing to operate the generation at th</w:t>
      </w:r>
      <w:r>
        <w:t>e ISO’s request, and provided that the Energy produced is deliverable to the New York State Power System.  Such a municipal utility shall not be required to comply with the requirement of Section 5.12.7 of this Tariff that an Installed Capacity Supplier bi</w:t>
      </w:r>
      <w:r>
        <w:t>d into the Energy market or enter into Bilateral Transactions.  Municipal utilities shall, however, be required to submit their typical physical operating parameters, such as their start-up times, to the ISO.  This subsection is only applicable to municipa</w:t>
      </w:r>
      <w:r>
        <w:t>lly-owned generation in service or under construction as of December 31, 1999.</w:t>
      </w:r>
    </w:p>
    <w:p w:rsidR="00B3061A" w:rsidRDefault="00841B10">
      <w:pPr>
        <w:pStyle w:val="Heading4"/>
      </w:pPr>
      <w:bookmarkStart w:id="32" w:name="_Toc261446165"/>
      <w:r>
        <w:t>5.12.11.3</w:t>
      </w:r>
      <w:r>
        <w:tab/>
        <w:t>Energy Limited Resources</w:t>
      </w:r>
      <w:bookmarkEnd w:id="32"/>
    </w:p>
    <w:p w:rsidR="00B3061A" w:rsidRDefault="00841B10">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 the Day-Ahead Market each day and if it is able to</w:t>
      </w:r>
      <w:r>
        <w:t xml:space="preserve"> provide the Energy equivalent of the Unforced Capacity for the number of consecutive hours that correspond to its Energy Duration Limitation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w:t>
      </w:r>
      <w:r>
        <w:rPr>
          <w:iCs/>
        </w:rPr>
        <w:t>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B3061A" w:rsidRDefault="00841B10">
      <w:pPr>
        <w:pStyle w:val="Heading4"/>
      </w:pPr>
      <w:bookmarkStart w:id="33" w:name="_Toc261446166"/>
      <w:r>
        <w:t>5.12.11.4</w:t>
      </w:r>
      <w:r>
        <w:tab/>
        <w:t>Intermittent Power Resources</w:t>
      </w:r>
      <w:bookmarkEnd w:id="33"/>
    </w:p>
    <w:p w:rsidR="00B3061A" w:rsidRDefault="00841B10">
      <w:pPr>
        <w:pStyle w:val="Bodypara"/>
      </w:pPr>
      <w:r>
        <w:t>Intermittent Power Resources that depend upon wind or solar as the</w:t>
      </w:r>
      <w:r>
        <w:t xml:space="preserve">ir fuel may qualify as Installed Capacity Suppliers, without having to comply with the daily bidding and scheduling requirements set forth in Section 5.12.7 of this Tariff, and may, consistent with the deliverability requirements set forth in Attachment X </w:t>
      </w:r>
      <w:r>
        <w:t xml:space="preserve">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notification re</w:t>
      </w:r>
      <w:r>
        <w:t xml:space="preserve">quirements of 5.12.7 of this Tariff.  </w:t>
      </w:r>
    </w:p>
    <w:p w:rsidR="00B3061A" w:rsidRDefault="00841B10">
      <w:pPr>
        <w:pStyle w:val="Heading4"/>
      </w:pPr>
      <w:r>
        <w:t xml:space="preserve">5.12.11.5 </w:t>
      </w:r>
      <w:r>
        <w:tab/>
        <w:t xml:space="preserve">Installed Capacity Suppliers with an Energy Duration Limitation </w:t>
      </w:r>
    </w:p>
    <w:p w:rsidR="00B3061A" w:rsidRDefault="00841B10">
      <w:pPr>
        <w:pStyle w:val="Bodypara"/>
      </w:pPr>
      <w:r>
        <w:t>A Resource with an Energy Duration Limitation may, consistent with the deliverability requirements set forth in Attachment X and Attachment S</w:t>
      </w:r>
      <w:r>
        <w:t xml:space="preserve"> to the ISO OATT, qualify as an Installed Capacity Supplier with an Energy Duration Limitation if it Bids its Installed Capacity Equivalent into the Day-Ahead Market each day and if it is able to provide the Energy equivalent of the Unforced Capacity for t</w:t>
      </w:r>
      <w:r>
        <w:t xml:space="preserve">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w:t>
      </w:r>
      <w:r>
        <w:t xml:space="preserve">ignating </w:t>
      </w:r>
      <w:r>
        <w:rPr>
          <w:iCs/>
        </w:rPr>
        <w:t xml:space="preserve">their </w:t>
      </w:r>
      <w:r>
        <w:t xml:space="preserve">desired operating limits.  Installed Capacity Suppliers with an Energy Duration Limitation that are not scheduled in the Day-Ahead Market to operate at a level above their bid-in upper operating limit, may be scheduled </w:t>
      </w:r>
      <w:r>
        <w:rPr>
          <w:iCs/>
        </w:rPr>
        <w:t>in the RTC</w:t>
      </w:r>
      <w:r>
        <w:t xml:space="preserve">, or may be </w:t>
      </w:r>
      <w:r>
        <w:t xml:space="preserve">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B3061A" w:rsidRDefault="00841B10">
      <w:pPr>
        <w:pStyle w:val="Heading3"/>
      </w:pPr>
      <w:bookmarkStart w:id="34" w:name="_Toc261446167"/>
      <w:r>
        <w:t>5.12.12</w:t>
      </w:r>
      <w:r>
        <w:tab/>
        <w:t>Sanctions Applicable to Installed Capacit</w:t>
      </w:r>
      <w:r>
        <w:t>y Suppliers and Transmission Owners</w:t>
      </w:r>
      <w:bookmarkEnd w:id="34"/>
    </w:p>
    <w:p w:rsidR="00B3061A" w:rsidRDefault="00841B10">
      <w:pPr>
        <w:pStyle w:val="Bodypara"/>
      </w:pPr>
      <w:r>
        <w:t xml:space="preserve">Pursuant to this section, the ISO may impose financial sanctions on Installed Capacity Suppliers and Transmission Owners that fail to comply with certain provisions of this Tariff.  The ISO shall notify Installed </w:t>
      </w:r>
      <w:r>
        <w:rPr>
          <w:rFonts w:eastAsia="Times New Roman"/>
          <w:snapToGrid w:val="0"/>
          <w:szCs w:val="20"/>
        </w:rPr>
        <w:t>Capacit</w:t>
      </w:r>
      <w:r>
        <w:rPr>
          <w:rFonts w:eastAsia="Times New Roman"/>
          <w:snapToGrid w:val="0"/>
          <w:szCs w:val="20"/>
        </w:rPr>
        <w:t>y</w:t>
      </w:r>
      <w:r>
        <w:t xml:space="preserve"> Suppliers and Transmission Owners prior to imposing any sanction and shall afford them a reasonable opportunity to demonstrate that they should not be sanctioned and/or to offer mitigating reasons why they should be subject to a lesser sanction.  The ISO</w:t>
      </w:r>
      <w:r>
        <w:t xml:space="preserve"> may impose a sanction lower than the maximum amounts allowed by this section at its sole discretion.  Installed Capacity Suppliers and Transmission Owners may challenge any sanction imposed by the ISO pursuant to the ISO Dispute Resolution Procedures.</w:t>
      </w:r>
    </w:p>
    <w:p w:rsidR="00B3061A" w:rsidRDefault="00841B10">
      <w:pPr>
        <w:pStyle w:val="Bodypara"/>
      </w:pPr>
      <w:r>
        <w:t>Any</w:t>
      </w:r>
      <w:r>
        <w:t xml:space="preserve"> sanctions collected by the ISO pursuant to this section will be applied to reduce the Rate Schedule 1 charge under this Tariff.</w:t>
      </w:r>
    </w:p>
    <w:p w:rsidR="00B3061A" w:rsidRDefault="00841B10">
      <w:pPr>
        <w:pStyle w:val="Heading4"/>
      </w:pPr>
      <w:bookmarkStart w:id="35" w:name="_Toc261446168"/>
      <w:r>
        <w:t>5.12.12.1</w:t>
      </w:r>
      <w:r>
        <w:tab/>
        <w:t>Sanctions for Failing to Provide Required Information</w:t>
      </w:r>
      <w:bookmarkEnd w:id="35"/>
    </w:p>
    <w:p w:rsidR="00B3061A" w:rsidRDefault="00841B10">
      <w:pPr>
        <w:pStyle w:val="Bodypara"/>
      </w:pPr>
      <w:r>
        <w:t>If (i) an Installed Capacity Supplier fails to provide the info</w:t>
      </w:r>
      <w:r>
        <w:t xml:space="preserve">rmation required by Sections 5.12.1.1, 5.12.1.2, 5.12.1.3, 5.12.1.4, 5.12.1.7 or 5.12.1.8 of this Tariff in a timely fashion, or (ii) a Supplier of Unforced Capacity from External System Resources located in an External Control Area or from a Control Area </w:t>
      </w:r>
      <w:r>
        <w:t xml:space="preserve">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information required for certification as an In</w:t>
      </w:r>
      <w:r>
        <w:t>stalled Capacity Supplier established in the ISO Procedures, the ISO may take the following actions:  On the first day that required information is late, the ISO shall notify the Installed Capacity Supplier that required information is past due and that it</w:t>
      </w:r>
      <w:r>
        <w:t xml:space="preserve"> reserves the right to impose financial sanctions if the information is not provided by the end of the following day.  Starting on the third day that the required information is late, the ISO may impose a daily financial sanction of up to the higher of $50</w:t>
      </w:r>
      <w:r>
        <w:t>0 or $5 per MW of Installed Capacity that the Generator, System Resource, or Control Area System Resource in question is capable of providing.  Starting on the tenth day that the required information is late, the ISO may impose a daily financial sanction o</w:t>
      </w:r>
      <w:r>
        <w:t>f up to the higher of $1000 or $10 per MW of Installed Capacity that the Generator, System Resource, or Control Area System Resource in question is capable of providing.</w:t>
      </w:r>
    </w:p>
    <w:p w:rsidR="00B3061A" w:rsidRDefault="00841B10">
      <w:pPr>
        <w:pStyle w:val="Bodypara"/>
      </w:pPr>
      <w:r>
        <w:t>If an Installed Capacity Supplier fails to provide the information required by Subsect</w:t>
      </w:r>
      <w:r>
        <w:t>ion 5.12.1.5 of this Tariff in a timely fashion, the ISO may take the following actions:  On the first calendar day that required information is late, the ISO shall notify the Installed Capacity Supplier that required information is past due and that it re</w:t>
      </w:r>
      <w:r>
        <w:t xml:space="preserv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impose a daily financial sanction up to the hig</w:t>
      </w:r>
      <w:r>
        <w:t>her of $500 or $5 per MW of Installed Capacity that the Generator, System Resource, or Control Area System Resource in question is capable of providing.</w:t>
      </w:r>
    </w:p>
    <w:p w:rsidR="00B3061A" w:rsidRDefault="00841B10">
      <w:pPr>
        <w:pStyle w:val="Bodypara"/>
      </w:pPr>
      <w:r>
        <w:t>If a TO fails to provide the information required by Subsection 5.11.3 of this Tariff in a timely fashi</w:t>
      </w:r>
      <w:r>
        <w:t xml:space="preserve">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financial</w:t>
      </w:r>
      <w:r>
        <w:t xml:space="preserve"> sanctions if the information is not provid</w:t>
      </w:r>
      <w:r>
        <w:t>ed by the end of the following day.  Starting on the third day that the required information is late, the ISO may impose a daily financial sanction up to $5,000 a day.  Starting on the tenth day that required information is late, the ISO may impose a daily</w:t>
      </w:r>
      <w:r>
        <w:t xml:space="preserve"> financial sanction up to $10,000.</w:t>
      </w:r>
    </w:p>
    <w:p w:rsidR="00B3061A" w:rsidRDefault="00841B10">
      <w:pPr>
        <w:pStyle w:val="Heading4"/>
      </w:pPr>
      <w:bookmarkStart w:id="36" w:name="_Toc261446169"/>
      <w:r>
        <w:t>5.12.12.2</w:t>
      </w:r>
      <w:r>
        <w:tab/>
        <w:t>Sanctions for Failing to Comply with Scheduling, Bidding, and Notification Requirements</w:t>
      </w:r>
      <w:bookmarkEnd w:id="36"/>
    </w:p>
    <w:p w:rsidR="00B3061A" w:rsidRDefault="00841B10">
      <w:pPr>
        <w:pStyle w:val="Bodypara"/>
      </w:pPr>
      <w:r>
        <w:t>On any day in which an Installed Capacity Supplier fails to comply with the scheduling, bidding, or notification requiremen</w:t>
      </w:r>
      <w:r>
        <w:t>ts of Sections 5.12.1.6 or 5.12.1.10, or with Section 5.12.7 of this Tariff, or in which a Supplier of Installed Capacity from External System Resources or Control Area System Resources located in an External Control Area that has agreed not to Curtail the</w:t>
      </w:r>
      <w:r>
        <w:t xml:space="preserve"> Energy associated with such Installed Capacity, or to afford it the same Curtailment priority that it affords its own Control Area Load, fails to comply with scheduling, bidding, or notification requirements for certification as an Installed Capacity Supp</w:t>
      </w:r>
      <w:r>
        <w:t xml:space="preserve">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MWs that the Installed Capacity Supplier failed</w:t>
      </w:r>
      <w:r>
        <w:t xml:space="preserve"> to schedule or Bid in any hour in that day provided, however, that no financial sanction shall apply to any Installed Capacity Supplier who demonstrates that the Energy it schedules, bids, or declares to be unavailable on any day is not less than the Inst</w:t>
      </w:r>
      <w:r>
        <w:t xml:space="preserve">alled Capacity that it supplies for that day rounded down to the nearest 0.1 MW, or rounded down to the nearest whole MW for an External Installed Capacity Supplier.  For Installed Capacity Suppliers that have an Energy Duration Limitation, the deficiency </w:t>
      </w:r>
      <w:r>
        <w:t>charge will be pro-rated on a daily basis only taking into account hours during the Peak Load Window corresponding with the Resource’s Energy Duration Limitation obligation, excluding Energy Storage Resources which will be evaluated over all hours during t</w:t>
      </w:r>
      <w:r>
        <w:t>he Peak Load Window, and the maximum number of MWs that the Installed Capacity Supplier with an Energy Duration Limitation failed to schedule or Bid in any hour in the Peak Load Window of that day provided, however, that no financial sanction shall apply t</w:t>
      </w:r>
      <w:r>
        <w:t>o any Installed Capacity Supplier that demonstrates that the Energy it schedules, bids, or declares to be unavailable on any day is not less than the Installed Capacity that it supplies for that day rounded down to the nearest 0.1 MW.  The deficiency charg</w:t>
      </w:r>
      <w:r>
        <w:t xml:space="preserve">e may be up to one and one-half times the applicable Market-Clearing Price of Unforced Capacity determined in the ICAP Spot Market Auction corresponding to where the Installed Capacity Supplier’s capacity cleared, and for each month in which the Installed </w:t>
      </w:r>
      <w:r>
        <w:t>Capacity Supplier is determined not to have complied with the foregoing requirements.</w:t>
      </w:r>
    </w:p>
    <w:p w:rsidR="00B3061A" w:rsidRDefault="00841B10">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w:t>
      </w:r>
      <w:r>
        <w:t>ion 5.12.7 of this Tariff, or if an Installed Capacity Supplier of Unforced Capacity from an External Control Aria fails to comply with the scheduling, bidding, or notification requirements for certification as an Installed Capacity Supplier established in</w:t>
      </w:r>
      <w:r>
        <w:t xml:space="preserve"> the ISO Procedures, during an hour in which the ISO curtails Exports associated with NYCA Installed Capacity Suppliers consistent with Section 5.12.10 of this Tariff and with ISO Procedures, then the ISO may impose an additional financial sanction equal t</w:t>
      </w:r>
      <w:r>
        <w:t>o the product of the number of MWs the Installed Capacity Supplier failed to schedule during that hour and the corresponding Real-Time LBMP at the applicable Proxy Generator Bus.</w:t>
      </w:r>
    </w:p>
    <w:p w:rsidR="00B3061A" w:rsidRDefault="00841B10">
      <w:pPr>
        <w:pStyle w:val="BodyText"/>
        <w:spacing w:before="69" w:line="480" w:lineRule="auto"/>
        <w:ind w:right="121" w:firstLine="620"/>
      </w:pPr>
      <w:r>
        <w:rPr>
          <w:spacing w:val="-1"/>
        </w:rPr>
        <w:t>To the extent an Installed Capacity Supplier of Unforced Capacity from an Ext</w:t>
      </w:r>
      <w:r>
        <w:rPr>
          <w:spacing w:val="-1"/>
        </w:rPr>
        <w:t xml:space="preserve">ernal Control Area </w:t>
      </w:r>
      <w:r>
        <w:t xml:space="preserve">or an External Generator associated with an Unforced Capacity sale using UDRs or EDRs </w:t>
      </w:r>
      <w:r>
        <w:rPr>
          <w:spacing w:val="-1"/>
        </w:rPr>
        <w:t xml:space="preserve">fails to comply with Section 5.12.1.10 of this Tariff, the Installed Capacity Supplier </w:t>
      </w:r>
      <w:r>
        <w:t xml:space="preserve">or External Generator associated with an Unforced Capacity sale </w:t>
      </w:r>
      <w:r>
        <w:t xml:space="preserve">using UDRs or EDRs </w:t>
      </w:r>
      <w:r>
        <w:rPr>
          <w:spacing w:val="-1"/>
        </w:rPr>
        <w:t>shall be subject to a</w:t>
      </w:r>
      <w:r>
        <w:t xml:space="preserve"> deficiency charge calculated in accordance with the formula set forth below for each Obligation Procurement Period:</w:t>
      </w:r>
    </w:p>
    <w:p w:rsidR="00B3061A" w:rsidRDefault="00841B10">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B3061A" w:rsidRDefault="00841B10">
      <w:pPr>
        <w:pStyle w:val="BodyText"/>
        <w:spacing w:before="240" w:line="480" w:lineRule="auto"/>
        <w:ind w:left="101" w:right="115" w:firstLine="619"/>
      </w:pPr>
      <w:r>
        <w:t>Where:</w:t>
      </w:r>
    </w:p>
    <w:p w:rsidR="00B3061A" w:rsidRDefault="00841B10">
      <w:pPr>
        <w:pStyle w:val="BodyText"/>
        <w:spacing w:before="69" w:line="480" w:lineRule="auto"/>
        <w:ind w:left="1620" w:right="121" w:hanging="720"/>
      </w:pPr>
      <w:r>
        <w:t>N = total number of hours of SRE calls during the relevant Obligation Procurement Period</w:t>
      </w:r>
    </w:p>
    <w:p w:rsidR="00B3061A" w:rsidRDefault="00841B10">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B3061A" w:rsidRDefault="00841B10">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using UDRs or EDRs,</w:t>
      </w:r>
      <w:r>
        <w:t xml:space="preserve">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External Installed Capacity Supplier that is a Generator, o</w:t>
      </w:r>
      <w:r>
        <w:t>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xml:space="preserve">, and (y) any MWh that were Bid as Imports to the NYCA </w:t>
      </w:r>
      <w:r>
        <w:rPr>
          <w:spacing w:val="-1"/>
        </w:rPr>
        <w:t>at the appropriate Proxy Generator Bus at a price that was designed to ensure the Import was scheduled to the greatest extent possible, but that were not scheduled by the ISO</w:t>
      </w:r>
    </w:p>
    <w:p w:rsidR="00B3061A" w:rsidRDefault="00841B10">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 xml:space="preserve">MWh provided to the NYCA at the appropriate Proxy Generator Bus from the </w:t>
      </w:r>
      <w:r>
        <w:t>External Installed Capacity Supplier that is a Generator, or the External Generator associated with an Unforced Capacity sale using UDRs or EDRs, or the Control Area System Resource,</w:t>
      </w:r>
      <w:r>
        <w:rPr>
          <w:spacing w:val="-1"/>
        </w:rPr>
        <w:t xml:space="preserve"> </w:t>
      </w:r>
      <w:r>
        <w:rPr>
          <w:spacing w:val="-1"/>
        </w:rPr>
        <w:t xml:space="preserve">during each hour </w:t>
      </w:r>
      <w:r>
        <w:rPr>
          <w:i/>
          <w:spacing w:val="-1"/>
        </w:rPr>
        <w:t>n</w:t>
      </w:r>
      <w:r>
        <w:rPr>
          <w:spacing w:val="-1"/>
        </w:rPr>
        <w:t xml:space="preserve"> of SRE calls </w:t>
      </w:r>
      <w:r>
        <w:t>during the relevant Obligation Procurement Period.</w:t>
      </w:r>
    </w:p>
    <w:p w:rsidR="00B3061A" w:rsidRDefault="00841B10">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w:t>
      </w:r>
      <w:r>
        <w:t>la set forth</w:t>
      </w:r>
      <w:r>
        <w:rPr>
          <w:spacing w:val="-1"/>
        </w:rPr>
        <w:t xml:space="preserve"> above, also permit the ISO to impose a different deficiency charge or a financial sanction under this Section 5.12.12.2, or to impose a deficiency charge for a shortfall under Section 5.14.2.2 of this Tariff, then the ISO shall only impose the</w:t>
      </w:r>
      <w:r>
        <w:rPr>
          <w:spacing w:val="-1"/>
        </w:rPr>
        <w:t xml:space="preserve"> penalty for failure to comply with Section 5.12.1.10 of this Tariff on the Installed Capacity Supplier for the hour(s) in which the Installed Capacity Supplier failed to meet its obligations under Section 5.12.1.10 of this Tariff.</w:t>
      </w:r>
    </w:p>
    <w:p w:rsidR="00B3061A" w:rsidRDefault="00841B1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w:t>
      </w:r>
      <w:r>
        <w:rPr>
          <w:rFonts w:ascii="Times New Roman" w:hAnsi="Times New Roman"/>
          <w:sz w:val="24"/>
          <w:szCs w:val="24"/>
        </w:rPr>
        <w:t>y Supplier is a Responsible Interface Party that enrolled a SCR with an Incremental ACL in accordance with this Services Tariff, and also reported an increase to the Installed Capacity the SCR has eligible to sell after the first performance test in the Ca</w:t>
      </w:r>
      <w:r>
        <w:rPr>
          <w:rFonts w:ascii="Times New Roman" w:hAnsi="Times New Roman"/>
          <w:sz w:val="24"/>
          <w:szCs w:val="24"/>
        </w:rPr>
        <w:t xml:space="preserve">pability Period, the ISO may impose an additional financial sanction due to the failure of the RIP to report the required performance of the SCR against the Net ACL value in the second performance test in the Capability Period.  This sanction shall be the </w:t>
      </w:r>
      <w:r>
        <w:rPr>
          <w:rFonts w:ascii="Times New Roman" w:hAnsi="Times New Roman"/>
          <w:sz w:val="24"/>
          <w:szCs w:val="24"/>
        </w:rPr>
        <w:t>value of the reported increase in the eligible Installed Capacity associated with the SCR that was sold by the RIP in each month of the Capability Period, during which the reported increase was in effect, multiplied by up to one and one-half times the appl</w:t>
      </w:r>
      <w:r>
        <w:rPr>
          <w:rFonts w:ascii="Times New Roman" w:hAnsi="Times New Roman"/>
          <w:sz w:val="24"/>
          <w:szCs w:val="24"/>
        </w:rPr>
        <w:t>icable Market-Clearing Price of Unforced Capacity determined in the ICAP Spot Market Auction for each such month.</w:t>
      </w:r>
    </w:p>
    <w:p w:rsidR="00B3061A" w:rsidRDefault="00841B1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w:t>
      </w:r>
      <w:r>
        <w:rPr>
          <w:rFonts w:ascii="Times New Roman" w:hAnsi="Times New Roman"/>
          <w:sz w:val="24"/>
          <w:szCs w:val="24"/>
        </w:rPr>
        <w:t xml:space="preserve">reased after the first performance test in the Capability Period, due to a SCR Change of Status in accordance with this Services Tariff and ISO Procedures, the ISO may impose an additional financial sanction resulting from the failure of the RIP to report </w:t>
      </w:r>
      <w:r>
        <w:rPr>
          <w:rFonts w:ascii="Times New Roman" w:hAnsi="Times New Roman"/>
          <w:sz w:val="24"/>
          <w:szCs w:val="24"/>
        </w:rPr>
        <w:t xml:space="preserve">the required performance of the SCR against the Net ACL value of the SCR when the SCR was required to perform in the second performance test in the Capability Period in accordance with Section 5.12.11.1.3.2 of this Services Tariff.  This sanction shall be </w:t>
      </w:r>
      <w:r>
        <w:rPr>
          <w:rFonts w:ascii="Times New Roman" w:hAnsi="Times New Roman"/>
          <w:sz w:val="24"/>
          <w:szCs w:val="24"/>
        </w:rPr>
        <w:t>the value of the Unforced Capacity equivalent of the SCR Change of Status MW reported for the SCR during the months for which the SCR was enrolled with a SCR Change of Status and was required to demonstrate in the second performance test as specified in Se</w:t>
      </w:r>
      <w:r>
        <w:rPr>
          <w:rFonts w:ascii="Times New Roman" w:hAnsi="Times New Roman"/>
          <w:sz w:val="24"/>
          <w:szCs w:val="24"/>
        </w:rPr>
        <w:t>ction 5.12.11.1.3.2 of this Services Tariff, multiplied by up to one and one-half times the applicable Market-Clearing Price of Unforced Capacity determined in the ICAP Spot Market Auction for each such month.</w:t>
      </w:r>
    </w:p>
    <w:p w:rsidR="00B3061A" w:rsidRDefault="00841B1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w:t>
      </w:r>
      <w:r>
        <w:rPr>
          <w:rFonts w:ascii="Times New Roman" w:hAnsi="Times New Roman"/>
          <w:sz w:val="24"/>
          <w:szCs w:val="24"/>
        </w:rPr>
        <w:t>ired by Section 5.12.11.1.3 of this Services Tariff in accordance with the ISO Procedures for reporting a Qualified Change of Status Condition, and the ISO determines that a SCR Change of Status occurred within a Capability Period, the ISO may impose a fin</w:t>
      </w:r>
      <w:r>
        <w:rPr>
          <w:rFonts w:ascii="Times New Roman" w:hAnsi="Times New Roman"/>
          <w:sz w:val="24"/>
          <w:szCs w:val="24"/>
        </w:rPr>
        <w:t>ancial sanction equal to the difference, if positive, between the enrolled ACL and the maximum one hour metered Load for the month multiplied by up to one-half times the applicable Market-Clearing Price of Unforced Capacity determined in the ICAP Spot Mark</w:t>
      </w:r>
      <w:r>
        <w:rPr>
          <w:rFonts w:ascii="Times New Roman" w:hAnsi="Times New Roman"/>
          <w:sz w:val="24"/>
          <w:szCs w:val="24"/>
        </w:rPr>
        <w:t xml:space="preserve">et Auction for each month the Installed Capacity Supplier is deemed to have a shortfall in addition to the corresponding shortfall penalty as provided in Section 5.14.2. </w:t>
      </w:r>
    </w:p>
    <w:p w:rsidR="00B3061A" w:rsidRDefault="00841B10">
      <w:pPr>
        <w:pStyle w:val="Bodypara"/>
      </w:pPr>
      <w:r>
        <w:t>For each month in which a RIP fails to report required verification data and the appl</w:t>
      </w:r>
      <w:r>
        <w:t xml:space="preserve">icable ACL value is set to zero in accordance with Section 5.12.11 of this Services Tariff, the ISO shall have the right to recover any energy payments made to the RIP for performance of the SCR by reducing other payments or other lawful means. </w:t>
      </w:r>
    </w:p>
    <w:p w:rsidR="00B3061A" w:rsidRDefault="00841B10">
      <w:pPr>
        <w:pStyle w:val="Heading3"/>
      </w:pPr>
      <w:r>
        <w:t>5.12.14</w:t>
      </w:r>
      <w:r>
        <w:tab/>
        <w:t>En</w:t>
      </w:r>
      <w:r>
        <w:t>ergy Duration Limitations and Duration Adjustment Factors for Installed Capacity Suppliers</w:t>
      </w:r>
    </w:p>
    <w:p w:rsidR="00B3061A" w:rsidRDefault="00841B10">
      <w:pPr>
        <w:pStyle w:val="Bodypara"/>
      </w:pPr>
      <w:r>
        <w:t>Starting with the Capability Year that begins on May 1, 2021, Resources with a limited run-time that meet the Energy Duration Limitations identified in the tables be</w:t>
      </w:r>
      <w:r>
        <w:t>low may qualify to participate as Installed Capacity Suppliers.  Resources with a limited run-time must elect an Energy Duration Limitation that is less than or equal to the Resource’s ability to demonstrate sustained output at its qualified MW amount.  Re</w:t>
      </w:r>
      <w:r>
        <w:t>sources that do not have an Energy Duration Limitation will have a Duration Adjustment Factor of 100%.  The Adjusted Installed Capacity for an Installed Capacity Supplier shall be calculated using the applicable Energy Duration Limitations and Duration Adj</w:t>
      </w:r>
      <w:r>
        <w:t>ustment Factors, and in accordance with ISO Procedures, starting with the 2021/2022 Capability Year, as determined by the MW count of incremental penetration of Resources with Energy Duration Limitations as listed below:</w:t>
      </w:r>
    </w:p>
    <w:p w:rsidR="00B3061A" w:rsidRDefault="00841B10">
      <w:pPr>
        <w:pStyle w:val="Normal0"/>
        <w:spacing w:line="480" w:lineRule="auto"/>
      </w:pPr>
      <w:r>
        <w:t>Table 1:</w:t>
      </w:r>
    </w:p>
    <w:tbl>
      <w:tblPr>
        <w:tblStyle w:val="TableGrid"/>
        <w:tblW w:w="0" w:type="auto"/>
        <w:tblLook w:val="04A0" w:firstRow="1" w:lastRow="0" w:firstColumn="1" w:lastColumn="0" w:noHBand="0" w:noVBand="1"/>
      </w:tblPr>
      <w:tblGrid>
        <w:gridCol w:w="4675"/>
        <w:gridCol w:w="4675"/>
      </w:tblGrid>
      <w:tr w:rsidR="00B3558D">
        <w:tc>
          <w:tcPr>
            <w:tcW w:w="9350" w:type="dxa"/>
            <w:gridSpan w:val="2"/>
          </w:tcPr>
          <w:p w:rsidR="00B3061A" w:rsidRDefault="00841B10">
            <w:pPr>
              <w:pStyle w:val="Normal0"/>
              <w:spacing w:line="480" w:lineRule="auto"/>
              <w:jc w:val="center"/>
            </w:pPr>
            <w:r>
              <w:t>Incremental Penetration of</w:t>
            </w:r>
            <w:r>
              <w:t xml:space="preserve"> Resources with Energy Duration Limitations is less than 1000 MW</w:t>
            </w:r>
          </w:p>
        </w:tc>
      </w:tr>
      <w:tr w:rsidR="00B3558D">
        <w:tc>
          <w:tcPr>
            <w:tcW w:w="4675" w:type="dxa"/>
          </w:tcPr>
          <w:p w:rsidR="00B3061A" w:rsidRDefault="00841B10">
            <w:pPr>
              <w:pStyle w:val="Normal0"/>
              <w:spacing w:line="480" w:lineRule="auto"/>
              <w:jc w:val="center"/>
            </w:pPr>
            <w:r>
              <w:t>Energy Duration Limitations (hours)</w:t>
            </w:r>
          </w:p>
        </w:tc>
        <w:tc>
          <w:tcPr>
            <w:tcW w:w="4675" w:type="dxa"/>
          </w:tcPr>
          <w:p w:rsidR="00B3061A" w:rsidRDefault="00841B10">
            <w:pPr>
              <w:pStyle w:val="Normal0"/>
              <w:spacing w:line="480" w:lineRule="auto"/>
              <w:jc w:val="center"/>
            </w:pPr>
            <w:r>
              <w:t>Duration Adjustment Factor (%)</w:t>
            </w:r>
          </w:p>
        </w:tc>
      </w:tr>
      <w:tr w:rsidR="00B3558D">
        <w:tc>
          <w:tcPr>
            <w:tcW w:w="4675" w:type="dxa"/>
          </w:tcPr>
          <w:p w:rsidR="00B3061A" w:rsidRDefault="00841B10">
            <w:pPr>
              <w:pStyle w:val="Normal0"/>
              <w:spacing w:line="480" w:lineRule="auto"/>
              <w:jc w:val="center"/>
            </w:pPr>
            <w:r>
              <w:t>8</w:t>
            </w:r>
          </w:p>
        </w:tc>
        <w:tc>
          <w:tcPr>
            <w:tcW w:w="4675" w:type="dxa"/>
          </w:tcPr>
          <w:p w:rsidR="00B3061A" w:rsidRDefault="00841B10">
            <w:pPr>
              <w:pStyle w:val="Normal0"/>
              <w:spacing w:line="480" w:lineRule="auto"/>
              <w:jc w:val="center"/>
            </w:pPr>
            <w:r>
              <w:t>100</w:t>
            </w:r>
          </w:p>
        </w:tc>
      </w:tr>
      <w:tr w:rsidR="00B3558D">
        <w:tc>
          <w:tcPr>
            <w:tcW w:w="4675" w:type="dxa"/>
          </w:tcPr>
          <w:p w:rsidR="00B3061A" w:rsidRDefault="00841B10">
            <w:pPr>
              <w:pStyle w:val="Normal0"/>
              <w:spacing w:line="480" w:lineRule="auto"/>
              <w:jc w:val="center"/>
            </w:pPr>
            <w:r>
              <w:t>6</w:t>
            </w:r>
          </w:p>
        </w:tc>
        <w:tc>
          <w:tcPr>
            <w:tcW w:w="4675" w:type="dxa"/>
          </w:tcPr>
          <w:p w:rsidR="00B3061A" w:rsidRDefault="00841B10">
            <w:pPr>
              <w:pStyle w:val="Normal0"/>
              <w:spacing w:line="480" w:lineRule="auto"/>
              <w:jc w:val="center"/>
            </w:pPr>
            <w:r>
              <w:t>100</w:t>
            </w:r>
          </w:p>
        </w:tc>
      </w:tr>
      <w:tr w:rsidR="00B3558D">
        <w:tc>
          <w:tcPr>
            <w:tcW w:w="4675" w:type="dxa"/>
          </w:tcPr>
          <w:p w:rsidR="00B3061A" w:rsidRDefault="00841B10">
            <w:pPr>
              <w:pStyle w:val="Normal0"/>
              <w:spacing w:line="480" w:lineRule="auto"/>
              <w:jc w:val="center"/>
            </w:pPr>
            <w:r>
              <w:t>4</w:t>
            </w:r>
          </w:p>
        </w:tc>
        <w:tc>
          <w:tcPr>
            <w:tcW w:w="4675" w:type="dxa"/>
          </w:tcPr>
          <w:p w:rsidR="00B3061A" w:rsidRDefault="00841B10">
            <w:pPr>
              <w:pStyle w:val="Normal0"/>
              <w:spacing w:line="480" w:lineRule="auto"/>
              <w:jc w:val="center"/>
            </w:pPr>
            <w:r>
              <w:t>90</w:t>
            </w:r>
          </w:p>
        </w:tc>
      </w:tr>
      <w:tr w:rsidR="00B3558D">
        <w:tc>
          <w:tcPr>
            <w:tcW w:w="4675" w:type="dxa"/>
          </w:tcPr>
          <w:p w:rsidR="00B3061A" w:rsidRDefault="00841B10">
            <w:pPr>
              <w:pStyle w:val="Normal0"/>
              <w:spacing w:line="480" w:lineRule="auto"/>
              <w:jc w:val="center"/>
            </w:pPr>
            <w:r>
              <w:t>2</w:t>
            </w:r>
          </w:p>
        </w:tc>
        <w:tc>
          <w:tcPr>
            <w:tcW w:w="4675" w:type="dxa"/>
          </w:tcPr>
          <w:p w:rsidR="00B3061A" w:rsidRDefault="00841B10">
            <w:pPr>
              <w:pStyle w:val="Normal0"/>
              <w:spacing w:line="480" w:lineRule="auto"/>
              <w:jc w:val="center"/>
            </w:pPr>
            <w:r>
              <w:t>45</w:t>
            </w:r>
          </w:p>
        </w:tc>
      </w:tr>
    </w:tbl>
    <w:p w:rsidR="00B3061A" w:rsidRDefault="00841B10">
      <w:pPr>
        <w:pStyle w:val="Normal0"/>
        <w:spacing w:line="480" w:lineRule="auto"/>
      </w:pPr>
    </w:p>
    <w:p w:rsidR="00B3061A" w:rsidRDefault="00841B10">
      <w:pPr>
        <w:pStyle w:val="Normal0"/>
        <w:spacing w:line="480" w:lineRule="auto"/>
      </w:pPr>
      <w:r>
        <w:t>Table 2:</w:t>
      </w:r>
    </w:p>
    <w:tbl>
      <w:tblPr>
        <w:tblStyle w:val="TableGrid"/>
        <w:tblW w:w="0" w:type="auto"/>
        <w:tblLook w:val="04A0" w:firstRow="1" w:lastRow="0" w:firstColumn="1" w:lastColumn="0" w:noHBand="0" w:noVBand="1"/>
      </w:tblPr>
      <w:tblGrid>
        <w:gridCol w:w="4675"/>
        <w:gridCol w:w="4675"/>
      </w:tblGrid>
      <w:tr w:rsidR="00B3558D">
        <w:tc>
          <w:tcPr>
            <w:tcW w:w="9350" w:type="dxa"/>
            <w:gridSpan w:val="2"/>
          </w:tcPr>
          <w:p w:rsidR="00B3061A" w:rsidRDefault="00841B10">
            <w:pPr>
              <w:pStyle w:val="Normal0"/>
              <w:spacing w:line="480" w:lineRule="auto"/>
              <w:jc w:val="center"/>
            </w:pPr>
            <w:r>
              <w:t xml:space="preserve">Incremental Penetration of Resources with Energy Duration Limitations 1000 MW and above </w:t>
            </w:r>
          </w:p>
        </w:tc>
      </w:tr>
      <w:tr w:rsidR="00B3558D">
        <w:tc>
          <w:tcPr>
            <w:tcW w:w="4675" w:type="dxa"/>
          </w:tcPr>
          <w:p w:rsidR="00B3061A" w:rsidRDefault="00841B10">
            <w:pPr>
              <w:pStyle w:val="Normal0"/>
              <w:spacing w:line="480" w:lineRule="auto"/>
              <w:jc w:val="center"/>
            </w:pPr>
            <w:r>
              <w:t>Energy Duration Limitations (hours)</w:t>
            </w:r>
          </w:p>
        </w:tc>
        <w:tc>
          <w:tcPr>
            <w:tcW w:w="4675" w:type="dxa"/>
          </w:tcPr>
          <w:p w:rsidR="00B3061A" w:rsidRDefault="00841B10">
            <w:pPr>
              <w:pStyle w:val="Normal0"/>
              <w:spacing w:line="480" w:lineRule="auto"/>
              <w:jc w:val="center"/>
            </w:pPr>
            <w:r>
              <w:t>Duration Adjustment Factor (%)</w:t>
            </w:r>
          </w:p>
        </w:tc>
      </w:tr>
      <w:tr w:rsidR="00B3558D">
        <w:tc>
          <w:tcPr>
            <w:tcW w:w="4675" w:type="dxa"/>
          </w:tcPr>
          <w:p w:rsidR="00B3061A" w:rsidRDefault="00841B10">
            <w:pPr>
              <w:pStyle w:val="Normal0"/>
              <w:spacing w:line="480" w:lineRule="auto"/>
              <w:jc w:val="center"/>
            </w:pPr>
            <w:r>
              <w:t>8</w:t>
            </w:r>
          </w:p>
        </w:tc>
        <w:tc>
          <w:tcPr>
            <w:tcW w:w="4675" w:type="dxa"/>
          </w:tcPr>
          <w:p w:rsidR="00B3061A" w:rsidRDefault="00841B10">
            <w:pPr>
              <w:pStyle w:val="Normal0"/>
              <w:spacing w:line="480" w:lineRule="auto"/>
              <w:jc w:val="center"/>
            </w:pPr>
            <w:r>
              <w:t>100</w:t>
            </w:r>
          </w:p>
        </w:tc>
      </w:tr>
      <w:tr w:rsidR="00B3558D">
        <w:tc>
          <w:tcPr>
            <w:tcW w:w="4675" w:type="dxa"/>
          </w:tcPr>
          <w:p w:rsidR="00B3061A" w:rsidRDefault="00841B10">
            <w:pPr>
              <w:pStyle w:val="Normal0"/>
              <w:spacing w:line="480" w:lineRule="auto"/>
              <w:jc w:val="center"/>
            </w:pPr>
            <w:r>
              <w:t>6</w:t>
            </w:r>
          </w:p>
        </w:tc>
        <w:tc>
          <w:tcPr>
            <w:tcW w:w="4675" w:type="dxa"/>
          </w:tcPr>
          <w:p w:rsidR="00B3061A" w:rsidRDefault="00841B10">
            <w:pPr>
              <w:pStyle w:val="Normal0"/>
              <w:spacing w:line="480" w:lineRule="auto"/>
              <w:jc w:val="center"/>
            </w:pPr>
            <w:r>
              <w:t>90</w:t>
            </w:r>
          </w:p>
        </w:tc>
      </w:tr>
      <w:tr w:rsidR="00B3558D">
        <w:tc>
          <w:tcPr>
            <w:tcW w:w="4675" w:type="dxa"/>
          </w:tcPr>
          <w:p w:rsidR="00B3061A" w:rsidRDefault="00841B10">
            <w:pPr>
              <w:pStyle w:val="Normal0"/>
              <w:spacing w:line="480" w:lineRule="auto"/>
              <w:jc w:val="center"/>
            </w:pPr>
            <w:r>
              <w:t>4</w:t>
            </w:r>
          </w:p>
        </w:tc>
        <w:tc>
          <w:tcPr>
            <w:tcW w:w="4675" w:type="dxa"/>
          </w:tcPr>
          <w:p w:rsidR="00B3061A" w:rsidRDefault="00841B10">
            <w:pPr>
              <w:pStyle w:val="Normal0"/>
              <w:spacing w:line="480" w:lineRule="auto"/>
              <w:jc w:val="center"/>
            </w:pPr>
            <w:r>
              <w:t>75</w:t>
            </w:r>
          </w:p>
        </w:tc>
      </w:tr>
      <w:tr w:rsidR="00B3558D">
        <w:tc>
          <w:tcPr>
            <w:tcW w:w="4675" w:type="dxa"/>
          </w:tcPr>
          <w:p w:rsidR="00B3061A" w:rsidRDefault="00841B10">
            <w:pPr>
              <w:pStyle w:val="Normal0"/>
              <w:spacing w:line="480" w:lineRule="auto"/>
              <w:jc w:val="center"/>
            </w:pPr>
            <w:r>
              <w:t>2</w:t>
            </w:r>
          </w:p>
        </w:tc>
        <w:tc>
          <w:tcPr>
            <w:tcW w:w="4675" w:type="dxa"/>
          </w:tcPr>
          <w:p w:rsidR="00B3061A" w:rsidRDefault="00841B10">
            <w:pPr>
              <w:pStyle w:val="Normal0"/>
              <w:spacing w:line="480" w:lineRule="auto"/>
              <w:jc w:val="center"/>
            </w:pPr>
            <w:r>
              <w:t>37.5</w:t>
            </w:r>
          </w:p>
        </w:tc>
      </w:tr>
    </w:tbl>
    <w:p w:rsidR="00B3061A" w:rsidRDefault="00841B10">
      <w:pPr>
        <w:pStyle w:val="Normal0"/>
        <w:spacing w:line="480" w:lineRule="auto"/>
      </w:pPr>
    </w:p>
    <w:p w:rsidR="00B3061A" w:rsidRDefault="00841B10">
      <w:pPr>
        <w:pStyle w:val="Bodypara"/>
      </w:pPr>
      <w:r>
        <w:t xml:space="preserve">While Table 1 is in effect, Resources with an Energy Duration </w:t>
      </w:r>
      <w:r>
        <w:t>Limitation of 6 hours or less must fulfill the availability requirements given in Section 5.12.7 for a 6-hour Peak Load Window.  While Table 2 is in effect, Resources with an Energy Duration Limitation of 6 hours or less must fulfill the availability requi</w:t>
      </w:r>
      <w:r>
        <w:t xml:space="preserve">rements given in Section 5.12.7 for an 8-hour Peak Load Window.  Resources with an Energy Duration Limitation of 8 hours must always fulfill the availability requirements given in Section 5.12.7 for an 8-hour Peak Load Window.  The 6 hour Peak Load Window </w:t>
      </w:r>
      <w:r>
        <w:t>for the Summer Capability Period is HB 13 through HB 18, and the 6 hour Peak Load Window for the Winter Capability Period is HB 16 through HB 21.  The 8 hour Peak Load Window for the Summer Capability Period is HB 12 through HB 19, and the 8 hour Peak Load</w:t>
      </w:r>
      <w:r>
        <w:t xml:space="preserve"> Window for the Winter Capability Period is HB 14 through HB 21.</w:t>
      </w:r>
    </w:p>
    <w:p w:rsidR="00B3061A" w:rsidRDefault="00841B10">
      <w:pPr>
        <w:pStyle w:val="Heading4"/>
      </w:pPr>
      <w:r>
        <w:t xml:space="preserve">5.12.14.1 Counting Incremental Penetration of Resources with Energy Duration Limitations </w:t>
      </w:r>
    </w:p>
    <w:p w:rsidR="00B3061A" w:rsidRDefault="00841B10">
      <w:pPr>
        <w:pStyle w:val="Bodypara"/>
      </w:pPr>
      <w:r>
        <w:t>The penetration levels of CRIS MW will be the sum of CRIS for Resources with Energy Duration Limitati</w:t>
      </w:r>
      <w:r>
        <w:t>ons that have elected to participate in ISO Administered Markets with less than 8 hour duration and that have entered into service after January 1, 2019 and incremental CRIS awarded after January 1, 2019 to Resources with Energy Duration Limitations that h</w:t>
      </w:r>
      <w:r>
        <w:t xml:space="preserve">ave elected to participate in ISO Administered Markets with less than 8 hour duration as specified below. </w:t>
      </w:r>
    </w:p>
    <w:p w:rsidR="00B3061A" w:rsidRDefault="00841B10">
      <w:pPr>
        <w:pStyle w:val="Bodypara"/>
      </w:pPr>
      <w:r>
        <w:t xml:space="preserve">Penetration levels of CRIS MW for Resources with Energy Duration Limitations will be calculated in accordance with ISO Procedures as the sum of CRIS </w:t>
      </w:r>
      <w:r>
        <w:t>for Resources with Energy Duration Limitations of 2 hours, CRIS for Resources with Energy Duration Limitations of 4 hours and CRIS for Resources with Energy Duration Limitations of 6 hours that have entered into service and have participated in the ISO Mar</w:t>
      </w:r>
      <w:r>
        <w:t>kets after January 1, 2019.  Penetration levels of Demand Side Resources will be calculated as the sum of the Demand Side Resource MW that have elected to participate in the ISO Capacity markets with less than 8 hour duration as of July 1, as pursuant to I</w:t>
      </w:r>
      <w:r>
        <w:t>SO Procedures.  The MW count of Resources with Energy Duration Limitations that were in service prior to January 1, 2019 and have Retired will include CRIS for Resources with Energy Duration Limitations of 2 hours, CRIS for Resources with Energy Duration L</w:t>
      </w:r>
      <w:r>
        <w:t>imitations of 4 hours and CRIS for Resources with Energy Duration Limitations of 6 hours that have Retired as of July 1 each year, pursuant to ISO Procedures.  Resources that obtained CRIS and were in service prior to January 1, 2019 that qualify as Resour</w:t>
      </w:r>
      <w:r>
        <w:t xml:space="preserve">ces with Energy Duration Limitations at a later date will not be included in the penetration levels of Resources with Energy Duration Limitations. </w:t>
      </w:r>
    </w:p>
    <w:p w:rsidR="00B3061A" w:rsidRDefault="00841B10">
      <w:pPr>
        <w:pStyle w:val="Bodypara"/>
      </w:pPr>
      <w:r>
        <w:t xml:space="preserve">The MW count of incremental penetration of Resources with Energy Duration Limitations used to determine the </w:t>
      </w:r>
      <w:r>
        <w:t>applicable Duration Adjustment Factors provided in Section 5.12.14 for the upcoming Capability Year will be calculated in accordance with ISO Procedures as the sum of the penetration levels of CRIS MW, as described above, and penetration levels of Demand S</w:t>
      </w:r>
      <w:r>
        <w:t>ide Resources, as described above, less the sum of CRIS MW for Resources with Energy Duration Limitations that have Retired, as described above, and less 1309.1 MW of SCR MW.  The MW count of incremental penetration of Resources with Energy Duration Limita</w:t>
      </w:r>
      <w:r>
        <w:t xml:space="preserve">tions with their Energy Duration Limitation election will be counted as of July 1 and posted by July 15.  Once there are 1000 MW or more incremental penetration of Resources with Energy Duration Limitations, the Duration Adjustment Factors listed in Table </w:t>
      </w:r>
      <w:r>
        <w:t>2 provided above in Section 5.12.14 will be effective May 1 of the following Capability Year and Table 2 will be effective notwithstanding future MW count of incremental penetration of Resources with Energy Duration Limitations.</w:t>
      </w:r>
    </w:p>
    <w:p w:rsidR="00B3061A" w:rsidRDefault="00841B10">
      <w:pPr>
        <w:pStyle w:val="Heading4"/>
      </w:pPr>
      <w:r>
        <w:t>5.12.14.2 Adjusted Installe</w:t>
      </w:r>
      <w:r>
        <w:t xml:space="preserve">d Capacity </w:t>
      </w:r>
    </w:p>
    <w:p w:rsidR="00B3061A" w:rsidRDefault="00841B10">
      <w:pPr>
        <w:pStyle w:val="Bodypara"/>
      </w:pPr>
      <w:r>
        <w:t xml:space="preserve">Starting with the Capability Year beginning May 1, 2021, a Resource’s Unforced Capacity shall reflect the applicable Duration Adjustment Factor for the Resource’s elected Energy Duration Limitation.  The Adjusted Installed Capacity is equal to </w:t>
      </w:r>
      <w:r>
        <w:t xml:space="preserve">a Resource’s Installed Capacity multiplied by the Duration Adjustment Factor.  </w:t>
      </w:r>
      <w:r>
        <w:rPr>
          <w:snapToGrid w:val="0"/>
        </w:rPr>
        <w:t>If a Resource or Aggregation wants to change its duration election it must inform the ISO by August 1 preceding the upcoming Capability Year.</w:t>
      </w:r>
    </w:p>
    <w:p w:rsidR="00B3061A" w:rsidRDefault="00841B10">
      <w:pPr>
        <w:pStyle w:val="Heading40"/>
      </w:pPr>
      <w:r>
        <w:t>5.12.14.3  Periodic Review of Capac</w:t>
      </w:r>
      <w:r>
        <w:t>ity Values</w:t>
      </w:r>
    </w:p>
    <w:p w:rsidR="00B3061A" w:rsidRDefault="00841B10">
      <w:pPr>
        <w:pStyle w:val="Bodypara"/>
      </w:pPr>
      <w:r>
        <w:t>Starting in 2022 and occurring every four (4) years, the independent consultant for the ISO shall perform a review of the Capacity Values to re-evaluate the reliability benefit of Resources with Energy Duration Limitations in meeting Resource Ad</w:t>
      </w:r>
      <w:r>
        <w:t>equacy criteria for the four (4) year period coinciding with the four (4) Capability Years covered by the next Demand Curve Reset filing, pursuant to Services Tariff Section 5.14.1.2.2.  The periodic review shall: (i) identify the methodologies and data us</w:t>
      </w:r>
      <w:r>
        <w:t>ed to determine the Duration Adjustment Factors, (ii) evaluate the appropriate Energy Duration Limitations, (iii) re-evaluate the Duration Adjustment Factors for Resources with Energy Duration Limitations, (iv) re-evaluate the Peak Load Window associated w</w:t>
      </w:r>
      <w:r>
        <w:t xml:space="preserve">ith the bidding requirement for Resources with Energy Duration Limitations specified below, and (v) re-evaluate the hourly weighting factors percentages during the Peak Load Window for Intermittent Power Resources.  </w:t>
      </w:r>
    </w:p>
    <w:p w:rsidR="00B3061A" w:rsidRDefault="00841B10">
      <w:pPr>
        <w:pStyle w:val="Bodypara"/>
      </w:pPr>
      <w:r>
        <w:t xml:space="preserve">The periodic review shall be conducted </w:t>
      </w:r>
      <w:r>
        <w:t>in accordance with the schedule and procedures specified in the ISO Procedures.  A proposed schedule will be reviewed with stakeholders no later than September 1 of the second year prior to the Demand Curve Reset filing year, pursuant to Section 5.14.1.2.2</w:t>
      </w:r>
      <w:r>
        <w:t>.  The schedule and procedures shall provide for:</w:t>
      </w:r>
    </w:p>
    <w:p w:rsidR="00B3061A" w:rsidRDefault="00841B10">
      <w:pPr>
        <w:pStyle w:val="alphapara"/>
      </w:pPr>
      <w:r>
        <w:t>5.12.14.3.1</w:t>
      </w:r>
      <w:r>
        <w:tab/>
        <w:t xml:space="preserve">ISO development, with stakeholder review and comment, of a request for study, scope, assumptions, and methodology to provide consulting services to determine recommended values for the Duration </w:t>
      </w:r>
      <w:r>
        <w:t xml:space="preserve">Adjustment Factors specified above, and appropriate methodologies for such determination; </w:t>
      </w:r>
    </w:p>
    <w:p w:rsidR="00B3061A" w:rsidRDefault="00841B10">
      <w:pPr>
        <w:pStyle w:val="alphapara"/>
      </w:pPr>
      <w:r>
        <w:t>5.12.14.3.2</w:t>
      </w:r>
      <w:r>
        <w:tab/>
        <w:t>Selection of a consultant in accordance with the request in Section 5.12.14.3.1;</w:t>
      </w:r>
    </w:p>
    <w:p w:rsidR="00B3061A" w:rsidRDefault="00841B10">
      <w:pPr>
        <w:pStyle w:val="alphapara"/>
      </w:pPr>
      <w:r>
        <w:t>5.12.14.3.3</w:t>
      </w:r>
      <w:r>
        <w:tab/>
        <w:t>Submission to the ISO and the stakeholders of</w:t>
      </w:r>
      <w:r>
        <w:t xml:space="preserve"> a draft report from the consultant on the consultant’s determination of recommended values for the Energy Duration Limitations and the associated Duration Adjustment Factors, and Peak Load Windows specified above;</w:t>
      </w:r>
    </w:p>
    <w:p w:rsidR="00B3061A" w:rsidRDefault="00841B10">
      <w:pPr>
        <w:pStyle w:val="alphapara"/>
      </w:pPr>
      <w:r>
        <w:t>5.12.14.3.4</w:t>
      </w:r>
      <w:r>
        <w:tab/>
        <w:t>Stakeholder review of and com</w:t>
      </w:r>
      <w:r>
        <w:t>ment on the data, assumptions and conclusions in the consultant’s draft report, with participation by the responsible person or persons providing the consulting services;</w:t>
      </w:r>
    </w:p>
    <w:p w:rsidR="00B3061A" w:rsidRDefault="00841B10">
      <w:pPr>
        <w:pStyle w:val="alphapara"/>
      </w:pPr>
      <w:r>
        <w:t>5.12.14.3.5</w:t>
      </w:r>
      <w:r>
        <w:tab/>
        <w:t>An opportunity for the Market Monitoring Unit to review and comment on th</w:t>
      </w:r>
      <w:r>
        <w:t>e draft request for the proposals, the consultant’s report, and the ISO’s proposed Energy Duration Limitations and the associated Duration Adjustment Factors, Peak Load Windows for Resources with Energy Duration Limitations (the responsibilities of the Mar</w:t>
      </w:r>
      <w:r>
        <w:t>ket Monitoring Unit that are addressed in this section of the Service’s Tariff are also addressed in Section 30.4.6.3.1 of Attachment O), and Peak Load Windows Intermittent Power Resources;</w:t>
      </w:r>
    </w:p>
    <w:p w:rsidR="00B3061A" w:rsidRDefault="00841B10">
      <w:pPr>
        <w:pStyle w:val="alphapara"/>
      </w:pPr>
      <w:r>
        <w:t>5.12.14.3.6</w:t>
      </w:r>
      <w:r>
        <w:tab/>
        <w:t>Issuance by the consultant of a final report;</w:t>
      </w:r>
    </w:p>
    <w:p w:rsidR="00B3061A" w:rsidRDefault="00841B10">
      <w:pPr>
        <w:pStyle w:val="alphapara"/>
      </w:pPr>
      <w:r>
        <w:t>5.12.14.</w:t>
      </w:r>
      <w:r>
        <w:t>3.7</w:t>
      </w:r>
      <w:r>
        <w:tab/>
        <w:t>Issuance of a draft of the ISO’s recommended adjustments to the Energy Duration Limitations and the associated Duration Adjustment Factors, Peak Load Windows for Resources with Energy Duration Limitations, and Peak Load Windows for Intermittent Power R</w:t>
      </w:r>
      <w:r>
        <w:t>esources for stakeholder review and comment; and</w:t>
      </w:r>
    </w:p>
    <w:p w:rsidR="00B3061A" w:rsidRDefault="00841B10">
      <w:pPr>
        <w:pStyle w:val="Bodypara"/>
      </w:pPr>
      <w:r>
        <w:t>5.12.14.3.8</w:t>
      </w:r>
      <w:r>
        <w:tab/>
        <w:t xml:space="preserve">Issuance of the ISO’s proposed Energy Duration Limitations and the associated Duration Adjustment Factors, Peak Load Windows for Resources with Energy Duration Limitations, and Peak Load Windows </w:t>
      </w:r>
      <w:r>
        <w:t>for Intermittent Power Resources, taking into account the report of the consultant, the recommendations of the Market Monitoring Unit, and the views of the stakeholders together with the rationale for accepting or rejecting any such inputs.</w:t>
      </w:r>
    </w:p>
    <w:sectPr w:rsidR="00B3061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1B10">
      <w:pPr>
        <w:spacing w:after="0" w:line="240" w:lineRule="auto"/>
      </w:pPr>
      <w:r>
        <w:separator/>
      </w:r>
    </w:p>
  </w:endnote>
  <w:endnote w:type="continuationSeparator" w:id="0">
    <w:p w:rsidR="00000000" w:rsidRDefault="0084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8D" w:rsidRDefault="00841B10">
    <w:pPr>
      <w:jc w:val="right"/>
    </w:pPr>
    <w:r>
      <w:rPr>
        <w:rFonts w:ascii="Arial" w:eastAsia="Arial" w:hAnsi="Arial" w:cs="Arial"/>
        <w:color w:val="000000"/>
        <w:sz w:val="16"/>
      </w:rPr>
      <w:t>Effective Date: 3/17/2021 - Docket #: ER21-890-000 -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8D" w:rsidRDefault="00841B10">
    <w:pPr>
      <w:jc w:val="right"/>
    </w:pPr>
    <w:r>
      <w:rPr>
        <w:rFonts w:ascii="Arial" w:eastAsia="Arial" w:hAnsi="Arial" w:cs="Arial"/>
        <w:color w:val="000000"/>
        <w:sz w:val="16"/>
      </w:rPr>
      <w:t xml:space="preserve">Effective Date: 3/17/2021 - Docket #: ER21-890-000 -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8D" w:rsidRDefault="00841B10">
    <w:pPr>
      <w:jc w:val="right"/>
    </w:pPr>
    <w:r>
      <w:rPr>
        <w:rFonts w:ascii="Arial" w:eastAsia="Arial" w:hAnsi="Arial" w:cs="Arial"/>
        <w:color w:val="000000"/>
        <w:sz w:val="16"/>
      </w:rPr>
      <w:t xml:space="preserve">Effective Date: 3/17/2021 - Docket #: ER21-890-000 -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1B10">
      <w:pPr>
        <w:spacing w:after="0" w:line="240" w:lineRule="auto"/>
      </w:pPr>
      <w:r>
        <w:separator/>
      </w:r>
    </w:p>
  </w:footnote>
  <w:footnote w:type="continuationSeparator" w:id="0">
    <w:p w:rsidR="00000000" w:rsidRDefault="00841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8D" w:rsidRDefault="00841B10">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8D" w:rsidRDefault="00841B10">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8D" w:rsidRDefault="00841B10">
    <w:r>
      <w:rPr>
        <w:rFonts w:ascii="Arial" w:eastAsia="Arial" w:hAnsi="Arial" w:cs="Arial"/>
        <w:color w:val="000000"/>
        <w:sz w:val="16"/>
      </w:rPr>
      <w:t>NYISO Tariffs --&gt; Market Administration and Control Area Services Tariff (MST) --&gt; 5 MST Control Area Services:  Rights and Obligations --&gt; 5.12 MST Requirements Applicable to Insta</w:t>
    </w:r>
    <w:r>
      <w:rPr>
        <w:rFonts w:ascii="Arial" w:eastAsia="Arial" w:hAnsi="Arial" w:cs="Arial"/>
        <w:color w:val="000000"/>
        <w:sz w:val="16"/>
      </w:rPr>
      <w:t>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FD017D2">
      <w:start w:val="1"/>
      <w:numFmt w:val="bullet"/>
      <w:lvlText w:val=""/>
      <w:lvlJc w:val="left"/>
      <w:pPr>
        <w:tabs>
          <w:tab w:val="num" w:pos="720"/>
        </w:tabs>
        <w:ind w:left="720" w:hanging="360"/>
      </w:pPr>
      <w:rPr>
        <w:rFonts w:ascii="Symbol" w:hAnsi="Symbol" w:hint="default"/>
      </w:rPr>
    </w:lvl>
    <w:lvl w:ilvl="1" w:tplc="1D66217C" w:tentative="1">
      <w:start w:val="1"/>
      <w:numFmt w:val="bullet"/>
      <w:lvlText w:val="o"/>
      <w:lvlJc w:val="left"/>
      <w:pPr>
        <w:tabs>
          <w:tab w:val="num" w:pos="1440"/>
        </w:tabs>
        <w:ind w:left="1440" w:hanging="360"/>
      </w:pPr>
      <w:rPr>
        <w:rFonts w:ascii="Courier New" w:hAnsi="Courier New" w:cs="Courier New" w:hint="default"/>
      </w:rPr>
    </w:lvl>
    <w:lvl w:ilvl="2" w:tplc="0CBCEFBA" w:tentative="1">
      <w:start w:val="1"/>
      <w:numFmt w:val="bullet"/>
      <w:lvlText w:val=""/>
      <w:lvlJc w:val="left"/>
      <w:pPr>
        <w:tabs>
          <w:tab w:val="num" w:pos="2160"/>
        </w:tabs>
        <w:ind w:left="2160" w:hanging="360"/>
      </w:pPr>
      <w:rPr>
        <w:rFonts w:ascii="Wingdings" w:hAnsi="Wingdings" w:hint="default"/>
      </w:rPr>
    </w:lvl>
    <w:lvl w:ilvl="3" w:tplc="77C2F38C" w:tentative="1">
      <w:start w:val="1"/>
      <w:numFmt w:val="bullet"/>
      <w:lvlText w:val=""/>
      <w:lvlJc w:val="left"/>
      <w:pPr>
        <w:tabs>
          <w:tab w:val="num" w:pos="2880"/>
        </w:tabs>
        <w:ind w:left="2880" w:hanging="360"/>
      </w:pPr>
      <w:rPr>
        <w:rFonts w:ascii="Symbol" w:hAnsi="Symbol" w:hint="default"/>
      </w:rPr>
    </w:lvl>
    <w:lvl w:ilvl="4" w:tplc="CD86219E" w:tentative="1">
      <w:start w:val="1"/>
      <w:numFmt w:val="bullet"/>
      <w:lvlText w:val="o"/>
      <w:lvlJc w:val="left"/>
      <w:pPr>
        <w:tabs>
          <w:tab w:val="num" w:pos="3600"/>
        </w:tabs>
        <w:ind w:left="3600" w:hanging="360"/>
      </w:pPr>
      <w:rPr>
        <w:rFonts w:ascii="Courier New" w:hAnsi="Courier New" w:cs="Courier New" w:hint="default"/>
      </w:rPr>
    </w:lvl>
    <w:lvl w:ilvl="5" w:tplc="08EA6A7A" w:tentative="1">
      <w:start w:val="1"/>
      <w:numFmt w:val="bullet"/>
      <w:lvlText w:val=""/>
      <w:lvlJc w:val="left"/>
      <w:pPr>
        <w:tabs>
          <w:tab w:val="num" w:pos="4320"/>
        </w:tabs>
        <w:ind w:left="4320" w:hanging="360"/>
      </w:pPr>
      <w:rPr>
        <w:rFonts w:ascii="Wingdings" w:hAnsi="Wingdings" w:hint="default"/>
      </w:rPr>
    </w:lvl>
    <w:lvl w:ilvl="6" w:tplc="665685D6" w:tentative="1">
      <w:start w:val="1"/>
      <w:numFmt w:val="bullet"/>
      <w:lvlText w:val=""/>
      <w:lvlJc w:val="left"/>
      <w:pPr>
        <w:tabs>
          <w:tab w:val="num" w:pos="5040"/>
        </w:tabs>
        <w:ind w:left="5040" w:hanging="360"/>
      </w:pPr>
      <w:rPr>
        <w:rFonts w:ascii="Symbol" w:hAnsi="Symbol" w:hint="default"/>
      </w:rPr>
    </w:lvl>
    <w:lvl w:ilvl="7" w:tplc="F8FC612E" w:tentative="1">
      <w:start w:val="1"/>
      <w:numFmt w:val="bullet"/>
      <w:lvlText w:val="o"/>
      <w:lvlJc w:val="left"/>
      <w:pPr>
        <w:tabs>
          <w:tab w:val="num" w:pos="5760"/>
        </w:tabs>
        <w:ind w:left="5760" w:hanging="360"/>
      </w:pPr>
      <w:rPr>
        <w:rFonts w:ascii="Courier New" w:hAnsi="Courier New" w:cs="Courier New" w:hint="default"/>
      </w:rPr>
    </w:lvl>
    <w:lvl w:ilvl="8" w:tplc="990CD20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3B4EB48">
      <w:start w:val="1"/>
      <w:numFmt w:val="upperLetter"/>
      <w:lvlText w:val="%1."/>
      <w:lvlJc w:val="left"/>
      <w:pPr>
        <w:tabs>
          <w:tab w:val="num" w:pos="1440"/>
        </w:tabs>
        <w:ind w:left="1440" w:hanging="720"/>
      </w:pPr>
      <w:rPr>
        <w:rFonts w:hint="default"/>
      </w:rPr>
    </w:lvl>
    <w:lvl w:ilvl="1" w:tplc="EDB832F4" w:tentative="1">
      <w:start w:val="1"/>
      <w:numFmt w:val="lowerLetter"/>
      <w:lvlText w:val="%2."/>
      <w:lvlJc w:val="left"/>
      <w:pPr>
        <w:tabs>
          <w:tab w:val="num" w:pos="1800"/>
        </w:tabs>
        <w:ind w:left="1800" w:hanging="360"/>
      </w:pPr>
    </w:lvl>
    <w:lvl w:ilvl="2" w:tplc="052A905C" w:tentative="1">
      <w:start w:val="1"/>
      <w:numFmt w:val="lowerRoman"/>
      <w:lvlText w:val="%3."/>
      <w:lvlJc w:val="right"/>
      <w:pPr>
        <w:tabs>
          <w:tab w:val="num" w:pos="2520"/>
        </w:tabs>
        <w:ind w:left="2520" w:hanging="180"/>
      </w:pPr>
    </w:lvl>
    <w:lvl w:ilvl="3" w:tplc="C0029F8A" w:tentative="1">
      <w:start w:val="1"/>
      <w:numFmt w:val="decimal"/>
      <w:lvlText w:val="%4."/>
      <w:lvlJc w:val="left"/>
      <w:pPr>
        <w:tabs>
          <w:tab w:val="num" w:pos="3240"/>
        </w:tabs>
        <w:ind w:left="3240" w:hanging="360"/>
      </w:pPr>
    </w:lvl>
    <w:lvl w:ilvl="4" w:tplc="1946FB3C" w:tentative="1">
      <w:start w:val="1"/>
      <w:numFmt w:val="lowerLetter"/>
      <w:lvlText w:val="%5."/>
      <w:lvlJc w:val="left"/>
      <w:pPr>
        <w:tabs>
          <w:tab w:val="num" w:pos="3960"/>
        </w:tabs>
        <w:ind w:left="3960" w:hanging="360"/>
      </w:pPr>
    </w:lvl>
    <w:lvl w:ilvl="5" w:tplc="E8A6DC8E" w:tentative="1">
      <w:start w:val="1"/>
      <w:numFmt w:val="lowerRoman"/>
      <w:lvlText w:val="%6."/>
      <w:lvlJc w:val="right"/>
      <w:pPr>
        <w:tabs>
          <w:tab w:val="num" w:pos="4680"/>
        </w:tabs>
        <w:ind w:left="4680" w:hanging="180"/>
      </w:pPr>
    </w:lvl>
    <w:lvl w:ilvl="6" w:tplc="BEDA5E46" w:tentative="1">
      <w:start w:val="1"/>
      <w:numFmt w:val="decimal"/>
      <w:lvlText w:val="%7."/>
      <w:lvlJc w:val="left"/>
      <w:pPr>
        <w:tabs>
          <w:tab w:val="num" w:pos="5400"/>
        </w:tabs>
        <w:ind w:left="5400" w:hanging="360"/>
      </w:pPr>
    </w:lvl>
    <w:lvl w:ilvl="7" w:tplc="1BA4BAA8" w:tentative="1">
      <w:start w:val="1"/>
      <w:numFmt w:val="lowerLetter"/>
      <w:lvlText w:val="%8."/>
      <w:lvlJc w:val="left"/>
      <w:pPr>
        <w:tabs>
          <w:tab w:val="num" w:pos="6120"/>
        </w:tabs>
        <w:ind w:left="6120" w:hanging="360"/>
      </w:pPr>
    </w:lvl>
    <w:lvl w:ilvl="8" w:tplc="6FF69FB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7C06548">
      <w:start w:val="3"/>
      <w:numFmt w:val="upperLetter"/>
      <w:lvlText w:val="%1."/>
      <w:lvlJc w:val="left"/>
      <w:pPr>
        <w:tabs>
          <w:tab w:val="num" w:pos="1080"/>
        </w:tabs>
        <w:ind w:left="1080" w:hanging="360"/>
      </w:pPr>
      <w:rPr>
        <w:rFonts w:hint="default"/>
      </w:rPr>
    </w:lvl>
    <w:lvl w:ilvl="1" w:tplc="0792E786" w:tentative="1">
      <w:start w:val="1"/>
      <w:numFmt w:val="lowerLetter"/>
      <w:lvlText w:val="%2."/>
      <w:lvlJc w:val="left"/>
      <w:pPr>
        <w:tabs>
          <w:tab w:val="num" w:pos="1800"/>
        </w:tabs>
        <w:ind w:left="1800" w:hanging="360"/>
      </w:pPr>
    </w:lvl>
    <w:lvl w:ilvl="2" w:tplc="961C59D6" w:tentative="1">
      <w:start w:val="1"/>
      <w:numFmt w:val="lowerRoman"/>
      <w:lvlText w:val="%3."/>
      <w:lvlJc w:val="right"/>
      <w:pPr>
        <w:tabs>
          <w:tab w:val="num" w:pos="2520"/>
        </w:tabs>
        <w:ind w:left="2520" w:hanging="180"/>
      </w:pPr>
    </w:lvl>
    <w:lvl w:ilvl="3" w:tplc="FC0E6524" w:tentative="1">
      <w:start w:val="1"/>
      <w:numFmt w:val="decimal"/>
      <w:lvlText w:val="%4."/>
      <w:lvlJc w:val="left"/>
      <w:pPr>
        <w:tabs>
          <w:tab w:val="num" w:pos="3240"/>
        </w:tabs>
        <w:ind w:left="3240" w:hanging="360"/>
      </w:pPr>
    </w:lvl>
    <w:lvl w:ilvl="4" w:tplc="8050F1B0" w:tentative="1">
      <w:start w:val="1"/>
      <w:numFmt w:val="lowerLetter"/>
      <w:lvlText w:val="%5."/>
      <w:lvlJc w:val="left"/>
      <w:pPr>
        <w:tabs>
          <w:tab w:val="num" w:pos="3960"/>
        </w:tabs>
        <w:ind w:left="3960" w:hanging="360"/>
      </w:pPr>
    </w:lvl>
    <w:lvl w:ilvl="5" w:tplc="7A76675A" w:tentative="1">
      <w:start w:val="1"/>
      <w:numFmt w:val="lowerRoman"/>
      <w:lvlText w:val="%6."/>
      <w:lvlJc w:val="right"/>
      <w:pPr>
        <w:tabs>
          <w:tab w:val="num" w:pos="4680"/>
        </w:tabs>
        <w:ind w:left="4680" w:hanging="180"/>
      </w:pPr>
    </w:lvl>
    <w:lvl w:ilvl="6" w:tplc="61DA574A" w:tentative="1">
      <w:start w:val="1"/>
      <w:numFmt w:val="decimal"/>
      <w:lvlText w:val="%7."/>
      <w:lvlJc w:val="left"/>
      <w:pPr>
        <w:tabs>
          <w:tab w:val="num" w:pos="5400"/>
        </w:tabs>
        <w:ind w:left="5400" w:hanging="360"/>
      </w:pPr>
    </w:lvl>
    <w:lvl w:ilvl="7" w:tplc="12FCD11A" w:tentative="1">
      <w:start w:val="1"/>
      <w:numFmt w:val="lowerLetter"/>
      <w:lvlText w:val="%8."/>
      <w:lvlJc w:val="left"/>
      <w:pPr>
        <w:tabs>
          <w:tab w:val="num" w:pos="6120"/>
        </w:tabs>
        <w:ind w:left="6120" w:hanging="360"/>
      </w:pPr>
    </w:lvl>
    <w:lvl w:ilvl="8" w:tplc="5E42601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4AA8C76">
      <w:start w:val="1"/>
      <w:numFmt w:val="bullet"/>
      <w:pStyle w:val="Bulletpara"/>
      <w:lvlText w:val=""/>
      <w:lvlJc w:val="left"/>
      <w:pPr>
        <w:tabs>
          <w:tab w:val="num" w:pos="720"/>
        </w:tabs>
        <w:ind w:left="720" w:hanging="360"/>
      </w:pPr>
      <w:rPr>
        <w:rFonts w:ascii="Symbol" w:hAnsi="Symbol" w:hint="default"/>
      </w:rPr>
    </w:lvl>
    <w:lvl w:ilvl="1" w:tplc="FF5E63D0" w:tentative="1">
      <w:start w:val="1"/>
      <w:numFmt w:val="bullet"/>
      <w:lvlText w:val="o"/>
      <w:lvlJc w:val="left"/>
      <w:pPr>
        <w:tabs>
          <w:tab w:val="num" w:pos="1440"/>
        </w:tabs>
        <w:ind w:left="1440" w:hanging="360"/>
      </w:pPr>
      <w:rPr>
        <w:rFonts w:ascii="Courier New" w:hAnsi="Courier New" w:cs="Courier New" w:hint="default"/>
      </w:rPr>
    </w:lvl>
    <w:lvl w:ilvl="2" w:tplc="86027D00" w:tentative="1">
      <w:start w:val="1"/>
      <w:numFmt w:val="bullet"/>
      <w:lvlText w:val=""/>
      <w:lvlJc w:val="left"/>
      <w:pPr>
        <w:tabs>
          <w:tab w:val="num" w:pos="2160"/>
        </w:tabs>
        <w:ind w:left="2160" w:hanging="360"/>
      </w:pPr>
      <w:rPr>
        <w:rFonts w:ascii="Wingdings" w:hAnsi="Wingdings" w:hint="default"/>
      </w:rPr>
    </w:lvl>
    <w:lvl w:ilvl="3" w:tplc="E9B2161C" w:tentative="1">
      <w:start w:val="1"/>
      <w:numFmt w:val="bullet"/>
      <w:lvlText w:val=""/>
      <w:lvlJc w:val="left"/>
      <w:pPr>
        <w:tabs>
          <w:tab w:val="num" w:pos="2880"/>
        </w:tabs>
        <w:ind w:left="2880" w:hanging="360"/>
      </w:pPr>
      <w:rPr>
        <w:rFonts w:ascii="Symbol" w:hAnsi="Symbol" w:hint="default"/>
      </w:rPr>
    </w:lvl>
    <w:lvl w:ilvl="4" w:tplc="6E843A80" w:tentative="1">
      <w:start w:val="1"/>
      <w:numFmt w:val="bullet"/>
      <w:lvlText w:val="o"/>
      <w:lvlJc w:val="left"/>
      <w:pPr>
        <w:tabs>
          <w:tab w:val="num" w:pos="3600"/>
        </w:tabs>
        <w:ind w:left="3600" w:hanging="360"/>
      </w:pPr>
      <w:rPr>
        <w:rFonts w:ascii="Courier New" w:hAnsi="Courier New" w:cs="Courier New" w:hint="default"/>
      </w:rPr>
    </w:lvl>
    <w:lvl w:ilvl="5" w:tplc="CB38A8CE" w:tentative="1">
      <w:start w:val="1"/>
      <w:numFmt w:val="bullet"/>
      <w:lvlText w:val=""/>
      <w:lvlJc w:val="left"/>
      <w:pPr>
        <w:tabs>
          <w:tab w:val="num" w:pos="4320"/>
        </w:tabs>
        <w:ind w:left="4320" w:hanging="360"/>
      </w:pPr>
      <w:rPr>
        <w:rFonts w:ascii="Wingdings" w:hAnsi="Wingdings" w:hint="default"/>
      </w:rPr>
    </w:lvl>
    <w:lvl w:ilvl="6" w:tplc="8260232E" w:tentative="1">
      <w:start w:val="1"/>
      <w:numFmt w:val="bullet"/>
      <w:lvlText w:val=""/>
      <w:lvlJc w:val="left"/>
      <w:pPr>
        <w:tabs>
          <w:tab w:val="num" w:pos="5040"/>
        </w:tabs>
        <w:ind w:left="5040" w:hanging="360"/>
      </w:pPr>
      <w:rPr>
        <w:rFonts w:ascii="Symbol" w:hAnsi="Symbol" w:hint="default"/>
      </w:rPr>
    </w:lvl>
    <w:lvl w:ilvl="7" w:tplc="1D689F3E" w:tentative="1">
      <w:start w:val="1"/>
      <w:numFmt w:val="bullet"/>
      <w:lvlText w:val="o"/>
      <w:lvlJc w:val="left"/>
      <w:pPr>
        <w:tabs>
          <w:tab w:val="num" w:pos="5760"/>
        </w:tabs>
        <w:ind w:left="5760" w:hanging="360"/>
      </w:pPr>
      <w:rPr>
        <w:rFonts w:ascii="Courier New" w:hAnsi="Courier New" w:cs="Courier New" w:hint="default"/>
      </w:rPr>
    </w:lvl>
    <w:lvl w:ilvl="8" w:tplc="B394B36E"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C2E8C8AA">
      <w:start w:val="2"/>
      <w:numFmt w:val="decimal"/>
      <w:lvlText w:val="(%1)"/>
      <w:lvlJc w:val="left"/>
      <w:pPr>
        <w:tabs>
          <w:tab w:val="num" w:pos="1800"/>
        </w:tabs>
        <w:ind w:left="1800" w:hanging="360"/>
      </w:pPr>
      <w:rPr>
        <w:rFonts w:hint="default"/>
        <w:b w:val="0"/>
        <w:sz w:val="24"/>
      </w:rPr>
    </w:lvl>
    <w:lvl w:ilvl="1" w:tplc="990CE2F0" w:tentative="1">
      <w:start w:val="1"/>
      <w:numFmt w:val="lowerLetter"/>
      <w:lvlText w:val="%2."/>
      <w:lvlJc w:val="left"/>
      <w:pPr>
        <w:tabs>
          <w:tab w:val="num" w:pos="2520"/>
        </w:tabs>
        <w:ind w:left="2520" w:hanging="360"/>
      </w:pPr>
    </w:lvl>
    <w:lvl w:ilvl="2" w:tplc="A41C60B2" w:tentative="1">
      <w:start w:val="1"/>
      <w:numFmt w:val="lowerRoman"/>
      <w:lvlText w:val="%3."/>
      <w:lvlJc w:val="right"/>
      <w:pPr>
        <w:tabs>
          <w:tab w:val="num" w:pos="3240"/>
        </w:tabs>
        <w:ind w:left="3240" w:hanging="180"/>
      </w:pPr>
    </w:lvl>
    <w:lvl w:ilvl="3" w:tplc="ED3EE388" w:tentative="1">
      <w:start w:val="1"/>
      <w:numFmt w:val="decimal"/>
      <w:lvlText w:val="%4."/>
      <w:lvlJc w:val="left"/>
      <w:pPr>
        <w:tabs>
          <w:tab w:val="num" w:pos="3960"/>
        </w:tabs>
        <w:ind w:left="3960" w:hanging="360"/>
      </w:pPr>
    </w:lvl>
    <w:lvl w:ilvl="4" w:tplc="88629706" w:tentative="1">
      <w:start w:val="1"/>
      <w:numFmt w:val="lowerLetter"/>
      <w:lvlText w:val="%5."/>
      <w:lvlJc w:val="left"/>
      <w:pPr>
        <w:tabs>
          <w:tab w:val="num" w:pos="4680"/>
        </w:tabs>
        <w:ind w:left="4680" w:hanging="360"/>
      </w:pPr>
    </w:lvl>
    <w:lvl w:ilvl="5" w:tplc="3F26F390" w:tentative="1">
      <w:start w:val="1"/>
      <w:numFmt w:val="lowerRoman"/>
      <w:lvlText w:val="%6."/>
      <w:lvlJc w:val="right"/>
      <w:pPr>
        <w:tabs>
          <w:tab w:val="num" w:pos="5400"/>
        </w:tabs>
        <w:ind w:left="5400" w:hanging="180"/>
      </w:pPr>
    </w:lvl>
    <w:lvl w:ilvl="6" w:tplc="A2948BEE" w:tentative="1">
      <w:start w:val="1"/>
      <w:numFmt w:val="decimal"/>
      <w:lvlText w:val="%7."/>
      <w:lvlJc w:val="left"/>
      <w:pPr>
        <w:tabs>
          <w:tab w:val="num" w:pos="6120"/>
        </w:tabs>
        <w:ind w:left="6120" w:hanging="360"/>
      </w:pPr>
    </w:lvl>
    <w:lvl w:ilvl="7" w:tplc="D39CA5E0" w:tentative="1">
      <w:start w:val="1"/>
      <w:numFmt w:val="lowerLetter"/>
      <w:lvlText w:val="%8."/>
      <w:lvlJc w:val="left"/>
      <w:pPr>
        <w:tabs>
          <w:tab w:val="num" w:pos="6840"/>
        </w:tabs>
        <w:ind w:left="6840" w:hanging="360"/>
      </w:pPr>
    </w:lvl>
    <w:lvl w:ilvl="8" w:tplc="289AF4CA"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B3B0F2CE">
      <w:start w:val="1"/>
      <w:numFmt w:val="decimal"/>
      <w:lvlText w:val="(%1)"/>
      <w:lvlJc w:val="left"/>
      <w:pPr>
        <w:tabs>
          <w:tab w:val="num" w:pos="2160"/>
        </w:tabs>
        <w:ind w:left="2160" w:hanging="720"/>
      </w:pPr>
      <w:rPr>
        <w:rFonts w:hint="default"/>
      </w:rPr>
    </w:lvl>
    <w:lvl w:ilvl="1" w:tplc="87B22BE4" w:tentative="1">
      <w:start w:val="1"/>
      <w:numFmt w:val="lowerLetter"/>
      <w:lvlText w:val="%2."/>
      <w:lvlJc w:val="left"/>
      <w:pPr>
        <w:tabs>
          <w:tab w:val="num" w:pos="2520"/>
        </w:tabs>
        <w:ind w:left="2520" w:hanging="360"/>
      </w:pPr>
    </w:lvl>
    <w:lvl w:ilvl="2" w:tplc="2988A7A2" w:tentative="1">
      <w:start w:val="1"/>
      <w:numFmt w:val="lowerRoman"/>
      <w:lvlText w:val="%3."/>
      <w:lvlJc w:val="right"/>
      <w:pPr>
        <w:tabs>
          <w:tab w:val="num" w:pos="3240"/>
        </w:tabs>
        <w:ind w:left="3240" w:hanging="180"/>
      </w:pPr>
    </w:lvl>
    <w:lvl w:ilvl="3" w:tplc="8EF2870E" w:tentative="1">
      <w:start w:val="1"/>
      <w:numFmt w:val="decimal"/>
      <w:lvlText w:val="%4."/>
      <w:lvlJc w:val="left"/>
      <w:pPr>
        <w:tabs>
          <w:tab w:val="num" w:pos="3960"/>
        </w:tabs>
        <w:ind w:left="3960" w:hanging="360"/>
      </w:pPr>
    </w:lvl>
    <w:lvl w:ilvl="4" w:tplc="CE4E3048" w:tentative="1">
      <w:start w:val="1"/>
      <w:numFmt w:val="lowerLetter"/>
      <w:lvlText w:val="%5."/>
      <w:lvlJc w:val="left"/>
      <w:pPr>
        <w:tabs>
          <w:tab w:val="num" w:pos="4680"/>
        </w:tabs>
        <w:ind w:left="4680" w:hanging="360"/>
      </w:pPr>
    </w:lvl>
    <w:lvl w:ilvl="5" w:tplc="A3289E34" w:tentative="1">
      <w:start w:val="1"/>
      <w:numFmt w:val="lowerRoman"/>
      <w:lvlText w:val="%6."/>
      <w:lvlJc w:val="right"/>
      <w:pPr>
        <w:tabs>
          <w:tab w:val="num" w:pos="5400"/>
        </w:tabs>
        <w:ind w:left="5400" w:hanging="180"/>
      </w:pPr>
    </w:lvl>
    <w:lvl w:ilvl="6" w:tplc="D958BB64" w:tentative="1">
      <w:start w:val="1"/>
      <w:numFmt w:val="decimal"/>
      <w:lvlText w:val="%7."/>
      <w:lvlJc w:val="left"/>
      <w:pPr>
        <w:tabs>
          <w:tab w:val="num" w:pos="6120"/>
        </w:tabs>
        <w:ind w:left="6120" w:hanging="360"/>
      </w:pPr>
    </w:lvl>
    <w:lvl w:ilvl="7" w:tplc="6AE68E92" w:tentative="1">
      <w:start w:val="1"/>
      <w:numFmt w:val="lowerLetter"/>
      <w:lvlText w:val="%8."/>
      <w:lvlJc w:val="left"/>
      <w:pPr>
        <w:tabs>
          <w:tab w:val="num" w:pos="6840"/>
        </w:tabs>
        <w:ind w:left="6840" w:hanging="360"/>
      </w:pPr>
    </w:lvl>
    <w:lvl w:ilvl="8" w:tplc="1DBC2BAC"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C6DC8BF2">
      <w:start w:val="1"/>
      <w:numFmt w:val="lowerRoman"/>
      <w:lvlText w:val="(%1)"/>
      <w:lvlJc w:val="left"/>
      <w:pPr>
        <w:tabs>
          <w:tab w:val="num" w:pos="1440"/>
        </w:tabs>
        <w:ind w:left="1440" w:hanging="720"/>
      </w:pPr>
      <w:rPr>
        <w:rFonts w:hint="default"/>
      </w:rPr>
    </w:lvl>
    <w:lvl w:ilvl="1" w:tplc="589020BC" w:tentative="1">
      <w:start w:val="1"/>
      <w:numFmt w:val="lowerLetter"/>
      <w:lvlText w:val="%2."/>
      <w:lvlJc w:val="left"/>
      <w:pPr>
        <w:tabs>
          <w:tab w:val="num" w:pos="1800"/>
        </w:tabs>
        <w:ind w:left="1800" w:hanging="360"/>
      </w:pPr>
    </w:lvl>
    <w:lvl w:ilvl="2" w:tplc="545A7FE4" w:tentative="1">
      <w:start w:val="1"/>
      <w:numFmt w:val="lowerRoman"/>
      <w:lvlText w:val="%3."/>
      <w:lvlJc w:val="right"/>
      <w:pPr>
        <w:tabs>
          <w:tab w:val="num" w:pos="2520"/>
        </w:tabs>
        <w:ind w:left="2520" w:hanging="180"/>
      </w:pPr>
    </w:lvl>
    <w:lvl w:ilvl="3" w:tplc="AC68A142" w:tentative="1">
      <w:start w:val="1"/>
      <w:numFmt w:val="decimal"/>
      <w:lvlText w:val="%4."/>
      <w:lvlJc w:val="left"/>
      <w:pPr>
        <w:tabs>
          <w:tab w:val="num" w:pos="3240"/>
        </w:tabs>
        <w:ind w:left="3240" w:hanging="360"/>
      </w:pPr>
    </w:lvl>
    <w:lvl w:ilvl="4" w:tplc="F4B45960" w:tentative="1">
      <w:start w:val="1"/>
      <w:numFmt w:val="lowerLetter"/>
      <w:lvlText w:val="%5."/>
      <w:lvlJc w:val="left"/>
      <w:pPr>
        <w:tabs>
          <w:tab w:val="num" w:pos="3960"/>
        </w:tabs>
        <w:ind w:left="3960" w:hanging="360"/>
      </w:pPr>
    </w:lvl>
    <w:lvl w:ilvl="5" w:tplc="3C783E2A" w:tentative="1">
      <w:start w:val="1"/>
      <w:numFmt w:val="lowerRoman"/>
      <w:lvlText w:val="%6."/>
      <w:lvlJc w:val="right"/>
      <w:pPr>
        <w:tabs>
          <w:tab w:val="num" w:pos="4680"/>
        </w:tabs>
        <w:ind w:left="4680" w:hanging="180"/>
      </w:pPr>
    </w:lvl>
    <w:lvl w:ilvl="6" w:tplc="347020F6" w:tentative="1">
      <w:start w:val="1"/>
      <w:numFmt w:val="decimal"/>
      <w:lvlText w:val="%7."/>
      <w:lvlJc w:val="left"/>
      <w:pPr>
        <w:tabs>
          <w:tab w:val="num" w:pos="5400"/>
        </w:tabs>
        <w:ind w:left="5400" w:hanging="360"/>
      </w:pPr>
    </w:lvl>
    <w:lvl w:ilvl="7" w:tplc="D79E5ADA" w:tentative="1">
      <w:start w:val="1"/>
      <w:numFmt w:val="lowerLetter"/>
      <w:lvlText w:val="%8."/>
      <w:lvlJc w:val="left"/>
      <w:pPr>
        <w:tabs>
          <w:tab w:val="num" w:pos="6120"/>
        </w:tabs>
        <w:ind w:left="6120" w:hanging="360"/>
      </w:pPr>
    </w:lvl>
    <w:lvl w:ilvl="8" w:tplc="FB3CF56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68145486">
      <w:start w:val="1"/>
      <w:numFmt w:val="lowerRoman"/>
      <w:lvlText w:val="(%1)"/>
      <w:lvlJc w:val="left"/>
      <w:pPr>
        <w:tabs>
          <w:tab w:val="num" w:pos="2448"/>
        </w:tabs>
        <w:ind w:left="2448" w:hanging="648"/>
      </w:pPr>
      <w:rPr>
        <w:rFonts w:hint="default"/>
        <w:b w:val="0"/>
        <w:i w:val="0"/>
        <w:u w:val="none"/>
      </w:rPr>
    </w:lvl>
    <w:lvl w:ilvl="1" w:tplc="03A05820" w:tentative="1">
      <w:start w:val="1"/>
      <w:numFmt w:val="lowerLetter"/>
      <w:lvlText w:val="%2."/>
      <w:lvlJc w:val="left"/>
      <w:pPr>
        <w:tabs>
          <w:tab w:val="num" w:pos="1440"/>
        </w:tabs>
        <w:ind w:left="1440" w:hanging="360"/>
      </w:pPr>
    </w:lvl>
    <w:lvl w:ilvl="2" w:tplc="57BAF746" w:tentative="1">
      <w:start w:val="1"/>
      <w:numFmt w:val="lowerRoman"/>
      <w:lvlText w:val="%3."/>
      <w:lvlJc w:val="right"/>
      <w:pPr>
        <w:tabs>
          <w:tab w:val="num" w:pos="2160"/>
        </w:tabs>
        <w:ind w:left="2160" w:hanging="180"/>
      </w:pPr>
    </w:lvl>
    <w:lvl w:ilvl="3" w:tplc="D35058D2" w:tentative="1">
      <w:start w:val="1"/>
      <w:numFmt w:val="decimal"/>
      <w:lvlText w:val="%4."/>
      <w:lvlJc w:val="left"/>
      <w:pPr>
        <w:tabs>
          <w:tab w:val="num" w:pos="2880"/>
        </w:tabs>
        <w:ind w:left="2880" w:hanging="360"/>
      </w:pPr>
    </w:lvl>
    <w:lvl w:ilvl="4" w:tplc="DA1E4F92" w:tentative="1">
      <w:start w:val="1"/>
      <w:numFmt w:val="lowerLetter"/>
      <w:lvlText w:val="%5."/>
      <w:lvlJc w:val="left"/>
      <w:pPr>
        <w:tabs>
          <w:tab w:val="num" w:pos="3600"/>
        </w:tabs>
        <w:ind w:left="3600" w:hanging="360"/>
      </w:pPr>
    </w:lvl>
    <w:lvl w:ilvl="5" w:tplc="0916DA40" w:tentative="1">
      <w:start w:val="1"/>
      <w:numFmt w:val="lowerRoman"/>
      <w:lvlText w:val="%6."/>
      <w:lvlJc w:val="right"/>
      <w:pPr>
        <w:tabs>
          <w:tab w:val="num" w:pos="4320"/>
        </w:tabs>
        <w:ind w:left="4320" w:hanging="180"/>
      </w:pPr>
    </w:lvl>
    <w:lvl w:ilvl="6" w:tplc="8C52A2F0" w:tentative="1">
      <w:start w:val="1"/>
      <w:numFmt w:val="decimal"/>
      <w:lvlText w:val="%7."/>
      <w:lvlJc w:val="left"/>
      <w:pPr>
        <w:tabs>
          <w:tab w:val="num" w:pos="5040"/>
        </w:tabs>
        <w:ind w:left="5040" w:hanging="360"/>
      </w:pPr>
    </w:lvl>
    <w:lvl w:ilvl="7" w:tplc="4CBE9F6E" w:tentative="1">
      <w:start w:val="1"/>
      <w:numFmt w:val="lowerLetter"/>
      <w:lvlText w:val="%8."/>
      <w:lvlJc w:val="left"/>
      <w:pPr>
        <w:tabs>
          <w:tab w:val="num" w:pos="5760"/>
        </w:tabs>
        <w:ind w:left="5760" w:hanging="360"/>
      </w:pPr>
    </w:lvl>
    <w:lvl w:ilvl="8" w:tplc="E796274C"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DBD29772">
      <w:start w:val="1"/>
      <w:numFmt w:val="lowerLetter"/>
      <w:lvlText w:val="%1."/>
      <w:lvlJc w:val="left"/>
      <w:pPr>
        <w:tabs>
          <w:tab w:val="num" w:pos="2160"/>
        </w:tabs>
        <w:ind w:left="2160" w:hanging="720"/>
      </w:pPr>
      <w:rPr>
        <w:rFonts w:hint="default"/>
      </w:rPr>
    </w:lvl>
    <w:lvl w:ilvl="1" w:tplc="7BA83A60" w:tentative="1">
      <w:start w:val="1"/>
      <w:numFmt w:val="lowerLetter"/>
      <w:lvlText w:val="%2."/>
      <w:lvlJc w:val="left"/>
      <w:pPr>
        <w:tabs>
          <w:tab w:val="num" w:pos="2520"/>
        </w:tabs>
        <w:ind w:left="2520" w:hanging="360"/>
      </w:pPr>
    </w:lvl>
    <w:lvl w:ilvl="2" w:tplc="C2CCBCF4" w:tentative="1">
      <w:start w:val="1"/>
      <w:numFmt w:val="lowerRoman"/>
      <w:lvlText w:val="%3."/>
      <w:lvlJc w:val="right"/>
      <w:pPr>
        <w:tabs>
          <w:tab w:val="num" w:pos="3240"/>
        </w:tabs>
        <w:ind w:left="3240" w:hanging="180"/>
      </w:pPr>
    </w:lvl>
    <w:lvl w:ilvl="3" w:tplc="890864D0" w:tentative="1">
      <w:start w:val="1"/>
      <w:numFmt w:val="decimal"/>
      <w:lvlText w:val="%4."/>
      <w:lvlJc w:val="left"/>
      <w:pPr>
        <w:tabs>
          <w:tab w:val="num" w:pos="3960"/>
        </w:tabs>
        <w:ind w:left="3960" w:hanging="360"/>
      </w:pPr>
    </w:lvl>
    <w:lvl w:ilvl="4" w:tplc="08E46FF0" w:tentative="1">
      <w:start w:val="1"/>
      <w:numFmt w:val="lowerLetter"/>
      <w:lvlText w:val="%5."/>
      <w:lvlJc w:val="left"/>
      <w:pPr>
        <w:tabs>
          <w:tab w:val="num" w:pos="4680"/>
        </w:tabs>
        <w:ind w:left="4680" w:hanging="360"/>
      </w:pPr>
    </w:lvl>
    <w:lvl w:ilvl="5" w:tplc="A35C9A94" w:tentative="1">
      <w:start w:val="1"/>
      <w:numFmt w:val="lowerRoman"/>
      <w:lvlText w:val="%6."/>
      <w:lvlJc w:val="right"/>
      <w:pPr>
        <w:tabs>
          <w:tab w:val="num" w:pos="5400"/>
        </w:tabs>
        <w:ind w:left="5400" w:hanging="180"/>
      </w:pPr>
    </w:lvl>
    <w:lvl w:ilvl="6" w:tplc="98883C26" w:tentative="1">
      <w:start w:val="1"/>
      <w:numFmt w:val="decimal"/>
      <w:lvlText w:val="%7."/>
      <w:lvlJc w:val="left"/>
      <w:pPr>
        <w:tabs>
          <w:tab w:val="num" w:pos="6120"/>
        </w:tabs>
        <w:ind w:left="6120" w:hanging="360"/>
      </w:pPr>
    </w:lvl>
    <w:lvl w:ilvl="7" w:tplc="DA54462A" w:tentative="1">
      <w:start w:val="1"/>
      <w:numFmt w:val="lowerLetter"/>
      <w:lvlText w:val="%8."/>
      <w:lvlJc w:val="left"/>
      <w:pPr>
        <w:tabs>
          <w:tab w:val="num" w:pos="6840"/>
        </w:tabs>
        <w:ind w:left="6840" w:hanging="360"/>
      </w:pPr>
    </w:lvl>
    <w:lvl w:ilvl="8" w:tplc="1A32550A"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631A5E78">
      <w:start w:val="1"/>
      <w:numFmt w:val="bullet"/>
      <w:lvlText w:val=""/>
      <w:lvlJc w:val="left"/>
      <w:pPr>
        <w:tabs>
          <w:tab w:val="num" w:pos="5760"/>
        </w:tabs>
        <w:ind w:left="5760" w:hanging="360"/>
      </w:pPr>
      <w:rPr>
        <w:rFonts w:ascii="Symbol" w:hAnsi="Symbol" w:hint="default"/>
        <w:color w:val="auto"/>
        <w:u w:val="none"/>
      </w:rPr>
    </w:lvl>
    <w:lvl w:ilvl="1" w:tplc="BAF4D7E4" w:tentative="1">
      <w:start w:val="1"/>
      <w:numFmt w:val="bullet"/>
      <w:lvlText w:val="o"/>
      <w:lvlJc w:val="left"/>
      <w:pPr>
        <w:tabs>
          <w:tab w:val="num" w:pos="3600"/>
        </w:tabs>
        <w:ind w:left="3600" w:hanging="360"/>
      </w:pPr>
      <w:rPr>
        <w:rFonts w:ascii="Courier New" w:hAnsi="Courier New" w:hint="default"/>
      </w:rPr>
    </w:lvl>
    <w:lvl w:ilvl="2" w:tplc="D0DADB0E" w:tentative="1">
      <w:start w:val="1"/>
      <w:numFmt w:val="bullet"/>
      <w:lvlText w:val=""/>
      <w:lvlJc w:val="left"/>
      <w:pPr>
        <w:tabs>
          <w:tab w:val="num" w:pos="4320"/>
        </w:tabs>
        <w:ind w:left="4320" w:hanging="360"/>
      </w:pPr>
      <w:rPr>
        <w:rFonts w:ascii="Wingdings" w:hAnsi="Wingdings" w:hint="default"/>
      </w:rPr>
    </w:lvl>
    <w:lvl w:ilvl="3" w:tplc="544C767E">
      <w:start w:val="1"/>
      <w:numFmt w:val="bullet"/>
      <w:lvlText w:val=""/>
      <w:lvlJc w:val="left"/>
      <w:pPr>
        <w:tabs>
          <w:tab w:val="num" w:pos="5040"/>
        </w:tabs>
        <w:ind w:left="5040" w:hanging="360"/>
      </w:pPr>
      <w:rPr>
        <w:rFonts w:ascii="Symbol" w:hAnsi="Symbol" w:hint="default"/>
      </w:rPr>
    </w:lvl>
    <w:lvl w:ilvl="4" w:tplc="274867E8" w:tentative="1">
      <w:start w:val="1"/>
      <w:numFmt w:val="bullet"/>
      <w:lvlText w:val="o"/>
      <w:lvlJc w:val="left"/>
      <w:pPr>
        <w:tabs>
          <w:tab w:val="num" w:pos="5760"/>
        </w:tabs>
        <w:ind w:left="5760" w:hanging="360"/>
      </w:pPr>
      <w:rPr>
        <w:rFonts w:ascii="Courier New" w:hAnsi="Courier New" w:hint="default"/>
      </w:rPr>
    </w:lvl>
    <w:lvl w:ilvl="5" w:tplc="BFD6F1E8" w:tentative="1">
      <w:start w:val="1"/>
      <w:numFmt w:val="bullet"/>
      <w:lvlText w:val=""/>
      <w:lvlJc w:val="left"/>
      <w:pPr>
        <w:tabs>
          <w:tab w:val="num" w:pos="6480"/>
        </w:tabs>
        <w:ind w:left="6480" w:hanging="360"/>
      </w:pPr>
      <w:rPr>
        <w:rFonts w:ascii="Wingdings" w:hAnsi="Wingdings" w:hint="default"/>
      </w:rPr>
    </w:lvl>
    <w:lvl w:ilvl="6" w:tplc="EC4A8A96" w:tentative="1">
      <w:start w:val="1"/>
      <w:numFmt w:val="bullet"/>
      <w:lvlText w:val=""/>
      <w:lvlJc w:val="left"/>
      <w:pPr>
        <w:tabs>
          <w:tab w:val="num" w:pos="7200"/>
        </w:tabs>
        <w:ind w:left="7200" w:hanging="360"/>
      </w:pPr>
      <w:rPr>
        <w:rFonts w:ascii="Symbol" w:hAnsi="Symbol" w:hint="default"/>
      </w:rPr>
    </w:lvl>
    <w:lvl w:ilvl="7" w:tplc="3B7EE43C" w:tentative="1">
      <w:start w:val="1"/>
      <w:numFmt w:val="bullet"/>
      <w:lvlText w:val="o"/>
      <w:lvlJc w:val="left"/>
      <w:pPr>
        <w:tabs>
          <w:tab w:val="num" w:pos="7920"/>
        </w:tabs>
        <w:ind w:left="7920" w:hanging="360"/>
      </w:pPr>
      <w:rPr>
        <w:rFonts w:ascii="Courier New" w:hAnsi="Courier New" w:hint="default"/>
      </w:rPr>
    </w:lvl>
    <w:lvl w:ilvl="8" w:tplc="809C5A2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E782132A">
      <w:start w:val="1"/>
      <w:numFmt w:val="upperRoman"/>
      <w:lvlText w:val="%1."/>
      <w:lvlJc w:val="left"/>
      <w:pPr>
        <w:tabs>
          <w:tab w:val="num" w:pos="0"/>
        </w:tabs>
        <w:ind w:left="0" w:hanging="360"/>
      </w:pPr>
      <w:rPr>
        <w:rFonts w:hint="default"/>
      </w:rPr>
    </w:lvl>
    <w:lvl w:ilvl="1" w:tplc="85E07ED8" w:tentative="1">
      <w:start w:val="1"/>
      <w:numFmt w:val="lowerLetter"/>
      <w:lvlText w:val="%2."/>
      <w:lvlJc w:val="left"/>
      <w:pPr>
        <w:tabs>
          <w:tab w:val="num" w:pos="1440"/>
        </w:tabs>
        <w:ind w:left="1440" w:hanging="360"/>
      </w:pPr>
    </w:lvl>
    <w:lvl w:ilvl="2" w:tplc="80E8ACEC" w:tentative="1">
      <w:start w:val="1"/>
      <w:numFmt w:val="lowerRoman"/>
      <w:lvlText w:val="%3."/>
      <w:lvlJc w:val="right"/>
      <w:pPr>
        <w:tabs>
          <w:tab w:val="num" w:pos="2160"/>
        </w:tabs>
        <w:ind w:left="2160" w:hanging="180"/>
      </w:pPr>
    </w:lvl>
    <w:lvl w:ilvl="3" w:tplc="4AAAEDF8" w:tentative="1">
      <w:start w:val="1"/>
      <w:numFmt w:val="decimal"/>
      <w:lvlText w:val="%4."/>
      <w:lvlJc w:val="left"/>
      <w:pPr>
        <w:tabs>
          <w:tab w:val="num" w:pos="2880"/>
        </w:tabs>
        <w:ind w:left="2880" w:hanging="360"/>
      </w:pPr>
    </w:lvl>
    <w:lvl w:ilvl="4" w:tplc="DC9E1D7A" w:tentative="1">
      <w:start w:val="1"/>
      <w:numFmt w:val="lowerLetter"/>
      <w:lvlText w:val="%5."/>
      <w:lvlJc w:val="left"/>
      <w:pPr>
        <w:tabs>
          <w:tab w:val="num" w:pos="3600"/>
        </w:tabs>
        <w:ind w:left="3600" w:hanging="360"/>
      </w:pPr>
    </w:lvl>
    <w:lvl w:ilvl="5" w:tplc="5B3CA80A" w:tentative="1">
      <w:start w:val="1"/>
      <w:numFmt w:val="lowerRoman"/>
      <w:lvlText w:val="%6."/>
      <w:lvlJc w:val="right"/>
      <w:pPr>
        <w:tabs>
          <w:tab w:val="num" w:pos="4320"/>
        </w:tabs>
        <w:ind w:left="4320" w:hanging="180"/>
      </w:pPr>
    </w:lvl>
    <w:lvl w:ilvl="6" w:tplc="12E091B2" w:tentative="1">
      <w:start w:val="1"/>
      <w:numFmt w:val="decimal"/>
      <w:lvlText w:val="%7."/>
      <w:lvlJc w:val="left"/>
      <w:pPr>
        <w:tabs>
          <w:tab w:val="num" w:pos="5040"/>
        </w:tabs>
        <w:ind w:left="5040" w:hanging="360"/>
      </w:pPr>
    </w:lvl>
    <w:lvl w:ilvl="7" w:tplc="F148F5CA" w:tentative="1">
      <w:start w:val="1"/>
      <w:numFmt w:val="lowerLetter"/>
      <w:lvlText w:val="%8."/>
      <w:lvlJc w:val="left"/>
      <w:pPr>
        <w:tabs>
          <w:tab w:val="num" w:pos="5760"/>
        </w:tabs>
        <w:ind w:left="5760" w:hanging="360"/>
      </w:pPr>
    </w:lvl>
    <w:lvl w:ilvl="8" w:tplc="D3C498E6"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52F03430">
      <w:start w:val="1"/>
      <w:numFmt w:val="bullet"/>
      <w:lvlText w:val=""/>
      <w:lvlJc w:val="left"/>
      <w:pPr>
        <w:tabs>
          <w:tab w:val="num" w:pos="720"/>
        </w:tabs>
        <w:ind w:left="720" w:hanging="360"/>
      </w:pPr>
      <w:rPr>
        <w:rFonts w:ascii="Symbol" w:hAnsi="Symbol" w:hint="default"/>
      </w:rPr>
    </w:lvl>
    <w:lvl w:ilvl="1" w:tplc="7616AE82" w:tentative="1">
      <w:start w:val="1"/>
      <w:numFmt w:val="bullet"/>
      <w:lvlText w:val="o"/>
      <w:lvlJc w:val="left"/>
      <w:pPr>
        <w:tabs>
          <w:tab w:val="num" w:pos="1440"/>
        </w:tabs>
        <w:ind w:left="1440" w:hanging="360"/>
      </w:pPr>
      <w:rPr>
        <w:rFonts w:ascii="Courier New" w:hAnsi="Courier New" w:hint="default"/>
      </w:rPr>
    </w:lvl>
    <w:lvl w:ilvl="2" w:tplc="43A46B30" w:tentative="1">
      <w:start w:val="1"/>
      <w:numFmt w:val="bullet"/>
      <w:lvlText w:val=""/>
      <w:lvlJc w:val="left"/>
      <w:pPr>
        <w:tabs>
          <w:tab w:val="num" w:pos="2160"/>
        </w:tabs>
        <w:ind w:left="2160" w:hanging="360"/>
      </w:pPr>
      <w:rPr>
        <w:rFonts w:ascii="Wingdings" w:hAnsi="Wingdings" w:hint="default"/>
      </w:rPr>
    </w:lvl>
    <w:lvl w:ilvl="3" w:tplc="69240E34" w:tentative="1">
      <w:start w:val="1"/>
      <w:numFmt w:val="bullet"/>
      <w:lvlText w:val=""/>
      <w:lvlJc w:val="left"/>
      <w:pPr>
        <w:tabs>
          <w:tab w:val="num" w:pos="2880"/>
        </w:tabs>
        <w:ind w:left="2880" w:hanging="360"/>
      </w:pPr>
      <w:rPr>
        <w:rFonts w:ascii="Symbol" w:hAnsi="Symbol" w:hint="default"/>
      </w:rPr>
    </w:lvl>
    <w:lvl w:ilvl="4" w:tplc="677ED266" w:tentative="1">
      <w:start w:val="1"/>
      <w:numFmt w:val="bullet"/>
      <w:lvlText w:val="o"/>
      <w:lvlJc w:val="left"/>
      <w:pPr>
        <w:tabs>
          <w:tab w:val="num" w:pos="3600"/>
        </w:tabs>
        <w:ind w:left="3600" w:hanging="360"/>
      </w:pPr>
      <w:rPr>
        <w:rFonts w:ascii="Courier New" w:hAnsi="Courier New" w:hint="default"/>
      </w:rPr>
    </w:lvl>
    <w:lvl w:ilvl="5" w:tplc="3F8AF0EA" w:tentative="1">
      <w:start w:val="1"/>
      <w:numFmt w:val="bullet"/>
      <w:lvlText w:val=""/>
      <w:lvlJc w:val="left"/>
      <w:pPr>
        <w:tabs>
          <w:tab w:val="num" w:pos="4320"/>
        </w:tabs>
        <w:ind w:left="4320" w:hanging="360"/>
      </w:pPr>
      <w:rPr>
        <w:rFonts w:ascii="Wingdings" w:hAnsi="Wingdings" w:hint="default"/>
      </w:rPr>
    </w:lvl>
    <w:lvl w:ilvl="6" w:tplc="00AC2954" w:tentative="1">
      <w:start w:val="1"/>
      <w:numFmt w:val="bullet"/>
      <w:lvlText w:val=""/>
      <w:lvlJc w:val="left"/>
      <w:pPr>
        <w:tabs>
          <w:tab w:val="num" w:pos="5040"/>
        </w:tabs>
        <w:ind w:left="5040" w:hanging="360"/>
      </w:pPr>
      <w:rPr>
        <w:rFonts w:ascii="Symbol" w:hAnsi="Symbol" w:hint="default"/>
      </w:rPr>
    </w:lvl>
    <w:lvl w:ilvl="7" w:tplc="0A48E2EE" w:tentative="1">
      <w:start w:val="1"/>
      <w:numFmt w:val="bullet"/>
      <w:lvlText w:val="o"/>
      <w:lvlJc w:val="left"/>
      <w:pPr>
        <w:tabs>
          <w:tab w:val="num" w:pos="5760"/>
        </w:tabs>
        <w:ind w:left="5760" w:hanging="360"/>
      </w:pPr>
      <w:rPr>
        <w:rFonts w:ascii="Courier New" w:hAnsi="Courier New" w:hint="default"/>
      </w:rPr>
    </w:lvl>
    <w:lvl w:ilvl="8" w:tplc="6F081ABC"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07246376">
      <w:start w:val="6"/>
      <w:numFmt w:val="lowerRoman"/>
      <w:lvlText w:val="(%1)"/>
      <w:lvlJc w:val="left"/>
      <w:pPr>
        <w:tabs>
          <w:tab w:val="num" w:pos="1440"/>
        </w:tabs>
        <w:ind w:left="1440" w:hanging="720"/>
      </w:pPr>
      <w:rPr>
        <w:rFonts w:hint="default"/>
        <w:u w:val="double"/>
      </w:rPr>
    </w:lvl>
    <w:lvl w:ilvl="1" w:tplc="3926DB00" w:tentative="1">
      <w:start w:val="1"/>
      <w:numFmt w:val="lowerLetter"/>
      <w:lvlText w:val="%2."/>
      <w:lvlJc w:val="left"/>
      <w:pPr>
        <w:tabs>
          <w:tab w:val="num" w:pos="1800"/>
        </w:tabs>
        <w:ind w:left="1800" w:hanging="360"/>
      </w:pPr>
    </w:lvl>
    <w:lvl w:ilvl="2" w:tplc="09C06F7A" w:tentative="1">
      <w:start w:val="1"/>
      <w:numFmt w:val="lowerRoman"/>
      <w:lvlText w:val="%3."/>
      <w:lvlJc w:val="right"/>
      <w:pPr>
        <w:tabs>
          <w:tab w:val="num" w:pos="2520"/>
        </w:tabs>
        <w:ind w:left="2520" w:hanging="180"/>
      </w:pPr>
    </w:lvl>
    <w:lvl w:ilvl="3" w:tplc="00D8AC0A" w:tentative="1">
      <w:start w:val="1"/>
      <w:numFmt w:val="decimal"/>
      <w:lvlText w:val="%4."/>
      <w:lvlJc w:val="left"/>
      <w:pPr>
        <w:tabs>
          <w:tab w:val="num" w:pos="3240"/>
        </w:tabs>
        <w:ind w:left="3240" w:hanging="360"/>
      </w:pPr>
    </w:lvl>
    <w:lvl w:ilvl="4" w:tplc="9E887288" w:tentative="1">
      <w:start w:val="1"/>
      <w:numFmt w:val="lowerLetter"/>
      <w:lvlText w:val="%5."/>
      <w:lvlJc w:val="left"/>
      <w:pPr>
        <w:tabs>
          <w:tab w:val="num" w:pos="3960"/>
        </w:tabs>
        <w:ind w:left="3960" w:hanging="360"/>
      </w:pPr>
    </w:lvl>
    <w:lvl w:ilvl="5" w:tplc="3664FF8E" w:tentative="1">
      <w:start w:val="1"/>
      <w:numFmt w:val="lowerRoman"/>
      <w:lvlText w:val="%6."/>
      <w:lvlJc w:val="right"/>
      <w:pPr>
        <w:tabs>
          <w:tab w:val="num" w:pos="4680"/>
        </w:tabs>
        <w:ind w:left="4680" w:hanging="180"/>
      </w:pPr>
    </w:lvl>
    <w:lvl w:ilvl="6" w:tplc="83AE1E3C" w:tentative="1">
      <w:start w:val="1"/>
      <w:numFmt w:val="decimal"/>
      <w:lvlText w:val="%7."/>
      <w:lvlJc w:val="left"/>
      <w:pPr>
        <w:tabs>
          <w:tab w:val="num" w:pos="5400"/>
        </w:tabs>
        <w:ind w:left="5400" w:hanging="360"/>
      </w:pPr>
    </w:lvl>
    <w:lvl w:ilvl="7" w:tplc="5DAC19EC" w:tentative="1">
      <w:start w:val="1"/>
      <w:numFmt w:val="lowerLetter"/>
      <w:lvlText w:val="%8."/>
      <w:lvlJc w:val="left"/>
      <w:pPr>
        <w:tabs>
          <w:tab w:val="num" w:pos="6120"/>
        </w:tabs>
        <w:ind w:left="6120" w:hanging="360"/>
      </w:pPr>
    </w:lvl>
    <w:lvl w:ilvl="8" w:tplc="D56C38AC"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8D"/>
    <w:rsid w:val="00841B10"/>
    <w:rsid w:val="00B3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Heading42">
    <w:name w:val="Heading 4_2"/>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0">
    <w:name w:val="Normal_0"/>
    <w:qFormat/>
    <w:rPr>
      <w:sz w:val="24"/>
      <w:szCs w:val="24"/>
    </w:rPr>
  </w:style>
  <w:style w:type="paragraph" w:customStyle="1" w:styleId="Heading40">
    <w:name w:val="Heading 4_0"/>
    <w:basedOn w:val="Normal0"/>
    <w:next w:val="Normal0"/>
    <w:qFormat/>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E4AB7035-F270-4014-86C0-DE2DB4CF8EEE}">
  <ds:schemaRefs>
    <ds:schemaRef ds:uri="d2a2a88e-ed6e-437f-8263-76e618aa10b0"/>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s>
</ds:datastoreItem>
</file>

<file path=customXml/itemProps5.xml><?xml version="1.0" encoding="utf-8"?>
<ds:datastoreItem xmlns:ds="http://schemas.openxmlformats.org/officeDocument/2006/customXml" ds:itemID="{47F8B849-EC08-4D9E-BF4C-6949F4A2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16737</Words>
  <Characters>95406</Characters>
  <Application>Microsoft Office Word</Application>
  <DocSecurity>4</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2021-12-09T22:38:00Z</dcterms:created>
  <dcterms:modified xsi:type="dcterms:W3CDTF">2021-12-09T22:38:00Z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dlc_DocIdItemGuid">
    <vt:lpwstr>feacc19a-bb25-4428-93d0-c20a4d5e3e8a</vt:lpwstr>
  </property>
</Properties>
</file>