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72" w:rsidRDefault="009E66E7">
      <w:pPr>
        <w:pStyle w:val="Heading2"/>
      </w:pPr>
      <w:bookmarkStart w:id="0" w:name="_Toc261446141"/>
      <w:bookmarkStart w:id="1" w:name="_GoBack"/>
      <w:bookmarkEnd w:id="1"/>
      <w:r>
        <w:t>5.12</w:t>
      </w:r>
      <w:r>
        <w:tab/>
        <w:t>Requirements Applicable to Installed Capacity Suppliers</w:t>
      </w:r>
      <w:bookmarkEnd w:id="0"/>
    </w:p>
    <w:p w:rsidR="00CC1D72" w:rsidRDefault="009E66E7">
      <w:pPr>
        <w:pStyle w:val="Heading3"/>
      </w:pPr>
      <w:bookmarkStart w:id="2" w:name="_Toc261446142"/>
      <w:r>
        <w:t>5.12.1</w:t>
      </w:r>
      <w:r>
        <w:tab/>
        <w:t>Installed Capacity Supplier Qualification Requirements</w:t>
      </w:r>
      <w:bookmarkEnd w:id="2"/>
    </w:p>
    <w:p w:rsidR="00CC1D72" w:rsidRDefault="009E66E7">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CC1D72" w:rsidRDefault="009E66E7">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CC1D72" w:rsidRDefault="009E66E7">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CC1D72" w:rsidRDefault="009E66E7">
      <w:pPr>
        <w:pStyle w:val="alphapara"/>
      </w:pPr>
      <w:r>
        <w:t>5.12.1.2</w:t>
      </w:r>
      <w:r>
        <w:tab/>
        <w:t>in accordance</w:t>
      </w:r>
      <w:r>
        <w:t xml:space="preserve"> with the ISO Procedures, perform DMNC or DMGC tests and submit the results to the ISO, or provide to the ISO appropriate historical production data;</w:t>
      </w:r>
    </w:p>
    <w:p w:rsidR="00CC1D72" w:rsidRDefault="009E66E7">
      <w:pPr>
        <w:pStyle w:val="alphapara"/>
      </w:pPr>
      <w:r>
        <w:t>5.12.1.3</w:t>
      </w:r>
      <w:r>
        <w:tab/>
        <w:t xml:space="preserve">abide by the </w:t>
      </w:r>
      <w:r>
        <w:rPr>
          <w:bCs/>
        </w:rPr>
        <w:t>ISO</w:t>
      </w:r>
      <w:r>
        <w:t xml:space="preserve"> Generator maintenance coordination procedures;</w:t>
      </w:r>
    </w:p>
    <w:p w:rsidR="00CC1D72" w:rsidRDefault="009E66E7">
      <w:pPr>
        <w:pStyle w:val="alphapara"/>
      </w:pPr>
      <w:r>
        <w:t>5.12.1.4</w:t>
      </w:r>
      <w:r>
        <w:tab/>
        <w:t xml:space="preserve">provide the </w:t>
      </w:r>
      <w:r>
        <w:rPr>
          <w:bCs/>
        </w:rPr>
        <w:t>expected</w:t>
      </w:r>
      <w:r>
        <w:t xml:space="preserve"> ret</w:t>
      </w:r>
      <w:r>
        <w:t>urn date from any outages (including partial outages) to the ISO;</w:t>
      </w:r>
    </w:p>
    <w:p w:rsidR="00CC1D72" w:rsidRDefault="009E66E7">
      <w:pPr>
        <w:pStyle w:val="alphapara"/>
      </w:pPr>
      <w:r>
        <w:t>5.12.1.5</w:t>
      </w:r>
      <w:r>
        <w:tab/>
        <w:t>in accordance with the ISO Procedures,</w:t>
      </w:r>
    </w:p>
    <w:p w:rsidR="00CC1D72" w:rsidRDefault="009E66E7">
      <w:pPr>
        <w:pStyle w:val="alphapara"/>
      </w:pPr>
      <w:r>
        <w:t>5.12.1.5.1</w:t>
      </w:r>
      <w:r>
        <w:tab/>
        <w:t>provide documentation demonstrating that it will not use the same Unforced Capacity for more than one (1) buyer at the same time, a</w:t>
      </w:r>
      <w:r>
        <w:t>nd</w:t>
      </w:r>
    </w:p>
    <w:p w:rsidR="00CC1D72" w:rsidRDefault="009E66E7">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CC1D72" w:rsidRDefault="009E66E7">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CC1D72" w:rsidRDefault="009E66E7">
      <w:pPr>
        <w:pStyle w:val="alphapara"/>
      </w:pPr>
      <w:r>
        <w:t>5.12.1.7</w:t>
      </w:r>
      <w:r>
        <w:tab/>
        <w:t xml:space="preserve">provide </w:t>
      </w:r>
      <w:r>
        <w:rPr>
          <w:bCs/>
        </w:rPr>
        <w:t>Operating</w:t>
      </w:r>
      <w:r>
        <w:t xml:space="preserve"> Data in accordance with Section 5.12.5 of this Tariff;</w:t>
      </w:r>
    </w:p>
    <w:p w:rsidR="00CC1D72" w:rsidRDefault="009E66E7">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CC1D72" w:rsidRDefault="009E66E7">
      <w:pPr>
        <w:pStyle w:val="alphapara"/>
      </w:pPr>
      <w:r>
        <w:t>5.12.1.9</w:t>
      </w:r>
      <w:r>
        <w:tab/>
        <w:t>comply with the ISO Procedures;</w:t>
      </w:r>
    </w:p>
    <w:p w:rsidR="00CC1D72" w:rsidRDefault="009E66E7">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CC1D72" w:rsidRDefault="009E66E7">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CC1D72" w:rsidRDefault="009E66E7">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CC1D72" w:rsidRDefault="009E66E7">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CC1D72" w:rsidRDefault="009E66E7">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CC1D72" w:rsidRDefault="009E66E7">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CC1D72" w:rsidRDefault="009E66E7">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CC1D72" w:rsidRDefault="009E66E7">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CC1D72" w:rsidRDefault="009E66E7">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CC1D72" w:rsidRDefault="009E66E7">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CC1D72" w:rsidRDefault="009E66E7">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CC1D72" w:rsidRDefault="009E66E7">
      <w:pPr>
        <w:pStyle w:val="alphapara"/>
      </w:pPr>
      <w:r>
        <w:t>5.1</w:t>
      </w:r>
      <w:r>
        <w:t>2.1.13</w:t>
      </w:r>
      <w:r>
        <w:tab/>
        <w:t>An Energy Storage Resource may de-rate its maximum capability in order to meet the applicable Services Tariff Section 5.12.14 run-time requirement.  ESRs electing to de-rate their maximum capability shall perform a DMNC test at an output level consi</w:t>
      </w:r>
      <w:r>
        <w:t>stent with its de-rated capability in accordance with Services Tariff Section 5.12.14 and ISO Procedures (</w:t>
      </w:r>
      <w:r>
        <w:rPr>
          <w:i/>
        </w:rPr>
        <w:t>see</w:t>
      </w:r>
      <w:r>
        <w:t>, Installed Capacity Manual § 4).</w:t>
      </w:r>
    </w:p>
    <w:p w:rsidR="00CC1D72" w:rsidRDefault="009E66E7">
      <w:pPr>
        <w:pStyle w:val="alphapara"/>
      </w:pPr>
      <w:r>
        <w:t>5.12.1.14</w:t>
      </w:r>
      <w:r>
        <w:tab/>
        <w:t>Energy Limited Resources, and Energy Storage Resources must elect an Energy Duration Limitation that co</w:t>
      </w:r>
      <w:r>
        <w:t>rresponds to a Duration Adjustment Factor, as described in Section 5.12.14 below, and validate the Energy Duration Limitation pursuant to Section 5.12.1.2 above.  An Installed Capacity Supplier may elect any Energy Duration Limitation that it can demonstra</w:t>
      </w:r>
      <w:r>
        <w:t>te pursuant to Section 5.12.1.2.</w:t>
      </w:r>
    </w:p>
    <w:p w:rsidR="00CC1D72" w:rsidRDefault="009E66E7">
      <w:pPr>
        <w:pStyle w:val="Bodypara"/>
      </w:pPr>
      <w:r>
        <w:t xml:space="preserve">The ISO shall inform each potential Installed Capacity Supplier that the ISO must receive and approve DMNC or DMGC data, as applicable of its approved DMNC or DMGC ratings for the Summer Capability Period and the Winter </w:t>
      </w:r>
      <w:r>
        <w:t>Capability Period in accordance with the ISO Procedures.</w:t>
      </w:r>
    </w:p>
    <w:p w:rsidR="00CC1D72" w:rsidRDefault="009E66E7">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w:t>
      </w:r>
      <w:r>
        <w:t>sociated with such Installed Capacity or to afford it the same Curtailment priority that it affords its own Control Area Load shall be established in the ISO Procedures.</w:t>
      </w:r>
    </w:p>
    <w:p w:rsidR="00CC1D72" w:rsidRDefault="009E66E7">
      <w:pPr>
        <w:pStyle w:val="Bodypara"/>
      </w:pPr>
      <w:r>
        <w:t>External Installed Capacity not associated with UDRs, including capacity associated wi</w:t>
      </w:r>
      <w:r>
        <w:t xml:space="preserve">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w:t>
      </w:r>
      <w:r>
        <w:t xml:space="preserve">e 3 of Attachment L to the ISO OATT, Import Rights, and External System Resources, is only qualified to satisfy a NYCA Minimum Unforced Capacity Requirement and is not eligible to satisfy a Locational Minimum Installed Capacity Requirement.  </w:t>
      </w:r>
    </w:p>
    <w:p w:rsidR="00CC1D72" w:rsidRDefault="009E66E7">
      <w:pPr>
        <w:pStyle w:val="Bodypara"/>
      </w:pPr>
      <w:r>
        <w:t>Not later tha</w:t>
      </w:r>
      <w:r>
        <w:t xml:space="preserve">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w:t>
      </w:r>
      <w:r>
        <w:t>tifies each Affiliated Entity, as that term is defined in Section 23.2.1 of Attachment H of the Services Tariff, of the Market Party or with which the Market Party is an Affiliated Entity.  The names of entities that are Affiliated Entities shall not be tr</w:t>
      </w:r>
      <w:r>
        <w:t>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w:t>
      </w:r>
      <w:r>
        <w:t>specified in the definition of “Affiliated Entity” in Section 23.2.1 of Attachment H of the Services Tariff.</w:t>
      </w:r>
    </w:p>
    <w:p w:rsidR="00CC1D72" w:rsidRDefault="009E66E7">
      <w:pPr>
        <w:pStyle w:val="Heading3"/>
      </w:pPr>
      <w:bookmarkStart w:id="3" w:name="_Toc261446143"/>
      <w:r>
        <w:t>5.12.2</w:t>
      </w:r>
      <w:r>
        <w:tab/>
        <w:t>Additional Provisions Applicable to External Installed Capacity Suppliers</w:t>
      </w:r>
      <w:bookmarkEnd w:id="3"/>
    </w:p>
    <w:p w:rsidR="00CC1D72" w:rsidRDefault="009E66E7">
      <w:pPr>
        <w:pStyle w:val="Bodypara"/>
      </w:pPr>
      <w:r>
        <w:t>Terms in this Section 5.12.2 not defined in the Services Tariff ha</w:t>
      </w:r>
      <w:r>
        <w:t xml:space="preserve">ve the meaning set forth in the </w:t>
      </w:r>
      <w:r>
        <w:rPr>
          <w:rFonts w:eastAsia="Times New Roman"/>
          <w:snapToGrid w:val="0"/>
          <w:szCs w:val="20"/>
        </w:rPr>
        <w:t>OATT</w:t>
      </w:r>
      <w:r>
        <w:t xml:space="preserve">.  </w:t>
      </w:r>
      <w:bookmarkStart w:id="4" w:name="_Toc261446144"/>
    </w:p>
    <w:p w:rsidR="00CC1D72" w:rsidRDefault="009E66E7">
      <w:pPr>
        <w:pStyle w:val="Heading4"/>
      </w:pPr>
      <w:r>
        <w:t>5.12.2.1</w:t>
      </w:r>
      <w:r>
        <w:tab/>
        <w:t>Provisions Addressing the Applicable External Control Area</w:t>
      </w:r>
      <w:bookmarkEnd w:id="4"/>
    </w:p>
    <w:p w:rsidR="00CC1D72" w:rsidRDefault="009E66E7">
      <w:pPr>
        <w:pStyle w:val="Bodypara"/>
      </w:pPr>
      <w:r>
        <w:t>External Generators, External System Resources, and Control Area System Resources qualify as Installed Capacity Suppliers if they demonstrate to the</w:t>
      </w:r>
      <w:r>
        <w:t xml:space="preserv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w:t>
      </w:r>
      <w:r>
        <w:t xml:space="preserve"> that UDR transmission facility and will not be recalled or curtailed by an External Control Area to satisfy its own Control Area Loads; in the case of an EDR, to the NYCA interface over which it creates increased transfer capability; and in the case of Co</w:t>
      </w:r>
      <w:r>
        <w:t>ntrol Area System Resources, if they demonstrate that the External Control Area will afford the NYCA Load the same curtailment priority that they afford their own Control Area Native Load Customers. The amount of Unforced Capacity that may be supplied by s</w:t>
      </w:r>
      <w:r>
        <w:t>uch entities qualifying pursuant to the alternative criteria may be reduced by the ISO, pursuant to ISO Procedures, to reflect the possibility of curtailment.  External Installed Capacity associated with Import Rights, EDRs or UDRs is subject to the same d</w:t>
      </w:r>
      <w:r>
        <w:t xml:space="preserve">eliverability requirements applied to Internal Installed Capacity Suppliers associated with UDRs.  </w:t>
      </w:r>
    </w:p>
    <w:p w:rsidR="00CC1D72" w:rsidRDefault="009E66E7">
      <w:pPr>
        <w:pStyle w:val="Heading4"/>
      </w:pPr>
      <w:bookmarkStart w:id="5" w:name="_Toc261446145"/>
      <w:r>
        <w:t>5.12.2.2</w:t>
      </w:r>
      <w:r>
        <w:tab/>
        <w:t>Additional Provisions Addressing Internal Deliverability and Import Rights</w:t>
      </w:r>
      <w:bookmarkEnd w:id="5"/>
    </w:p>
    <w:p w:rsidR="00CC1D72" w:rsidRDefault="009E66E7">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CC1D72" w:rsidRDefault="009E66E7">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CC1D72" w:rsidRDefault="009E66E7">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CC1D72" w:rsidRDefault="009E66E7">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CC1D72" w:rsidRDefault="009E66E7">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CC1D72" w:rsidRDefault="009E66E7">
      <w:pPr>
        <w:pStyle w:val="Heading4"/>
      </w:pPr>
      <w:bookmarkStart w:id="6" w:name="_Toc261446146"/>
      <w:r>
        <w:t>5.12.2.3</w:t>
      </w:r>
      <w:r>
        <w:tab/>
        <w:t>One-Time Conversion of Grandfathered Quebec (via Chateauguay) Interface Rights.</w:t>
      </w:r>
      <w:bookmarkEnd w:id="6"/>
    </w:p>
    <w:p w:rsidR="00CC1D72" w:rsidRDefault="009E66E7">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CC1D72" w:rsidRDefault="009E66E7">
      <w:pPr>
        <w:pStyle w:val="alphapara"/>
      </w:pPr>
      <w:r>
        <w:t>5.12.2.3.1</w:t>
      </w:r>
      <w:r>
        <w:tab/>
        <w:t>The External CR</w:t>
      </w:r>
      <w:r>
        <w:t>IS Rights awarded under this conversion process will first become effective for the 2010-2011 Winter Capability Period.</w:t>
      </w:r>
    </w:p>
    <w:p w:rsidR="00CC1D72" w:rsidRDefault="009E66E7">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CC1D72" w:rsidRDefault="009E66E7">
      <w:pPr>
        <w:pStyle w:val="alphapara"/>
      </w:pPr>
      <w:r>
        <w:t>5.12.2.3.3</w:t>
      </w:r>
      <w:r>
        <w:tab/>
        <w:t xml:space="preserve">An entity cannot submit one or more requests to convert in the aggregate more than 1090 MW in any single month.  </w:t>
      </w:r>
    </w:p>
    <w:p w:rsidR="00CC1D72" w:rsidRDefault="009E66E7">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C1D72" w:rsidRDefault="009E66E7">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C1D72" w:rsidRDefault="009E66E7">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C1D72" w:rsidRDefault="009E66E7">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CC1D72" w:rsidRDefault="009E66E7">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CC1D72" w:rsidRDefault="009E66E7">
      <w:pPr>
        <w:pStyle w:val="Heading4"/>
      </w:pPr>
      <w:bookmarkStart w:id="7" w:name="_Toc261446147"/>
      <w:r>
        <w:t>5.12.2.4</w:t>
      </w:r>
      <w:r>
        <w:tab/>
        <w:t>Offer Cap Applicable to Certain External CRIS Rights</w:t>
      </w:r>
      <w:bookmarkEnd w:id="7"/>
    </w:p>
    <w:p w:rsidR="00CC1D72" w:rsidRDefault="009E66E7">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CC1D72" w:rsidRDefault="009E66E7">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C1D72" w:rsidRDefault="009E66E7">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CC1D72" w:rsidRDefault="009E66E7">
      <w:pPr>
        <w:pStyle w:val="Heading3"/>
      </w:pPr>
      <w:bookmarkStart w:id="8" w:name="_Toc261446148"/>
      <w:r>
        <w:t>5.12.3</w:t>
      </w:r>
      <w:r>
        <w:tab/>
        <w:t>Installed Capacity Supplier Outage Scheduling Requirements</w:t>
      </w:r>
      <w:bookmarkEnd w:id="8"/>
    </w:p>
    <w:p w:rsidR="00CC1D72" w:rsidRDefault="009E66E7">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CC1D72" w:rsidRDefault="009E66E7">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CC1D72" w:rsidRDefault="009E66E7">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CC1D72" w:rsidRDefault="009E66E7">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CC1D72" w:rsidRDefault="009E66E7">
      <w:pPr>
        <w:pStyle w:val="Heading3"/>
      </w:pPr>
      <w:bookmarkStart w:id="9" w:name="_Toc261446149"/>
      <w:r>
        <w:t>5.12.4</w:t>
      </w:r>
      <w:r>
        <w:tab/>
        <w:t>Required Certification for Installed Capacity</w:t>
      </w:r>
      <w:bookmarkEnd w:id="9"/>
      <w:r>
        <w:t xml:space="preserve"> </w:t>
      </w:r>
    </w:p>
    <w:p w:rsidR="00CC1D72" w:rsidRDefault="009E66E7">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CC1D72" w:rsidRDefault="009E66E7">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CC1D72" w:rsidRDefault="009E66E7">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CC1D72" w:rsidRDefault="009E66E7">
      <w:pPr>
        <w:pStyle w:val="Heading3"/>
      </w:pPr>
      <w:bookmarkStart w:id="10" w:name="_Toc261446150"/>
      <w:r>
        <w:t>5.12.5</w:t>
      </w:r>
      <w:r>
        <w:tab/>
        <w:t>Operating Data Reporting Requirements</w:t>
      </w:r>
      <w:bookmarkEnd w:id="10"/>
    </w:p>
    <w:p w:rsidR="00CC1D72" w:rsidRDefault="009E66E7">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CC1D72" w:rsidRDefault="009E66E7">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CC1D72" w:rsidRDefault="009E66E7">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CC1D72" w:rsidRDefault="009E66E7">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C1D72" w:rsidRDefault="009E66E7">
      <w:pPr>
        <w:pStyle w:val="Heading4"/>
      </w:pPr>
      <w:bookmarkStart w:id="12" w:name="_Toc261446152"/>
      <w:r>
        <w:t>5.12.5.2</w:t>
      </w:r>
      <w:r>
        <w:tab/>
        <w:t>Control Area System R</w:t>
      </w:r>
      <w:r>
        <w:t>esources</w:t>
      </w:r>
      <w:bookmarkEnd w:id="12"/>
    </w:p>
    <w:p w:rsidR="00CC1D72" w:rsidRDefault="009E66E7">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CC1D72" w:rsidRDefault="009E66E7">
      <w:pPr>
        <w:pStyle w:val="Heading4"/>
      </w:pPr>
      <w:bookmarkStart w:id="13" w:name="_Toc261446153"/>
      <w:r>
        <w:t>5.12.5.3</w:t>
      </w:r>
      <w:r>
        <w:tab/>
        <w:t>Transmission Projects Granted Unforced Capacity Deliverability Rights</w:t>
      </w:r>
      <w:bookmarkEnd w:id="13"/>
    </w:p>
    <w:p w:rsidR="00CC1D72" w:rsidRDefault="009E66E7">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CC1D72" w:rsidRDefault="009E66E7">
      <w:pPr>
        <w:pStyle w:val="Heading4"/>
      </w:pPr>
      <w:r>
        <w:t>5.12.5.4</w:t>
      </w:r>
      <w:r>
        <w:tab/>
        <w:t>Transmission Projects Granted External-to ROS Deliverability Rights</w:t>
      </w:r>
    </w:p>
    <w:p w:rsidR="00CC1D72" w:rsidRDefault="009E66E7">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CC1D72" w:rsidRDefault="009E66E7">
      <w:pPr>
        <w:pStyle w:val="Heading3"/>
      </w:pPr>
      <w:bookmarkStart w:id="14" w:name="_Toc261446154"/>
      <w:r>
        <w:t>5.12.6</w:t>
      </w:r>
      <w:r>
        <w:tab/>
      </w:r>
      <w:r>
        <w:rPr>
          <w:szCs w:val="24"/>
        </w:rPr>
        <w:t xml:space="preserve">Capacity Calculations, </w:t>
      </w:r>
      <w:r>
        <w:t>Operating Data Default, Value and Collection</w:t>
      </w:r>
      <w:bookmarkEnd w:id="14"/>
    </w:p>
    <w:p w:rsidR="00CC1D72" w:rsidRDefault="009E66E7">
      <w:pPr>
        <w:pStyle w:val="Heading4"/>
      </w:pPr>
      <w:bookmarkStart w:id="15" w:name="_Toc261446155"/>
      <w:r>
        <w:t>5.12.6.1</w:t>
      </w:r>
      <w:r>
        <w:tab/>
        <w:t>ICAP Cal</w:t>
      </w:r>
      <w:r>
        <w:t>culation for Behind-the-Meter Net Generation Resources</w:t>
      </w:r>
    </w:p>
    <w:p w:rsidR="00CC1D72" w:rsidRDefault="009E66E7">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CC1D72" w:rsidRDefault="009E66E7">
      <w:pPr>
        <w:pStyle w:val="Heading4"/>
      </w:pPr>
      <w:r>
        <w:t>5.12.6.1.1</w:t>
      </w:r>
      <w:r>
        <w:tab/>
        <w:t>Adjusted DMGC</w:t>
      </w:r>
    </w:p>
    <w:p w:rsidR="00CC1D72" w:rsidRDefault="009E66E7">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CC1D72" w:rsidRDefault="009E66E7">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CC1D72" w:rsidRDefault="009E66E7">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CC1D72" w:rsidRDefault="009E66E7">
      <w:pPr>
        <w:pStyle w:val="Heading4"/>
      </w:pPr>
      <w:r>
        <w:t>5.12.6.1.2</w:t>
      </w:r>
      <w:r>
        <w:tab/>
        <w:t>Adjusted Host Load</w:t>
      </w:r>
    </w:p>
    <w:p w:rsidR="00CC1D72" w:rsidRDefault="009E66E7">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CC1D72" w:rsidRDefault="009E66E7">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CC1D72" w:rsidRDefault="009E66E7">
      <w:pPr>
        <w:pStyle w:val="Heading4"/>
      </w:pPr>
      <w:r>
        <w:t>5.12.6.1.2.1</w:t>
      </w:r>
      <w:r>
        <w:tab/>
        <w:t>Average Coincident Host Load</w:t>
      </w:r>
    </w:p>
    <w:p w:rsidR="00CC1D72" w:rsidRDefault="009E66E7">
      <w:pPr>
        <w:pStyle w:val="Bodypara"/>
      </w:pPr>
      <w:r>
        <w:t xml:space="preserve">The ISO </w:t>
      </w:r>
      <w:r>
        <w:t>must receive the Behind-the-Meter Net Generation Resource’s applicable metered Load data required to calculate an Average Coincident Host Load in accordance with ISO Procedures.  The ISO shall compute the Average Coincident Host Load for each Capability Ye</w:t>
      </w:r>
      <w:r>
        <w:t xml:space="preserv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w:t>
      </w:r>
      <w:r>
        <w:t xml:space="preserve">lled Capacity Requirement in accordance with ISO Procedures.    </w:t>
      </w:r>
    </w:p>
    <w:p w:rsidR="00CC1D72" w:rsidRDefault="009E66E7">
      <w:pPr>
        <w:pStyle w:val="Bodypara"/>
      </w:pPr>
      <w:r>
        <w:t>For each Capability Year, the NYISO shall use the average of the highest twenty (20) one-hour peak Loads of the Host Load of the Behind-the-Meter Net Generation Resource that occur during the</w:t>
      </w:r>
      <w:r>
        <w:t xml:space="preserv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C1D72" w:rsidRDefault="009E66E7">
      <w:pPr>
        <w:pStyle w:val="Bodypara"/>
      </w:pPr>
      <w:r>
        <w:t>If a facility meets the criteria to be, and has not previously been, a Behind-the-Meter N</w:t>
      </w:r>
      <w:r>
        <w:t xml:space="preserve">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w:t>
      </w:r>
      <w:r>
        <w:t xml:space="preserve">ed on actual meter data, or if not available, billing data or other business data of the Host Load.  An estimated Average Coincident Host Load can only be applicable to a Behind-the-Meter Net Generation Resource until actual data becomes available, but in </w:t>
      </w:r>
      <w:r>
        <w:t xml:space="preserve">any event no longer than three (3) consecutive Capability Years beginning with the Capability Year it is first an Installed Capacity Supplier.  </w:t>
      </w:r>
    </w:p>
    <w:p w:rsidR="00CC1D72" w:rsidRDefault="009E66E7">
      <w:pPr>
        <w:pStyle w:val="Heading4"/>
      </w:pPr>
      <w:r>
        <w:t>5.12.6.1.2.2</w:t>
      </w:r>
      <w:r>
        <w:tab/>
        <w:t xml:space="preserve">Determination of Adjusted Host Load </w:t>
      </w:r>
    </w:p>
    <w:p w:rsidR="00CC1D72" w:rsidRDefault="009E66E7">
      <w:pPr>
        <w:pStyle w:val="Bodypara"/>
      </w:pPr>
      <w:r>
        <w:t>After the ISO has calculated a Behind-the-Meter Net Generatio</w:t>
      </w:r>
      <w:r>
        <w:t xml:space="preserve">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w:t>
      </w:r>
      <w:r>
        <w:t xml:space="preserve">bility Year by the quantity of one plus the NYCA Installed Reserve Margin. </w:t>
      </w:r>
    </w:p>
    <w:p w:rsidR="00CC1D72" w:rsidRDefault="009E66E7">
      <w:pPr>
        <w:pStyle w:val="Heading4"/>
      </w:pPr>
      <w:r>
        <w:t>5.12.6.2</w:t>
      </w:r>
      <w:r>
        <w:tab/>
        <w:t>UCAP Calculations</w:t>
      </w:r>
      <w:bookmarkEnd w:id="15"/>
    </w:p>
    <w:p w:rsidR="00CC1D72" w:rsidRDefault="009E66E7">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w:t>
      </w:r>
      <w:r>
        <w:t>ordance with formulae provided in the ISO Procedures.  A Resource’s Unforced Capacity will be the applicable Adjusted Installed Capacity multiplied by the quantity of 1 minus the Resource’s derating factor.</w:t>
      </w:r>
    </w:p>
    <w:p w:rsidR="00CC1D72" w:rsidRDefault="009E66E7">
      <w:pPr>
        <w:pStyle w:val="Bodypara"/>
      </w:pPr>
      <w:r>
        <w:t xml:space="preserve">The </w:t>
      </w:r>
      <w:r>
        <w:rPr>
          <w:rFonts w:eastAsia="Times New Roman"/>
          <w:snapToGrid w:val="0"/>
          <w:szCs w:val="20"/>
        </w:rPr>
        <w:t>amount</w:t>
      </w:r>
      <w:r>
        <w:t xml:space="preserve"> of Unforced Capacity that each Generat</w:t>
      </w:r>
      <w:r>
        <w:t>or, except for the Generator of a Behind-the-Meter Net Generation Resource, System Resource, Energy Limited Resource, Special Case Resource, and municipally-owned generation is authorized to supply in the NYCA shall be based on the ISO’s calculations of in</w:t>
      </w:r>
      <w:r>
        <w:t>dividual Equivalent Demand Forced Outage Rates. 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each Control Area System Resource is authorized to supply in the NYCA shall be based on the ISO’s calculation of each Co</w:t>
      </w:r>
      <w:r>
        <w:t>ntrol Area System Resource’s availability.  The amount of Unforced Capacity that each Intermittent Power Resource is authorized to supply in the NYCA shall be based on the ISO’s calculation of the amount of capacity that the Intermittent Power Resource can</w:t>
      </w:r>
      <w:r>
        <w:t xml:space="preserve"> reliably provide during system peak Load hours in accordance with ISO Procedures</w:t>
      </w:r>
      <w:bookmarkStart w:id="16" w:name="_cp_text_1_56"/>
      <w:r>
        <w:t xml:space="preserve">.  </w:t>
      </w:r>
    </w:p>
    <w:p w:rsidR="00CC1D72" w:rsidRDefault="009E66E7">
      <w:pPr>
        <w:pStyle w:val="Bodypara"/>
      </w:pPr>
      <w:r>
        <w:t>Starting with the Capability Year beginning May 1, 2021, this calculation will be weighted according to the respective Peak Load Window weighting factors provided in the t</w:t>
      </w:r>
      <w:r>
        <w: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C80DEB">
        <w:trPr>
          <w:trHeight w:val="636"/>
        </w:trPr>
        <w:tc>
          <w:tcPr>
            <w:tcW w:w="1260" w:type="dxa"/>
            <w:shd w:val="clear" w:color="auto" w:fill="auto"/>
            <w:noWrap/>
            <w:vAlign w:val="bottom"/>
            <w:hideMark/>
          </w:tcPr>
          <w:p w:rsidR="00CC1D72" w:rsidRDefault="009E66E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C1D72" w:rsidRDefault="009E66E7">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C1D72" w:rsidRDefault="009E66E7">
            <w:pPr>
              <w:spacing w:after="0" w:line="240" w:lineRule="auto"/>
              <w:jc w:val="center"/>
              <w:rPr>
                <w:rFonts w:eastAsia="Times New Roman" w:cs="Calibri"/>
                <w:color w:val="000000"/>
              </w:rPr>
            </w:pPr>
            <w:r>
              <w:rPr>
                <w:rFonts w:eastAsia="Times New Roman" w:cs="Calibri"/>
                <w:color w:val="000000"/>
              </w:rPr>
              <w:t>Winter Peak Load Window</w:t>
            </w:r>
          </w:p>
        </w:tc>
      </w:tr>
      <w:tr w:rsidR="00C80DEB">
        <w:trPr>
          <w:trHeight w:val="570"/>
        </w:trPr>
        <w:tc>
          <w:tcPr>
            <w:tcW w:w="1260" w:type="dxa"/>
            <w:shd w:val="clear" w:color="auto" w:fill="auto"/>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8 Hour</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20" w:type="dxa"/>
            <w:shd w:val="clear" w:color="auto" w:fill="auto"/>
            <w:noWrap/>
            <w:vAlign w:val="center"/>
            <w:hideMark/>
          </w:tcPr>
          <w:p w:rsidR="00CC1D72" w:rsidRDefault="009E66E7">
            <w:pPr>
              <w:spacing w:after="0" w:line="240" w:lineRule="auto"/>
              <w:jc w:val="center"/>
              <w:rPr>
                <w:rFonts w:ascii="Times New Roman" w:eastAsia="Times New Roman" w:hAnsi="Times New Roman"/>
                <w:sz w:val="20"/>
                <w:szCs w:val="20"/>
              </w:rPr>
            </w:pP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20" w:type="dxa"/>
            <w:shd w:val="clear" w:color="auto" w:fill="auto"/>
            <w:noWrap/>
            <w:vAlign w:val="center"/>
            <w:hideMark/>
          </w:tcPr>
          <w:p w:rsidR="00CC1D72" w:rsidRDefault="009E66E7">
            <w:pPr>
              <w:spacing w:after="0" w:line="240" w:lineRule="auto"/>
              <w:jc w:val="center"/>
              <w:rPr>
                <w:rFonts w:ascii="Times New Roman" w:eastAsia="Times New Roman" w:hAnsi="Times New Roman"/>
                <w:sz w:val="20"/>
                <w:szCs w:val="20"/>
              </w:rPr>
            </w:pP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5.00%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5.00%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17.50%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70" w:type="dxa"/>
            <w:shd w:val="clear" w:color="auto" w:fill="auto"/>
            <w:noWrap/>
            <w:vAlign w:val="center"/>
            <w:hideMark/>
          </w:tcPr>
          <w:p w:rsidR="00CC1D72" w:rsidRDefault="009E66E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10.00%</w:t>
            </w:r>
          </w:p>
        </w:tc>
      </w:tr>
      <w:tr w:rsidR="00C80DEB">
        <w:trPr>
          <w:trHeight w:val="285"/>
        </w:trPr>
        <w:tc>
          <w:tcPr>
            <w:tcW w:w="126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C1D72" w:rsidRDefault="009E66E7">
            <w:pPr>
              <w:spacing w:after="0" w:line="240" w:lineRule="auto"/>
              <w:jc w:val="center"/>
              <w:rPr>
                <w:rFonts w:eastAsia="Times New Roman" w:cs="Calibri"/>
                <w:color w:val="000000"/>
              </w:rPr>
            </w:pPr>
          </w:p>
        </w:tc>
        <w:tc>
          <w:tcPr>
            <w:tcW w:w="1070" w:type="dxa"/>
            <w:shd w:val="clear" w:color="auto" w:fill="auto"/>
            <w:noWrap/>
            <w:vAlign w:val="center"/>
            <w:hideMark/>
          </w:tcPr>
          <w:p w:rsidR="00CC1D72" w:rsidRDefault="009E66E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C1D72" w:rsidRDefault="009E66E7">
            <w:pPr>
              <w:spacing w:after="0" w:line="240" w:lineRule="auto"/>
              <w:jc w:val="center"/>
              <w:rPr>
                <w:rFonts w:eastAsia="Times New Roman" w:cs="Calibri"/>
                <w:color w:val="000000"/>
              </w:rPr>
            </w:pPr>
            <w:r>
              <w:rPr>
                <w:rFonts w:eastAsia="Times New Roman" w:cs="Calibri"/>
                <w:color w:val="000000"/>
              </w:rPr>
              <w:t>10.00%</w:t>
            </w:r>
          </w:p>
        </w:tc>
      </w:tr>
    </w:tbl>
    <w:p w:rsidR="00CC1D72" w:rsidRDefault="009E66E7">
      <w:pPr>
        <w:pStyle w:val="Bodypara"/>
        <w:ind w:firstLine="0"/>
      </w:pPr>
    </w:p>
    <w:p w:rsidR="00CC1D72" w:rsidRDefault="009E66E7">
      <w:pPr>
        <w:pStyle w:val="Bodypara"/>
      </w:pPr>
      <w:r>
        <w:t xml:space="preserve">Except as </w:t>
      </w:r>
      <w:bookmarkEnd w:id="16"/>
      <w:r>
        <w:t xml:space="preserve">provided in </w:t>
      </w:r>
      <w:r>
        <w:t xml:space="preserve">Section 5.12.6.2.1 of this Services Tariff, this calculation shall not include hours in any month that the Intermittent Power Resource was in an outage state that started on or after May 1, 2015 and that precluded its eligibility to participate in the </w:t>
      </w:r>
      <w:bookmarkStart w:id="17" w:name="_cp_text_2_62"/>
      <w:r>
        <w:t>Inst</w:t>
      </w:r>
      <w:r>
        <w:t xml:space="preserve">alled Capacity </w:t>
      </w:r>
      <w:bookmarkEnd w:id="17"/>
      <w:r>
        <w:t xml:space="preserve">market.  The amount of Unforced Capacity that each Limited Control Run-of-River Hydro Resource is authorized to provide in the NYCA shall be determined separately for Summer and Winter Capability Periods as the rolling average of the hourly </w:t>
      </w:r>
      <w:r>
        <w:t>net Energy provided by each such Resource during the 20 highest NYCA integrated real-time load hours in each of the five previous Summer or Winter Capability Periods, as appropriate, stated in megawatts.  Except as provided in Section 5.12.6.2.1 of this</w:t>
      </w:r>
      <w:r>
        <w:rPr>
          <w:bCs/>
        </w:rPr>
        <w:t xml:space="preserve"> Se</w:t>
      </w:r>
      <w:r>
        <w:rPr>
          <w:bCs/>
        </w:rPr>
        <w:t>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w:t>
      </w:r>
      <w:r>
        <w:rPr>
          <w:bCs/>
        </w:rPr>
        <w:t>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w:t>
      </w:r>
      <w:r>
        <w:t xml:space="preserve">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w:t>
      </w:r>
      <w:r>
        <w:t>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CC1D72" w:rsidRDefault="009E66E7">
      <w:pPr>
        <w:pStyle w:val="Bodypara"/>
      </w:pPr>
      <w:r>
        <w:t>Prior to Capability Year beginning May 1, 2021, the ISO shall calculate separate Summer and Winter</w:t>
      </w:r>
      <w:r>
        <w:t xml:space="preserve"> Capability Period Unforced Capacity values for each Generator, System Resource, Special Case Resource, Energy Limited Resource, and municipally owned generation and update them periodically using a twelve-month calculation.  Starting with the Capability Y</w:t>
      </w:r>
      <w:r>
        <w:t>ear beginning May 1, 2021, the calculation will use the months comprising the two most recent like Capability Periods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w:t>
      </w:r>
      <w:r>
        <w:t>ariff, for a Generator in an outage state that started on or after May 1, 2015 and that precluded its eligibility to participate in the Installed Capacity market at any time during any month from which GADS or other</w:t>
      </w:r>
      <w:r>
        <w:rPr>
          <w:b/>
        </w:rPr>
        <w:t xml:space="preserve"> </w:t>
      </w:r>
      <w:r>
        <w:t>operating data would otherwise be used t</w:t>
      </w:r>
      <w:r>
        <w:t>o calculate an individual Equivalent Demand Forced Outage Rate, the ISO shall replace such month’s GADS or other operating data with GADS or other operating data from the most recent like month in which the Generator was not in an outage state that preclud</w:t>
      </w:r>
      <w:r>
        <w:t>ed its eligibility to participate in the Installed Capacity market.</w:t>
      </w:r>
    </w:p>
    <w:p w:rsidR="00CC1D72" w:rsidRDefault="009E66E7">
      <w:pPr>
        <w:pStyle w:val="Bodypara"/>
      </w:pPr>
      <w:r>
        <w:t>The ISO shall calculate separate Summer and Winter Capability Period Unforced Capacity values for Energy Storage Resources and update them seasonally as described in ISO Procedures.</w:t>
      </w:r>
    </w:p>
    <w:p w:rsidR="00CC1D72" w:rsidRDefault="009E66E7">
      <w:pPr>
        <w:pStyle w:val="Bodypara"/>
      </w:pPr>
      <w:r>
        <w:t xml:space="preserve">The </w:t>
      </w:r>
      <w:r>
        <w:t>ISO shall calculate separate Summer and Winter Capability Period Unforced Capacity values for Intermittent Power Resources and update them seasonally as described in ISO Procedures.</w:t>
      </w:r>
    </w:p>
    <w:p w:rsidR="00CC1D72" w:rsidRDefault="009E66E7">
      <w:pPr>
        <w:pStyle w:val="Bodypara"/>
      </w:pPr>
      <w:r>
        <w:t xml:space="preserve">The amount of Unforced Capacity that each Behind-the-Meter Net Generation </w:t>
      </w:r>
      <w:r>
        <w:t>Resource is authorized to supply in the NYCA shall be its Net-UCAP.  Net-UCAP is the lesser of (i) the ISO’s calculation of the Generator of the Behind-the-Meter Net Generation Resource Adjusted DMGC multiplied by one minus its Equivalent Demand Forced Out</w:t>
      </w:r>
      <w:r>
        <w:t>age Rate, and then decreased by its Adjusted Host Load translated into Unforced Capacity terms consistent with Section 5.11.1 of this Tariff, and (ii) the Resource’s Net-ICAP.</w:t>
      </w:r>
    </w:p>
    <w:p w:rsidR="00CC1D72" w:rsidRDefault="009E66E7">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CC1D72" w:rsidRDefault="009E66E7">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Resource returning to the Energy market after taking an </w:t>
      </w:r>
      <w:r>
        <w:rPr>
          <w:rFonts w:ascii="Times New Roman" w:hAnsi="Times New Roman"/>
          <w:sz w:val="24"/>
          <w:szCs w:val="24"/>
        </w:rPr>
        <w:t>outage that precluded its participation in the Installed Capacity market and which returns with modifications to its operating characteristics determined by the ISO to be material and which, therefore, requires the submission of a new Interconnection Reque</w:t>
      </w:r>
      <w:r>
        <w:rPr>
          <w:rFonts w:ascii="Times New Roman" w:hAnsi="Times New Roman"/>
          <w:sz w:val="24"/>
          <w:szCs w:val="24"/>
        </w:rPr>
        <w:t>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w:t>
      </w:r>
      <w:r>
        <w:rPr>
          <w:rFonts w:ascii="Times New Roman" w:hAnsi="Times New Roman"/>
          <w:sz w:val="24"/>
          <w:szCs w:val="24"/>
        </w:rPr>
        <w:t xml:space="preserve">data.  </w:t>
      </w:r>
      <w:bookmarkStart w:id="21" w:name="_cp_text_1_122"/>
      <w:r>
        <w:rPr>
          <w:rFonts w:ascii="Times New Roman" w:hAnsi="Times New Roman"/>
          <w:sz w:val="24"/>
          <w:szCs w:val="24"/>
        </w:rPr>
        <w:t xml:space="preserve">A </w:t>
      </w:r>
      <w:bookmarkEnd w:id="21"/>
      <w:r>
        <w:rPr>
          <w:rFonts w:ascii="Times New Roman" w:hAnsi="Times New Roman"/>
          <w:sz w:val="24"/>
          <w:szCs w:val="24"/>
        </w:rPr>
        <w:t xml:space="preserve">Resource returning to the Energy market after taking an outage that precluded its  participation in the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w:t>
      </w:r>
      <w:r>
        <w:rPr>
          <w:rFonts w:ascii="Times New Roman" w:hAnsi="Times New Roman"/>
          <w:sz w:val="24"/>
          <w:szCs w:val="24"/>
        </w:rPr>
        <w:t xml:space="preserve"> than for ignition purposes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 xml:space="preserve">the default derating factor in lieu of a derating factor developed from unit-specific data even if the </w:t>
      </w:r>
      <w:r>
        <w:rPr>
          <w:rFonts w:ascii="Times New Roman" w:hAnsi="Times New Roman"/>
          <w:sz w:val="24"/>
          <w:szCs w:val="24"/>
        </w:rPr>
        <w:t>modifications to allow use of a new primary fuel are not material and do not require the submission of a new Interconnection Request.</w:t>
      </w:r>
    </w:p>
    <w:p w:rsidR="00CC1D72" w:rsidRDefault="009E66E7">
      <w:pPr>
        <w:pStyle w:val="Bodypara"/>
      </w:pPr>
      <w:r>
        <w:t>This Section 5.12.6.2.1 shall apply to a Resource returning to the Energy market after taking an outage that started on or</w:t>
      </w:r>
      <w:r>
        <w:t xml:space="preserve"> after May 1, 2015 and that precluded its participation in the Installed Capacity market.</w:t>
      </w:r>
    </w:p>
    <w:p w:rsidR="00CC1D72" w:rsidRDefault="009E66E7">
      <w:pPr>
        <w:pStyle w:val="Heading4"/>
      </w:pPr>
      <w:bookmarkStart w:id="23" w:name="_Toc261446156"/>
      <w:r>
        <w:t>5.12.6.3</w:t>
      </w:r>
      <w:r>
        <w:tab/>
        <w:t>Default Unforced Capacity</w:t>
      </w:r>
      <w:bookmarkEnd w:id="23"/>
    </w:p>
    <w:p w:rsidR="00CC1D72" w:rsidRDefault="009E66E7">
      <w:pPr>
        <w:pStyle w:val="Bodypara"/>
      </w:pPr>
      <w:r>
        <w:t>In its calculation of Unforced Capacity, the ISO shall deem a Resource to be completely forced out for each month for which the Res</w:t>
      </w:r>
      <w:r>
        <w:t xml:space="preserve">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w:t>
      </w:r>
      <w:r>
        <w:t>ny time.  The ISO will use such new Operating Data when calculating, in a timely manner in accordance with the ISO Procedures, an Unforced Capacity value for the Resource.</w:t>
      </w:r>
    </w:p>
    <w:p w:rsidR="00CC1D72" w:rsidRDefault="009E66E7">
      <w:pPr>
        <w:pStyle w:val="Bodypara"/>
      </w:pPr>
      <w:r>
        <w:t xml:space="preserve">Upon a </w:t>
      </w:r>
      <w:r>
        <w:rPr>
          <w:rFonts w:eastAsia="Times New Roman"/>
          <w:snapToGrid w:val="0"/>
          <w:szCs w:val="20"/>
        </w:rPr>
        <w:t>showing</w:t>
      </w:r>
      <w:r>
        <w:t xml:space="preserve"> of extraordinary circumstances, the ISO retains the discretion to acc</w:t>
      </w:r>
      <w:r>
        <w:t>ept at any time Operating Data which have not been submitted in a timely manner, or which do not fully conform with the ISO Procedures.</w:t>
      </w:r>
    </w:p>
    <w:p w:rsidR="00CC1D72" w:rsidRDefault="009E66E7">
      <w:pPr>
        <w:pStyle w:val="Heading4"/>
      </w:pPr>
      <w:bookmarkStart w:id="24" w:name="_Toc261446157"/>
      <w:r>
        <w:t>5.12.6.4</w:t>
      </w:r>
      <w:r>
        <w:tab/>
        <w:t>Exception for Certain Equipment Failures</w:t>
      </w:r>
      <w:bookmarkEnd w:id="24"/>
    </w:p>
    <w:p w:rsidR="00CC1D72" w:rsidRDefault="009E66E7">
      <w:pPr>
        <w:pStyle w:val="Bodypara"/>
      </w:pPr>
      <w:r>
        <w:t>When a Generator, Special Case Resource, Energy Limited Resource, or S</w:t>
      </w:r>
      <w:r>
        <w:t xml:space="preserve">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purp</w:t>
      </w:r>
      <w:r>
        <w:t>oses of calculating that Resource’s Equivalent Demand Forced Outage Rate.</w:t>
      </w:r>
    </w:p>
    <w:p w:rsidR="00CC1D72" w:rsidRDefault="009E66E7">
      <w:pPr>
        <w:pStyle w:val="Heading4"/>
      </w:pPr>
      <w:r>
        <w:t>5.12.6.5</w:t>
      </w:r>
      <w:r>
        <w:tab/>
        <w:t>Unforced Capacity, Outage Data and Operational Information Associated with External-to-ROS Deliverability Rights</w:t>
      </w:r>
    </w:p>
    <w:p w:rsidR="00CC1D72" w:rsidRDefault="009E66E7">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w:t>
      </w:r>
      <w:r>
        <w:rPr>
          <w:rFonts w:ascii="Times New Roman" w:hAnsi="Times New Roman"/>
          <w:b w:val="0"/>
          <w:bCs w:val="0"/>
          <w:sz w:val="24"/>
          <w:szCs w:val="24"/>
        </w:rPr>
        <w:t xml:space="preserve">erface associated with each project granted EDRs, in accordance with ISO Procedures.  The availability factor (percentage) of the interface will be used to reduce the amount of EDRs for which Unforced Capacity may be offered.  This calculation is distinct </w:t>
      </w:r>
      <w:r>
        <w:rPr>
          <w:rFonts w:ascii="Times New Roman" w:hAnsi="Times New Roman"/>
          <w:b w:val="0"/>
          <w:bCs w:val="0"/>
          <w:sz w:val="24"/>
          <w:szCs w:val="24"/>
        </w:rPr>
        <w:t>from and in addition to the calculation the ISO performs for each Installed Capacity Resource qualified for use with EDRs.</w:t>
      </w:r>
    </w:p>
    <w:p w:rsidR="00CC1D72" w:rsidRDefault="009E66E7">
      <w:pPr>
        <w:pStyle w:val="Heading3"/>
      </w:pPr>
      <w:bookmarkStart w:id="25" w:name="_Toc261446158"/>
      <w:r>
        <w:t>5.12.7</w:t>
      </w:r>
      <w:r>
        <w:tab/>
        <w:t>Availability Requirements</w:t>
      </w:r>
      <w:bookmarkEnd w:id="25"/>
    </w:p>
    <w:p w:rsidR="00CC1D72" w:rsidRDefault="009E66E7">
      <w:pPr>
        <w:pStyle w:val="Bodypara"/>
      </w:pPr>
      <w:r>
        <w:t>Subsequent to qualifying, each Installed Capacity Supplier shall, except as noted in Section 5.12.11</w:t>
      </w:r>
      <w:r>
        <w:t xml:space="preserve"> of this Tariff, on a daily basis: (i) schedule a Bilateral Transaction; (ii) Bid Energy in each hour of the Day-Ahead Market in accordance with the applicable provisions of Section 5.12.1 of this Tariff; or (iii) notify the ISO of any outages.  </w:t>
      </w:r>
    </w:p>
    <w:p w:rsidR="00CC1D72" w:rsidRDefault="009E66E7">
      <w:pPr>
        <w:pStyle w:val="Bodypara"/>
      </w:pPr>
      <w:r>
        <w:t>Installed</w:t>
      </w:r>
      <w:r>
        <w:t xml:space="preserve"> Capacity Suppliers with Energy Duration Limitations corresponding to a Duration Adjustment Factor, as described in Section 5.12.14 below, must on a daily basis during the Peak Load Window and for the number of consecutive hours that correspond to its Ener</w:t>
      </w:r>
      <w:r>
        <w:t>gy Duration Limitation, or for the entirety of the Peak Load Window for an Energy Storage Resource : (i) schedule a Bilateral Transaction; (ii) Bid Energy in the Day-Ahead Market in accordance with the applicable provisions of Section 5.12.1 of this Tariff</w:t>
      </w:r>
      <w:r>
        <w:t>; or (iii) notify the ISO of any outages.  The ISO may adjust the Peak Load Window that Installed Capacity Suppliers with Energy Duration Limitations will be responsible for scheduling, bidding, or notifying for, with scheduling or bidding in hours outside</w:t>
      </w:r>
      <w:r>
        <w:t xml:space="preserve"> the Peak Load Window in Section 5.12.14.  An RMR Generator can only schedule a Bilateral Transaction to the extent expressly authorized in its RMR Agreement.  </w:t>
      </w:r>
    </w:p>
    <w:p w:rsidR="00CC1D72" w:rsidRDefault="009E66E7">
      <w:pPr>
        <w:pStyle w:val="Bodypara"/>
      </w:pPr>
      <w:r>
        <w:t xml:space="preserve">The total amount of Energy that an Installed Capacity Supplier schedules, bids, or declares to </w:t>
      </w:r>
      <w:r>
        <w:t xml:space="preserve">be unavailable on a given day must equal or exceed the Installed Capacity Equivalent of the Unforced Capacity it supplies.  </w:t>
      </w:r>
    </w:p>
    <w:p w:rsidR="00CC1D72" w:rsidRDefault="009E66E7">
      <w:pPr>
        <w:pStyle w:val="Bodypara"/>
      </w:pPr>
      <w:r>
        <w:t xml:space="preserve">For Energy Storage Resources without an Energy Duration Limitation, the total amount of Energy that is scheduled, Bid, or declared </w:t>
      </w:r>
      <w:r>
        <w:t>to be unavailable shall also include the maximum of the Energy Storage Resource’s (i) negative Installed Capacity Equivalent, or (ii) Lower Operating Limit, such that amount scheduled, Bid, or declared to be unavailable reflects the entire withdrawal to in</w:t>
      </w:r>
      <w:r>
        <w:t>jection operating range.  Energy Storage Resources with an Energy Duration Limitation must, on a daily basis, and for each hour outside of the Peak Load Window:  (i) Bid in the Day-Ahead Market in accordance with the applicable provisions of Section 5.12.1</w:t>
      </w:r>
      <w:r>
        <w:t xml:space="preserve"> of this Tariff; or (ii) notify the ISO of any outages, the maximum of the Energy Storage Resource’s (a) negative Installed Capacity Equivalent, or (b) Lower Operating Limit.  The amount scheduled, Bid, and/or declared to be unavailable must reflect the En</w:t>
      </w:r>
      <w:r>
        <w:t>ergy Storage Resource’s entire withdrawal operating range.</w:t>
      </w:r>
      <w:r>
        <w:rPr>
          <w:u w:val="single"/>
        </w:rPr>
        <w:t xml:space="preserve"> </w:t>
      </w:r>
    </w:p>
    <w:p w:rsidR="00CC1D72" w:rsidRDefault="009E66E7">
      <w:pPr>
        <w:pStyle w:val="Heading3"/>
      </w:pPr>
      <w:bookmarkStart w:id="26" w:name="_Toc261446159"/>
      <w:r>
        <w:t>5.12.8</w:t>
      </w:r>
      <w:r>
        <w:tab/>
        <w:t>Unforced Capacity Sales</w:t>
      </w:r>
      <w:bookmarkEnd w:id="26"/>
    </w:p>
    <w:p w:rsidR="00CC1D72" w:rsidRDefault="009E66E7">
      <w:pPr>
        <w:pStyle w:val="Bodypara"/>
      </w:pPr>
      <w:r>
        <w:t>Each Installed Capacity Supplier will, after satisfying the deliverability requirements set forth in the applicable provisions of Attachment X, Attachment Z and Atta</w:t>
      </w:r>
      <w:r>
        <w:t xml:space="preserve">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w:t>
      </w:r>
      <w:r>
        <w:t>ed Capacity may be sold in six</w:t>
      </w:r>
      <w:r>
        <w:noBreakHyphen/>
        <w:t>month strips, or in monthly, or multi</w:t>
      </w:r>
      <w:r>
        <w:noBreakHyphen/>
        <w:t>monthly segments.</w:t>
      </w:r>
    </w:p>
    <w:p w:rsidR="00CC1D72" w:rsidRDefault="009E66E7">
      <w:pPr>
        <w:pStyle w:val="Bodypara"/>
      </w:pPr>
      <w:r>
        <w:t>External Unforced Capacity (except External Installed Capacity associated with UDRs) may only be offered into Capability Period Auctions or Monthly Auctions for the Rest</w:t>
      </w:r>
      <w:r>
        <w:t xml:space="preserve">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w:t>
      </w:r>
      <w:r>
        <w:t>y a Locational Minimum Unforced Capacity Requirement.</w:t>
      </w:r>
    </w:p>
    <w:p w:rsidR="00CC1D72" w:rsidRDefault="009E66E7">
      <w:pPr>
        <w:pStyle w:val="Bodypara"/>
      </w:pPr>
      <w:r>
        <w:t>UCAP from an RMR Generator may only be offered into the ICAP Spot Market Auction, except and only to the extent that the RMR Agreement expressly permits the RMR Generator’s UCAP to be certified in a Bil</w:t>
      </w:r>
      <w:r>
        <w:t>ateral Transaction.</w:t>
      </w:r>
    </w:p>
    <w:p w:rsidR="00CC1D72" w:rsidRDefault="009E66E7">
      <w:pPr>
        <w:pStyle w:val="Bodypara"/>
      </w:pPr>
      <w:r>
        <w:t xml:space="preserve">If an Energy Limited Resource’s, Generator’s, System Resource’s or Control Area System Resource’s DMNC rating, or the DMGC rating of a Generator of a Behind-the-Meter Net Generation Resource, if applicable, is determined to have </w:t>
      </w:r>
      <w:r>
        <w:t>increased during an Obligation Procurement Period, pursuant to testing procedures described in the ISO Procedures, the amount of Unforced Capacity that it shall be authorized to supply in that or future Obligation Procurement Periods shall also be increase</w:t>
      </w:r>
      <w:r>
        <w:t>d on a prospective basis in accordance with the schedule set forth in the ISO Procedures provided that it first has satisfied the deliverability requirements set forth in the applicable provisions of Attachment X, Attachment Z and Attachment S to the ISO O</w:t>
      </w:r>
      <w:r>
        <w:t>ATT.</w:t>
      </w:r>
    </w:p>
    <w:p w:rsidR="00CC1D72" w:rsidRDefault="009E66E7">
      <w:pPr>
        <w:pStyle w:val="Bodypara"/>
      </w:pPr>
      <w:r>
        <w:t xml:space="preserve">New Generators and Generators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w:t>
      </w:r>
      <w:r>
        <w:t xml:space="preserve">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w:t>
      </w:r>
      <w:r>
        <w:t xml:space="preserve">rce, that is performed and reported to the ISO after March 1 and prior to the beginning of the Summer Capability Period DMNC Test Period.  The Generator will be required to verify the claimed DMNC or DMGC rating by performing an additional test during the </w:t>
      </w:r>
      <w:r>
        <w:t xml:space="preserve">Summer DMNC Test Period.  Any shortfall between the amount of Unforced Capacity supplied by the Generator for the Summer Capability Period and the amount verified during the Summer DMNC Test Period will be subject to deficiency charges pursuant to Section </w:t>
      </w:r>
      <w:r>
        <w:t>5.14.2 of this Tariff.  The deficiency charges will be applied to no more than the difference between the Generator’s previous Summer Capability Period Unforced Capacity and the amount of Unforced Capacity equivalent the Generator supplied for the Summer C</w:t>
      </w:r>
      <w:r>
        <w:t>apability Period.</w:t>
      </w:r>
    </w:p>
    <w:p w:rsidR="00CC1D72" w:rsidRDefault="009E66E7">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w:t>
      </w:r>
      <w:r>
        <w:t>ovisions of Attachment X, Attachment Z and Attachment S to the ISO OATT, qualify to supply Unforced Capacity on a foregoing basis during the Winter Capability Period based upon a DMNC test, or the DMGC test of a Generator of a Behind-the-Meter Net Generati</w:t>
      </w:r>
      <w:r>
        <w:t>on Resource, that is performed and reported to the ISO after September 1 and prior to the beginning of the Winter Capability Period DMNC Test Period.  The Generator will be required to verify the claimed DMNC or DMGC rating by performing an additional test</w:t>
      </w:r>
      <w:r>
        <w:t xml:space="preserve"> during the Winter Capability Period DMNC Test Period.  Any shortfall between the amount of Unforced Capacity certified by the Generator for the Winter Capability Period and the amount verified during the Winter Capability Period DMNC Test Period will be s</w:t>
      </w:r>
      <w:r>
        <w:t xml:space="preserve">ubject to deficiency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w:t>
      </w:r>
      <w:r>
        <w:t>quivalent the Generator supplied for the Winter Capability Period.</w:t>
      </w:r>
    </w:p>
    <w:p w:rsidR="00CC1D72" w:rsidRDefault="009E66E7">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w:t>
      </w:r>
      <w:r>
        <w:t xml:space="preserve"> Market an amount of Unforced Capacity, expressed in terms of Installed Capacity Equivalent, that it certified for that day, rounded down to the nearest 0.1 MW, or rounded down to the nearest whole MW for an External Installed Capacity Supplier, is subject</w:t>
      </w:r>
      <w:r>
        <w:t xml:space="preserve"> to sanctions pursuant to Section 5.12.12.2 of this Tariff.  If an entity other than the owner of an Energy Limited Resource, Generator, System Resource, Behind-the-Meter Net Generation Resource, or Control Area System Resource that is providing Unforced C</w:t>
      </w:r>
      <w:r>
        <w:t xml:space="preserve">apacity is responsible for fulfilling bidding, scheduling, and notification requirements, the owner and that entity must designate to the ISO which of them will be responsible for complying with the scheduling, bidding, and notification requirements.  The </w:t>
      </w:r>
      <w:r>
        <w:t xml:space="preserve">designated bidding and scheduling entity shall be subject to sanctions pursuant to Section 5.12.12.2 of this </w:t>
      </w:r>
      <w:r>
        <w:rPr>
          <w:iCs/>
        </w:rPr>
        <w:t xml:space="preserve">ISO Services </w:t>
      </w:r>
      <w:r>
        <w:t>Tariff.</w:t>
      </w:r>
    </w:p>
    <w:p w:rsidR="00CC1D72" w:rsidRDefault="009E66E7">
      <w:pPr>
        <w:pStyle w:val="Heading3"/>
      </w:pPr>
      <w:bookmarkStart w:id="27" w:name="_Toc261446160"/>
      <w:r>
        <w:t>5.12.9</w:t>
      </w:r>
      <w:r>
        <w:tab/>
        <w:t>Sales of Unforced Capacity by System Resources</w:t>
      </w:r>
      <w:bookmarkEnd w:id="27"/>
    </w:p>
    <w:p w:rsidR="00CC1D72" w:rsidRDefault="009E66E7">
      <w:pPr>
        <w:pStyle w:val="Bodypara"/>
        <w:rPr>
          <w:rStyle w:val="FooterChar"/>
        </w:rPr>
      </w:pPr>
      <w:r>
        <w:t xml:space="preserve">Installed </w:t>
      </w:r>
      <w:r>
        <w:rPr>
          <w:rFonts w:eastAsia="Times New Roman"/>
          <w:snapToGrid w:val="0"/>
          <w:szCs w:val="20"/>
        </w:rPr>
        <w:t>Capacity</w:t>
      </w:r>
      <w:r>
        <w:t xml:space="preserve"> Suppliers offering to supply Unforced Capacity associ</w:t>
      </w:r>
      <w:r>
        <w:t xml:space="preserve">ated with Internal System Resources shall submit for each of their Resources the Operating Data and DMNC testing data or historical data described in Sections 5.12.1 and 5.12.5 of this </w:t>
      </w:r>
      <w:r>
        <w:rPr>
          <w:iCs/>
        </w:rPr>
        <w:t xml:space="preserve">ISO Services </w:t>
      </w:r>
      <w:r>
        <w:t>Tariff in accordance with the ISO Procedures.  Such Instal</w:t>
      </w:r>
      <w:r>
        <w:t>led Capacity Suppliers will be allowed to supply the amount of Unforced Capacity that the ISO determines pursuant to the ISO Procedures to reflect the appropriate Equivalent Demand Forced Outage Rate.  Installed Capacity Suppliers offering to sell the Unfo</w:t>
      </w:r>
      <w:r>
        <w:t>rced Capacity associated with System Resources may only aggregate Resources in acco</w:t>
      </w:r>
      <w:r>
        <w:rPr>
          <w:rStyle w:val="FooterChar"/>
        </w:rPr>
        <w:t>rdance with the ISO Procedures.</w:t>
      </w:r>
    </w:p>
    <w:p w:rsidR="00CC1D72" w:rsidRDefault="009E66E7">
      <w:pPr>
        <w:pStyle w:val="Heading3"/>
      </w:pPr>
      <w:bookmarkStart w:id="28" w:name="_Toc261446161"/>
      <w:r>
        <w:t>5.12.10</w:t>
      </w:r>
      <w:r>
        <w:tab/>
        <w:t>Curtailment of External Transactions In-Hour</w:t>
      </w:r>
      <w:bookmarkEnd w:id="28"/>
    </w:p>
    <w:p w:rsidR="00CC1D72" w:rsidRDefault="009E66E7">
      <w:pPr>
        <w:pStyle w:val="Bodypara"/>
      </w:pPr>
      <w:r>
        <w:t>All Unforced Capacity that is not out of service, or scheduled to serve the Internal NYC</w:t>
      </w:r>
      <w:r>
        <w:t>A Load in the Day-Ahead Market may be scheduled to supply Energy for use in External Transactions provided, however, that such External Transactions shall be subject to Curtailment within the hour, consistent with ISO Procedures.  Such Curtailment shall no</w:t>
      </w:r>
      <w:r>
        <w:t>t exceed the Installed Capacity Equivalent committed to the NYCA.</w:t>
      </w:r>
    </w:p>
    <w:p w:rsidR="00CC1D72" w:rsidRDefault="009E66E7">
      <w:pPr>
        <w:pStyle w:val="Heading3"/>
      </w:pPr>
      <w:bookmarkStart w:id="29" w:name="_Toc261446162"/>
      <w:r>
        <w:t>5.12.11</w:t>
      </w:r>
      <w:r>
        <w:tab/>
        <w:t>Responsible Interface Parties, Municipally-Owned Generation, Energy Limited Resources, Intermittent Power Resources</w:t>
      </w:r>
      <w:bookmarkEnd w:id="29"/>
      <w:r>
        <w:t>, and Installed Capacity Suppliers with Energy Duration Limitations</w:t>
      </w:r>
    </w:p>
    <w:p w:rsidR="00CC1D72" w:rsidRDefault="009E66E7">
      <w:pPr>
        <w:pStyle w:val="Heading4"/>
      </w:pPr>
      <w:bookmarkStart w:id="30" w:name="_Toc261446163"/>
      <w:r>
        <w:t xml:space="preserve">5.12.11.1  </w:t>
      </w:r>
      <w:r>
        <w:tab/>
      </w:r>
      <w:bookmarkEnd w:id="30"/>
      <w:r>
        <w:t>Responsible Interface Parties</w:t>
      </w:r>
    </w:p>
    <w:p w:rsidR="00CC1D72" w:rsidRDefault="009E66E7">
      <w:pPr>
        <w:pStyle w:val="Bodypara"/>
      </w:pPr>
      <w:r>
        <w:t xml:space="preserve">Responsible Interface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w:t>
      </w:r>
      <w:r>
        <w:t>their Special Case Resources are available to operate at the direction of the ISO in order to reduce Load from the NYS Transmission System and/or the distribution system for a minimum of four (4) consecutive hours each day, following notice of the potentia</w:t>
      </w:r>
      <w:r>
        <w:t>l need to operate twenty-one (21) hours in advance if notification is provided by 3:00 P.M. ET, or twenty-four (24) hours in advance otherwise, and a notification to operate two (2) hours ahead.  Special Case Resources will be considered to have a four (4)</w:t>
      </w:r>
      <w:r>
        <w:t xml:space="preserve"> hour Energy Duration Limitation to align with their obligation.  In order for a Responsible Interface Party to enroll an SCR that uses an eligible Local Generator, any amount of generation that can reduce Load from the NYS Transmission System and/or distr</w:t>
      </w:r>
      <w:r>
        <w:t xml:space="preserve">ibution system at the direction of the ISO that was produced by the Local Generator during the hour coincident with the NYCA or Locality peaks, upon which the LSE Unforced Capacity Obligation of the LSE that serves that SCR is based, must be accounted for </w:t>
      </w:r>
      <w:r>
        <w:t>when the LSE’s Unforced Capacity Obligation for the upcoming Capability Year is established.  Responsible Interface Parties must provide this generator data in accordance with ISO Procedures so that the ISO can adjust upwards the LSE Unforced Capacity Obli</w:t>
      </w:r>
      <w:r>
        <w:t xml:space="preserve">gation to prevent double-counting.   </w:t>
      </w:r>
    </w:p>
    <w:p w:rsidR="00CC1D72" w:rsidRDefault="009E66E7">
      <w:pPr>
        <w:pStyle w:val="Bodypara"/>
      </w:pPr>
      <w:r>
        <w:t>Responsible Interface Parties supplying Unforced Capacity cannot offer the Demand Reduction associated with such Unforced Capacity in the Emergency Demand Response Program.  A Resource with sufficient metering to disti</w:t>
      </w:r>
      <w:r>
        <w:t>nguish MWs of Demand Reduction may participate as a Special Case Resource and in the Emergency Demand Response Program provided that the same MWs are not committed both as Unforced Capacity and to the Emergency Demand Response Program.</w:t>
      </w:r>
    </w:p>
    <w:p w:rsidR="00CC1D72" w:rsidRDefault="009E66E7">
      <w:pPr>
        <w:pStyle w:val="Bodypara"/>
      </w:pPr>
      <w:r>
        <w:t xml:space="preserve">The ISO will </w:t>
      </w:r>
      <w:r>
        <w:rPr>
          <w:rFonts w:eastAsia="Times New Roman"/>
          <w:snapToGrid w:val="0"/>
          <w:szCs w:val="20"/>
        </w:rPr>
        <w:t>have</w:t>
      </w:r>
      <w:r>
        <w:t xml:space="preserve"> di</w:t>
      </w:r>
      <w:r>
        <w:t xml:space="preserve">scretion, pursuant to ISO Procedures, to exempt Local Generators that are incapable of starting in two (2) hours from the requirement to operate on two (2) hours notification.  Local Generators that can be operated to reduce Load from the NYS Transmission </w:t>
      </w:r>
      <w:r>
        <w:t xml:space="preserve">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w:t>
      </w:r>
      <w:r>
        <w:t xml:space="preserve">e of the hours they are actually available.  </w:t>
      </w:r>
    </w:p>
    <w:p w:rsidR="00CC1D72" w:rsidRDefault="009E66E7">
      <w:pPr>
        <w:pStyle w:val="Bodypara"/>
      </w:pPr>
      <w:r>
        <w:t xml:space="preserve">Responsible Interface Parties must submit a Minimum Payment Nomination, in accordance with ISO Procedures.  The ISO may request Special Case Resource performance from less than the total number of Special Case </w:t>
      </w:r>
      <w:r>
        <w:t xml:space="preserve">Resources within the NYCA or a Load Zone in accordance with </w:t>
      </w:r>
      <w:r>
        <w:rPr>
          <w:rFonts w:eastAsia="Times New Roman"/>
          <w:snapToGrid w:val="0"/>
          <w:szCs w:val="20"/>
        </w:rPr>
        <w:t>ISO</w:t>
      </w:r>
      <w:r>
        <w:t xml:space="preserve"> Procedures.</w:t>
      </w:r>
    </w:p>
    <w:p w:rsidR="00CC1D72" w:rsidRDefault="009E66E7">
      <w:pPr>
        <w:pStyle w:val="Bodypara"/>
      </w:pPr>
      <w:r>
        <w:t>Special Case Resources with Local Generators that can be operated to reduce Load from the NYS Transmission System and/or distribution system at the direction of the ISO and Special</w:t>
      </w:r>
      <w:r>
        <w:t xml:space="preserve"> Case Resources with Loads capable of being interrupted upon demand will be required to comply with verification and validation procedures set forth in the ISO Procedures.  Such procedures will not require metering other than interval billing meters on cus</w:t>
      </w:r>
      <w:r>
        <w:t xml:space="preserve">tomer </w:t>
      </w:r>
      <w:r>
        <w:rPr>
          <w:rFonts w:eastAsia="Times New Roman"/>
          <w:snapToGrid w:val="0"/>
          <w:szCs w:val="20"/>
        </w:rPr>
        <w:t>Load</w:t>
      </w:r>
      <w:r>
        <w:t xml:space="preserve"> or testing other than DMNC or sustained disconnect, as appropriate, unless agreed to by the customer, except that Special Case Resources not called to supply Energy in a Capability Period will be required to run a test once every Capability Peri</w:t>
      </w:r>
      <w:r>
        <w:t>od in accordance with the ISO Procedures.</w:t>
      </w:r>
    </w:p>
    <w:p w:rsidR="00CC1D72" w:rsidRDefault="009E66E7">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w:t>
      </w:r>
      <w:r>
        <w:t>ponsible Interface Party and comply with the ISO notification requirements for Special Case Resources.  LSEs and Installed Capacity Marketers may become Responsible Interface Parties and aggregate Special Case Resources and sell the Unforced Capacity assoc</w:t>
      </w:r>
      <w:r>
        <w:t>iated with them in an ISO-administered auction if they comply with ISO notification requirements for Special Case Resources.</w:t>
      </w:r>
    </w:p>
    <w:p w:rsidR="00CC1D72" w:rsidRDefault="009E66E7">
      <w:pPr>
        <w:pStyle w:val="Bodypara"/>
      </w:pPr>
      <w:r>
        <w:t>Responsible Interface Parties that were requested to reduce Load in any month shall submit performance data to the NYISO, within 75</w:t>
      </w:r>
      <w:r>
        <w:t xml:space="preserve"> days of each called event or test, in accordance with ISO </w:t>
      </w:r>
      <w:r>
        <w:rPr>
          <w:rFonts w:eastAsia="Times New Roman"/>
          <w:snapToGrid w:val="0"/>
          <w:szCs w:val="20"/>
        </w:rPr>
        <w:t>Procedures</w:t>
      </w:r>
      <w:r>
        <w:t xml:space="preserve">.  Failure by a Responsible Interface Party to submit performance data for any Special Case Resources required to respond to the event or test within the 75-day limit will result in zero </w:t>
      </w:r>
      <w:r>
        <w:t xml:space="preserve">performance attributed to those Special Case Resources for purposes of satisfying the Special Case Resource’s capacity obligation as well as for determining energy payments.  All performance data are subject to audit by the NYISO and its market monitoring </w:t>
      </w:r>
      <w:r>
        <w:t>unit.  If the ISO determines that it has made an erroneous payment to a Responsible Interface Party, the ISO shall have the right to recover it either by reducing other payments to that Responsible Interface Parties or by resolving the issue pursuant to ot</w:t>
      </w:r>
      <w:r>
        <w:t xml:space="preserve">her provisions of this Services Tariff or other lawful means. </w:t>
      </w:r>
    </w:p>
    <w:p w:rsidR="00CC1D72" w:rsidRDefault="009E66E7">
      <w:pPr>
        <w:pStyle w:val="Bodypara"/>
      </w:pPr>
      <w:r>
        <w:t xml:space="preserve">Provided the Responsible Interface Party supplies evidence of such reductions in 75 days, the ISO shall pay the Responsible Interface Party  that, through their Special Case Resources,  caused </w:t>
      </w:r>
      <w:r>
        <w:t xml:space="preserve">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w:t>
      </w:r>
      <w:r>
        <w:t>s a result of a Local Reliability Rule, or (iv) a test called by the ISO, for such Load reduction, in accordance with ISO Procedures.  Subject to performance evidence and verification, in the case of a response pursuant to clauses (i), (ii), of (iii) of th</w:t>
      </w:r>
      <w:r>
        <w:t xml:space="preserve">is subsection, Suppliers that schedule Responsible Interface Parties shall be paid the zonal Real-Time LBMP for the period of requested performance or four (4) hours, whichever is greater, in accordance with ISO Procedures; provided, however, Special Case </w:t>
      </w:r>
      <w:r>
        <w:t>Resource Capacity shall settle Demand Reductions, in the interval and for the capacity for which Special Case Resource Capacity has been scheduled Day-Ahead to provide Operating Reserves, Regulation Service or Energy,</w:t>
      </w:r>
      <w:r>
        <w:rPr>
          <w:bCs/>
          <w:iCs/>
        </w:rPr>
        <w:t xml:space="preserve"> as being provided by a Supplier of Ope</w:t>
      </w:r>
      <w:r>
        <w:rPr>
          <w:bCs/>
          <w:iCs/>
        </w:rPr>
        <w:t>rating Reserves, Regulation Service or Energy</w:t>
      </w:r>
      <w:r>
        <w:t xml:space="preserve">.  </w:t>
      </w:r>
    </w:p>
    <w:p w:rsidR="00CC1D72" w:rsidRDefault="009E66E7">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w:t>
      </w:r>
      <w:r>
        <w:rPr>
          <w:rFonts w:eastAsia="Times New Roman"/>
          <w:snapToGrid w:val="0"/>
          <w:szCs w:val="20"/>
        </w:rPr>
        <w:t>eater</w:t>
      </w:r>
      <w:r>
        <w:t>, exceeds the LBMP revenue received, the Special Case Resource will be eligible for a Bid Production Cost Guarantee to make up the difference, in accordance with Section 4.23 of this Services Tariff and ISO Procedures; provided, however, the ISO shall</w:t>
      </w:r>
      <w:r>
        <w:t xml:space="preserve"> set to zero the Minimum Payment Nomination for Special Case Resource Capacity in each interval in which such Capacity was scheduled Day-Ahead to provide Operating Reserves, Regulation Service or Energy.  Subject to performance evidence and verification, i</w:t>
      </w:r>
      <w:r>
        <w:t xml:space="preserve">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CC1D72" w:rsidRDefault="009E66E7">
      <w:pPr>
        <w:pStyle w:val="Bodypara"/>
      </w:pPr>
      <w:r>
        <w:t>Transmission Owners that require assi</w:t>
      </w:r>
      <w:r>
        <w:t xml:space="preserve">stance from enrolled Special Case Resources with Local Generators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w:t>
      </w:r>
      <w:r>
        <w:t>ests for assistance to the ISO for implementation consistent with the terms of this section.  Within Load Zone J, participation in response to an ISO request to perform made as a result of a request for assistance from a Transmission Owner for less than th</w:t>
      </w:r>
      <w:r>
        <w:t>e total number of Special Case Resources, for Load relief purposes or as a result of a Local Reliability Rule, in accordance with ISO Procedures, shall be voluntary and the responsiveness of the Special Case Resource shall not be taken into account for per</w:t>
      </w:r>
      <w:r>
        <w:t>formance measurement.</w:t>
      </w:r>
    </w:p>
    <w:p w:rsidR="00CC1D72" w:rsidRDefault="009E66E7">
      <w:pPr>
        <w:pStyle w:val="subhead"/>
      </w:pPr>
      <w:r>
        <w:t>5.12.11.1.1</w:t>
      </w:r>
      <w:r>
        <w:tab/>
        <w:t xml:space="preserve">Special Case Resource Average Coincident Load </w:t>
      </w:r>
    </w:p>
    <w:p w:rsidR="00CC1D72" w:rsidRDefault="009E66E7">
      <w:pPr>
        <w:pStyle w:val="Bodypara"/>
      </w:pPr>
      <w:r>
        <w:t>The ISO must receive from the Responsible Interface Party that enrolls a Special Case Resource, the applicable metered Load data required to calculate an ACL for that SCR as p</w:t>
      </w:r>
      <w:r>
        <w:t>rovided below and in accordance with ISO Procedures.  The ACL shall be computed using the metered Load for the applicable Capability Period SCR Load Zone Peak Hours that indicates the Load consumed by each SCR that is supplied by the NYS Transmission Syste</w:t>
      </w:r>
      <w:r>
        <w:t xml:space="preserve">m and/or distribution system and is exclusive of any generation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CC1D72" w:rsidRDefault="009E66E7">
      <w:pPr>
        <w:pStyle w:val="Bodypara"/>
      </w:pPr>
      <w:r>
        <w:t>Beginning with the Winter 2011-201</w:t>
      </w:r>
      <w:r>
        <w:t>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w:t>
      </w:r>
      <w:r>
        <w:t>and taking into account the resource’s reported verified Load reduction in a Transmission Owner’s demand response program in hours coincident with any of these hours, to create a SCR ACL baseline.  In addition, beginning with the Summer 2014 Capability Per</w:t>
      </w:r>
      <w:r>
        <w:t>iod, the resource’s verified Load reduction in either of the ISO’s economic demand response programs (the Day Ahead Demand Response Program and the Demand Side Ancillary Services Program) in hours coincident with any of the applicable Capability Period SCR</w:t>
      </w:r>
      <w:r>
        <w:t xml:space="preserve"> Load Zone Peak Hours will be taken into account when creating the SCR ACL.  For the Day Ahead Demand Response Program, the verified Load reduction that occurred in response to a DADRP schedule shall be added to the Capability Period SCR Load Zone Peak Hou</w:t>
      </w:r>
      <w:r>
        <w:t>r for which the reduction in response to a DADRP schedule occurred.  For the Demand Side Ancillary Services Program, the Load value to be used in calculating the ACL for each hour during the Capability Period SCR Load Zone Peak Hours in which a non-zero Ba</w:t>
      </w:r>
      <w:r>
        <w:t>se Point Signal the ISO provides to the resource, shall be the greater of (a) the DSASP Baseline MW value in the interval immediately preceding the first non-zero Base Point Signal in the Capability Period SCR Load Zone Peak Hour and (b) the metered Load o</w:t>
      </w:r>
      <w:r>
        <w:t>f the resource as reported by the RIP for the Capability Period SCR Load Zone Peak Hour.  When the non-zero Base Point Signal dispatch of a DSASP resource begins in one hour and continues into consecutive hours, and the consecutive hour is identified as be</w:t>
      </w:r>
      <w:r>
        <w:t>ing a Capability Period SCR Load Zone Peak Hour, the DSASP Baseline MW value in effect at the beginning of the dispatch of the non-zero Base Point Signal shall be the MW value used for purposes of determining the applicable Load value for that Capability P</w:t>
      </w:r>
      <w:r>
        <w:t>eriod SCR Load Zone Peak Hour, in accordance with the preceding sentence.  The ISO will post to its website the Capability Period SCR Load Zone Peak Hours for each zone ninety (90) days prior to the beginning of the Capability Period for which the ACL will</w:t>
      </w:r>
      <w:r>
        <w:t xml:space="preserve"> be in effect. </w:t>
      </w:r>
    </w:p>
    <w:p w:rsidR="00CC1D72" w:rsidRDefault="009E66E7">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w:t>
      </w:r>
      <w:r>
        <w:t xml:space="preserve">ssary to compute the ACL for each SCR. </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w:t>
      </w:r>
      <w:r>
        <w:rPr>
          <w:rFonts w:ascii="Times New Roman" w:hAnsi="Times New Roman"/>
          <w:sz w:val="24"/>
          <w:szCs w:val="24"/>
        </w:rPr>
        <w:t xml:space="preserve"> and (ii) never had interval metering Load data for each month in the Prior Equivalent Capability Period needed to compute the SCR’s ACL.  Beginning with the Summer 2014 Capability Period, the exception to this requirement to report the required metered Lo</w:t>
      </w:r>
      <w:r>
        <w:rPr>
          <w:rFonts w:ascii="Times New Roman" w:hAnsi="Times New Roman"/>
          <w:sz w:val="24"/>
          <w:szCs w:val="24"/>
        </w:rPr>
        <w:t>ad data for the ACL, is dependent upon one or more of the eligibility conditions for SCR enrollment with a Provisional ACL provided in Section 5.12.11.1.2 of this Services Tariff and ISO Procedures.  For SCRs that meet the criteria to enroll with a Provisi</w:t>
      </w:r>
      <w:r>
        <w:rPr>
          <w:rFonts w:ascii="Times New Roman" w:hAnsi="Times New Roman"/>
          <w:sz w:val="24"/>
          <w:szCs w:val="24"/>
        </w:rPr>
        <w:t xml:space="preserve">onal ACL, the ISO must receive from the RIP a Provisional ACL as provided in Section 5.12.11.1.2 of this Services Tariff and in accordance with ISO Procedures. </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w:t>
      </w:r>
      <w:r>
        <w:rPr>
          <w:rFonts w:ascii="Times New Roman" w:hAnsi="Times New Roman"/>
          <w:sz w:val="24"/>
          <w:szCs w:val="24"/>
        </w:rPr>
        <w:t>port each SCR’s metered Load values that occurred during the Capability Period SCR Load Zone Peak Hours, in accordance with this Services Tariff and ISO Procedures during the enrollment process, any qualifying increase in a SCR’s Load that will be supplied</w:t>
      </w:r>
      <w:r>
        <w:rPr>
          <w:rFonts w:ascii="Times New Roman" w:hAnsi="Times New Roman"/>
          <w:sz w:val="24"/>
          <w:szCs w:val="24"/>
        </w:rPr>
        <w:t xml:space="preserve"> by the NYS Transmission System and/or distribution system may be reported as an Incremental ACL, subject to the limitations and verification reporting requirements provided in Section 5.12.11.1.5 of this Services Tariff and in accordance with ISO Procedur</w:t>
      </w:r>
      <w:r>
        <w:rPr>
          <w:rFonts w:ascii="Times New Roman" w:hAnsi="Times New Roman"/>
          <w:sz w:val="24"/>
          <w:szCs w:val="24"/>
        </w:rPr>
        <w:t xml:space="preserve">es.  Incremental ACL values must be reported using the required enrollment file that may be uploaded by the RIP during each month’s enrollment period.  RIPs may not report Incremental ACL values for any SCRs that are enrolled in the Capability Period with </w:t>
      </w:r>
      <w:r>
        <w:rPr>
          <w:rFonts w:ascii="Times New Roman" w:hAnsi="Times New Roman"/>
          <w:sz w:val="24"/>
          <w:szCs w:val="24"/>
        </w:rPr>
        <w:t>a Provisional ACL.</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w:t>
      </w:r>
      <w:r>
        <w:rPr>
          <w:rFonts w:ascii="Times New Roman" w:hAnsi="Times New Roman"/>
          <w:sz w:val="24"/>
          <w:szCs w:val="24"/>
        </w:rPr>
        <w:t>s Services Tariff and in accordance with ISO Procedures.</w:t>
      </w:r>
    </w:p>
    <w:p w:rsidR="00CC1D72" w:rsidRDefault="009E66E7">
      <w:pPr>
        <w:pStyle w:val="Bodypara"/>
      </w:pPr>
      <w:r>
        <w:t>The ACL is the basis for the upper limit of ICAP, except in circumstances when the SCR has reported a SCR Change of Status or reported an Incremental ACL pursuant to Sections 5.12.11.1.3 and 5.12.11.1.5 of this Services Tariff.  The basis for the upper lim</w:t>
      </w:r>
      <w:r>
        <w:t>it of ICAP for a SCR that has experienced a SCR Change of Status or reported an Incremental ACL shall be the Net ACL.</w:t>
      </w:r>
    </w:p>
    <w:p w:rsidR="00CC1D72" w:rsidRDefault="009E66E7">
      <w:pPr>
        <w:pStyle w:val="Heading4"/>
      </w:pPr>
      <w:r>
        <w:t>5.12.11.1.2</w:t>
      </w:r>
      <w:r>
        <w:tab/>
        <w:t xml:space="preserve">Use of a Provisional Average Coincident Load </w:t>
      </w:r>
    </w:p>
    <w:p w:rsidR="00CC1D72" w:rsidRDefault="009E66E7">
      <w:pPr>
        <w:pStyle w:val="Bodypara"/>
      </w:pPr>
      <w:r>
        <w:rPr>
          <w:bCs/>
        </w:rPr>
        <w:t xml:space="preserve">Prior to the Summer 2014 Capability Period, </w:t>
      </w:r>
      <w:r>
        <w:t>as provided in Section 5.12.11.1.1 o</w:t>
      </w:r>
      <w:r>
        <w:t>f this Services Tariff, if a new Special Case Resource has not previously been enrolled with the ISO and never had interval billing meter data from the Prior Equivalent Capability Period, its Installed Capacity value shall be its Provisional Average Coinci</w:t>
      </w:r>
      <w:r>
        <w:t xml:space="preserve">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CC1D72" w:rsidRDefault="009E66E7">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CC1D72" w:rsidRDefault="009E66E7">
      <w:pPr>
        <w:pStyle w:val="Bodypara"/>
      </w:pPr>
      <w:r>
        <w:t>The Provisional ACL is the RIP’s forecast of the SCR’</w:t>
      </w:r>
      <w:r>
        <w:t>s ACL and shall be the basis for the upper limit of ICAP for which the RIP may enroll the SCR during the Capability Period.</w:t>
      </w:r>
    </w:p>
    <w:p w:rsidR="00CC1D72" w:rsidRDefault="009E66E7">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In addition, beginning with the Summer 2014 Capability Period, the resource’s verified L</w:t>
      </w:r>
      <w:r>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t>taken into account when creating the SCR Verified ACL.  For the Day Ahead Demand Response Program, the verified Load reduction that occurred in response to a DADRP schedule shall be added to the Capability Period SCR Load Zone Peak Hour for which the reduc</w:t>
      </w:r>
      <w:r>
        <w:t>tion in response to a DADRP schedule occurred.  For the Demand Side Ancillary Services Program, the Load value to be used in calculating the Verified ACL for each hour during the Capability Period SCR Load Zone Peak Hours in which a non-zero Base Point Sig</w:t>
      </w:r>
      <w:r>
        <w:t>nal the ISO provides to the resource, shall be the greater of (a) the DSASP Baseline MW value in the interval immediately preceding the first non-zero Base Point Signal in the Capability Period SCR Load Zone Peak Hour and (b) the metered Load of the resour</w:t>
      </w:r>
      <w:r>
        <w:t>ce as reported by the RIP for the Capability Period SCR Load Zone Peak Hour.  When the non-zero Base Point Signal dispatch of a DSASP resource begins in one hour and continues into consecutive hours, and the consecutive hour is identified as being a Capabi</w:t>
      </w:r>
      <w:r>
        <w:t>lity Period SCR Load Zone Peak Hour, the DSASP Baseline MW value in effect at the beginning of the dispatch of the non-zero Base Point Signal shall be the MW value used for purposes of determining the applicable Load value for that Capability Period SCR Lo</w:t>
      </w:r>
      <w:r>
        <w:t>ad Zone Peak Hour, in accordance with the preceding sentence.</w:t>
      </w:r>
    </w:p>
    <w:p w:rsidR="00CC1D72" w:rsidRDefault="009E66E7">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w:t>
      </w:r>
      <w:r>
        <w:t>rce.  The ISO shall compare the Provisional ACL to the Verified ACL  to determine, after applying the applicable performance factor, whether the UCAP of the SCR had been oversold and whether a shortfall has occurred as provided under Section 5.14.2 of this</w:t>
      </w:r>
      <w:r>
        <w:t xml:space="preserve"> Services Tariff.  If the RIP fails to provide verification data required to compute the Verified ACL of the resource enrolled with a Provisional ACL by the deadline: (a) the Verified ACL of the resource shall be set to zero for each Capability Period in w</w:t>
      </w:r>
      <w:r>
        <w:t xml:space="preserve">hich the resource with a Provisional ACL was enrolled and verification data was not reported, and (b) the RIP may be subject to penalties in accordance with this Services Tariff.  </w:t>
      </w:r>
    </w:p>
    <w:p w:rsidR="00CC1D72" w:rsidRDefault="009E66E7">
      <w:pPr>
        <w:pStyle w:val="Heading4"/>
      </w:pPr>
      <w:r>
        <w:t>5.12.11.1.3</w:t>
      </w:r>
      <w:r>
        <w:tab/>
        <w:t xml:space="preserve">Reporting a </w:t>
      </w:r>
      <w:r>
        <w:rPr>
          <w:szCs w:val="24"/>
        </w:rPr>
        <w:t xml:space="preserve">SCR Change of Load or </w:t>
      </w:r>
      <w:r>
        <w:t xml:space="preserve">SCR Change of Status </w:t>
      </w:r>
    </w:p>
    <w:p w:rsidR="00CC1D72" w:rsidRDefault="009E66E7">
      <w:pPr>
        <w:pStyle w:val="Heading4"/>
      </w:pPr>
      <w:r>
        <w:t>5.12.11</w:t>
      </w:r>
      <w:r>
        <w:t xml:space="preserve">.1.3.1 </w:t>
      </w:r>
      <w:r>
        <w:tab/>
        <w:t>SCR Change of Load</w:t>
      </w:r>
    </w:p>
    <w:p w:rsidR="00CC1D72" w:rsidRDefault="009E66E7">
      <w:pPr>
        <w:pStyle w:val="Bodypara"/>
      </w:pPr>
      <w:r>
        <w:t>The Responsible Interface Party shall report any SCR Change of Load in accordance with ISO Procedures.  The RIP is required to document the SCR Change of Load and when the total Load reduction for SCRs that have a SCR Change of L</w:t>
      </w:r>
      <w:r>
        <w:t xml:space="preserve">oad within the same Load Zone is greater than or equal to 5 MWs, the RIP shall report the SCR Change of Load for each SCR in accordance with ISO Procedures. </w:t>
      </w:r>
    </w:p>
    <w:p w:rsidR="00CC1D72" w:rsidRDefault="009E66E7">
      <w:pPr>
        <w:pStyle w:val="Heading4"/>
      </w:pPr>
      <w:r>
        <w:t xml:space="preserve">5.12.11.1.3.2 </w:t>
      </w:r>
      <w:r>
        <w:tab/>
        <w:t>SCR Change of Status</w:t>
      </w:r>
    </w:p>
    <w:p w:rsidR="00CC1D72" w:rsidRDefault="009E66E7">
      <w:pPr>
        <w:pStyle w:val="Bodypara"/>
      </w:pPr>
      <w:r>
        <w:t>The Responsible Interface Party shall report any SCR Change of</w:t>
      </w:r>
      <w:r>
        <w:t xml:space="preserve"> Status in accordance with ISO Procedures.  The ISO shall adjust the reported ACL of the SCR for a reported SCR Change of Status to the Net ACL, for all prospective months to which the SCR Change of Status is applicable.  When a SCR Change of Status is rep</w:t>
      </w:r>
      <w:r>
        <w:t>orted under clause (i), (ii) or (iii) within the definition of a Qualified Change of Status Condition and the SCR has sold capacity, the SCR shall be evaluated for a potential shortfall under Section 5.14.2 of this Services Tariff.  Failure by the RIP to r</w:t>
      </w:r>
      <w:r>
        <w:t>eport a SCR Change of Status shall be evaluated as a potential shortfall under Section 5.14.2 of this Service Tariff and evaluated for failure to report under Section 5.12.12.2 of this Services Tariff.</w:t>
      </w:r>
    </w:p>
    <w:p w:rsidR="00CC1D72" w:rsidRDefault="009E66E7">
      <w:pPr>
        <w:pStyle w:val="Bodypara"/>
      </w:pPr>
      <w:r>
        <w:t>Beginning with the Summer 2014 Capability Period, SCRs</w:t>
      </w:r>
      <w:r>
        <w:t xml:space="preserve"> that were required to perform in the first performance test in the Capability Period in accordance with ISO Procedures and that subsequently report or change a reported SCR Change of Status value after the first performance test in the Capability Period s</w:t>
      </w:r>
      <w:r>
        <w:t>hall be required to demonstrate the performance of the resource against the Net ACL value in the second performance test in the Capability Period.  The exceptions to this provision occur when a SCR’s eligible Installed Capacity is set to zero throughout th</w:t>
      </w:r>
      <w:r>
        <w:t>e period of the SCR Change of Status, when a SCR’s eligible Installed Capacity is decreased by at least the same kW value as the reported SCR Change of Status, or if a SCR Change of Status is reported, and prior to the second performance test, the SCR retu</w:t>
      </w:r>
      <w:r>
        <w:t>rns to the full applicable ACL enrolled prior to the SCR Change of Status.  Performance in both performance tests shall be used in calculation of the resource’s performance factors and all associated performance factors, deficiencies and penalties.  If the</w:t>
      </w:r>
      <w:r>
        <w:t xml:space="preserve"> RIP fails to report the performance for a resource that was required to perform in the second performance test in the Capability Period: (a) the resource will be assigned a performance of zero (0) for the test hour, and (b) the RIP shall be evaluated for </w:t>
      </w:r>
      <w:r>
        <w:t>failure to report under Section 5.12.12.2 of this Services Tariff.</w:t>
      </w:r>
    </w:p>
    <w:p w:rsidR="00CC1D72" w:rsidRDefault="009E66E7">
      <w:pPr>
        <w:pStyle w:val="Heading4"/>
      </w:pPr>
      <w:r>
        <w:t>5.12.11.1.4</w:t>
      </w:r>
      <w:r>
        <w:tab/>
        <w:t>Average Coincident Load of an SCR Aggregation</w:t>
      </w:r>
    </w:p>
    <w:p w:rsidR="00CC1D72" w:rsidRDefault="009E66E7">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C1D72" w:rsidRDefault="009E66E7">
      <w:pPr>
        <w:pStyle w:val="Heading4"/>
      </w:pPr>
      <w:r>
        <w:t xml:space="preserve">5.12.11.1.5 </w:t>
      </w:r>
      <w:r>
        <w:tab/>
      </w:r>
      <w:r>
        <w:t>Use of an Incremental Average Coincident Load</w:t>
      </w:r>
    </w:p>
    <w:p w:rsidR="00CC1D72" w:rsidRDefault="009E66E7">
      <w:pPr>
        <w:pStyle w:val="Bodypara"/>
      </w:pPr>
      <w:r>
        <w:t xml:space="preserve">Beginning with the Summer 2014 Capability Period, a Responsible Interface Party may report any qualifying increase to a Special Case Resource’s Average Coincident Load as Incremental Average Coincident Load in </w:t>
      </w:r>
      <w:r>
        <w:t xml:space="preserve">the RIP enrollment file upload and in accordance with this Services Tariff and ISO Procedures. </w:t>
      </w:r>
    </w:p>
    <w:p w:rsidR="00CC1D72" w:rsidRDefault="009E66E7">
      <w:pPr>
        <w:pStyle w:val="Bodypara"/>
      </w:pPr>
      <w:r>
        <w:t>For SCRs with a total Load increase equal to or greater than twenty (20) percent and less than thirty (30) percent of the applicable ACL, the RIP may enroll the</w:t>
      </w:r>
      <w:r>
        <w:t xml:space="preserve"> SCR with an Incremental ACL provided that the eligible Installed Capacity does not increase from the prior enrollment months within the same Capability Period and prior to enrollment with an Incremental ACL.  If the SCR is enrolled with an Incremental ACL</w:t>
      </w:r>
      <w:r>
        <w:t xml:space="preserve"> and it is the first month of the SCR’s enrollment in the applicable Capability Period, the enrolled eligible Installed Capacity value shall not exceed the maximum eligible Installed Capacity of the SCR from the Prior Equivalent Capability Period.  When no</w:t>
      </w:r>
      <w:r>
        <w:t xml:space="preserve"> enrollment exists for the SCR in the Prior Equivalent Capability Period and it is the first month of the SCR’s enrollment in the applicable Capability Period, the enrolled eligible Installed Capacity of the SCR shall not exceed the ACL calculated from the</w:t>
      </w:r>
      <w:r>
        <w:t xml:space="preserve"> Capability Period SCR Load Zone Peak Hours.  For SCRs with a total Load increase equal to or greater than thirty (30) percent of the applicable ACL, the RIP may enroll the SCR with an Incremental ACL and an increase to the SCR’s eligible Installed Capacit</w:t>
      </w:r>
      <w:r>
        <w:t>y and is required to test as described in this section of the Service Tariff.</w:t>
      </w:r>
    </w:p>
    <w:p w:rsidR="00CC1D72" w:rsidRDefault="009E66E7">
      <w:pPr>
        <w:pStyle w:val="Bodypara"/>
      </w:pPr>
      <w:r>
        <w:t>The ISO shall adjust the ACL of the SCR for an Incremental ACL for all months for which the Incremental ACL is reported by the RIP.  For resources reporting an Incremental ACL, t</w:t>
      </w:r>
      <w:r>
        <w:t xml:space="preserve">he Net ACL shall equal the enrolled ACL plus the reported Incremental ACL less any applicable SCR Change of Status and shall be the basis for the upper limit of ICAP for which the RIP may enroll the SCR during the Capability Period.   </w:t>
      </w:r>
    </w:p>
    <w:p w:rsidR="00CC1D72" w:rsidRDefault="009E66E7">
      <w:pPr>
        <w:pStyle w:val="Bodypara"/>
      </w:pPr>
      <w:r>
        <w:t>An Incremental ACL i</w:t>
      </w:r>
      <w:r>
        <w:t xml:space="preserve">s a discrete change to the SCR operations that is expected to result in an increase to the Load that the SCR will consume from the NYS Transmission System and/or distribution system.  It is not available to account for random fluctuations in Load, such as </w:t>
      </w:r>
      <w:r>
        <w:t xml:space="preserve">those caused by weather or other seasonal Load variations. Therefore, the ACL of a SCR may only be increased once per Capability Period and the amount of the increase enrolled must remain the same for all months for which the Incremental ACL is reported.  </w:t>
      </w:r>
      <w:r>
        <w:t>A SCR enrolled in the Capability Period with an Incremental ACL may not be enrolled by another RIP for the remainder of the Capability Period.  A SCR enrolled in the Capability Period with a Provisional ACL is not eligible to enroll with an Incremental ACL</w:t>
      </w:r>
      <w:r>
        <w:t>.</w:t>
      </w:r>
    </w:p>
    <w:p w:rsidR="00CC1D72" w:rsidRDefault="009E66E7">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w:t>
      </w:r>
      <w:r>
        <w:t>ich an Incremental ACL value was reported for the SCR.  For each month for which verification data was required to be reported, the ISO shall calculate a Monthly ACL that will be used in the calculation of a Verified ACL.  The Monthly ACL shall equal the a</w:t>
      </w:r>
      <w:r>
        <w:t>verage of the SCR’s top twenty (20) one-hour metered Load values that correspond with the applicable Monthly SCR Load Zone Peak Hours, and taking into account (i) the resource’s reported verified Load reduction in a Transmission Owner’s demand response pro</w:t>
      </w:r>
      <w:r>
        <w:t>gram in hours coincident with any of these hours and (ii) the resource’s verified Load reduction in either of the ISO’s economic demand response programs (the Day Ahead Demand Response Program and the Demand Side Ancillary Services Program) in hours coinci</w:t>
      </w:r>
      <w:r>
        <w:t>dent with any of these hours.  For the Day Ahead Demand Response Program, the verified Load reduction that occurred in response to a DADRP schedule shall be added to the Monthly SCR Load Zone Peak Hour for which the reduction in response to a DADRP schedul</w:t>
      </w:r>
      <w:r>
        <w:t>e occurred.  For the Demand Side Ancillary Services Program, the Load value to be used in calculating the Monthly ACL for each hour during the Monthly SCR Load Zone Peak Hours in which a non-zero Base Point Signal the ISO provides to the resource, shall be</w:t>
      </w:r>
      <w:r>
        <w:t xml:space="preserve"> the greater of (a) the DSASP Baseline MW value in the interval immediately preceding the first non-zero Base Point Signal in the Monthly SCR Load Zone Peak Hour and (b) the metered Load of the resource as reported by the RIP for the Monthly SCR Load Zone </w:t>
      </w:r>
      <w:r>
        <w:t>Peak Hour.  When the non-zero Base Point Signal dispatch of a DSASP resource begins in one hour and continues into consecutive hours, and the consecutive hour is identified as being a Monthly SCR Load Zone Peak Hour, the DSASP Baseline MW value in effect a</w:t>
      </w:r>
      <w:r>
        <w:t xml:space="preserve">t the beginning of the dispatch of the non-zero Base Point Signal shall be the MW value used for purposes of determining the applicable Load value for that Monthly SCR Load Zone Peak Hour, in accordance with the preceding sentence.  The Verified ACL shall </w:t>
      </w:r>
      <w:r>
        <w:t xml:space="preserve">be the average of the two (2) highest Monthly ACLs during the Capability Period in which the SCR was enrolled with an Incremental ACL within the same Capability Period. </w:t>
      </w:r>
    </w:p>
    <w:p w:rsidR="00CC1D72" w:rsidRDefault="009E66E7">
      <w:pPr>
        <w:pStyle w:val="Bodypara"/>
      </w:pPr>
      <w:r>
        <w:t>For any month in which verification data for the Incremental ACL is required but not t</w:t>
      </w:r>
      <w:r>
        <w:t>imely submitted to the ISO in accordance with ISO procedures, the ISO shall set the metered Load values to zero.  When a Monthly ACL is set to zero, the Verified ACL will be calculated as the average of: a) the two (2) highest Monthly ACLs during the Capab</w:t>
      </w:r>
      <w:r>
        <w:t>ility Period in which the SCR was enrolled with an Incremental ACL within the same Capability Period; plus b) the Monthly ACLs for all months in which the SCR was enrolled within the same Capability Period with an Incremental ACL in the Capability Period i</w:t>
      </w:r>
      <w:r>
        <w:t>n which the RIP failed to provide the minimum verification data required.  In addition, a RIP may be subject to a penalty for each month for which verification data was required and not reported in accordance with this Services Tariff.</w:t>
      </w:r>
    </w:p>
    <w:p w:rsidR="00CC1D72" w:rsidRDefault="009E66E7">
      <w:pPr>
        <w:pStyle w:val="Bodypara"/>
      </w:pPr>
      <w:r>
        <w:t>For each SCR that is</w:t>
      </w:r>
      <w:r>
        <w:t xml:space="preserve"> enrolled with an Incremental ACL, the ISO shall compare the Net ACL calculated from the resource enrollment (ACL plus Incremental ACL less any applicable SCR Change of Status) to the Verified ACL calculated for the SCR to determine if the RIP’s use of an </w:t>
      </w:r>
      <w:r>
        <w:t xml:space="preserve">Incremental ACL may have resulted in a shortfall pursuant to Section 5.14.2.  </w:t>
      </w:r>
    </w:p>
    <w:p w:rsidR="00CC1D72" w:rsidRDefault="009E66E7">
      <w:pPr>
        <w:pStyle w:val="Bodypara"/>
      </w:pPr>
      <w:r>
        <w:t>A Special Case Resource that was required to perform in the first performance test in the Capability Period in accordance with ISO Procedures and was subsequently enrolled using</w:t>
      </w:r>
      <w:r>
        <w:t xml:space="preserve"> an Incremental ACL and an increase in the amount of Installed Capacity that the SCR is eligible to sell, shall be required to demonstrate performance against the maximum amount of eligible Installed Capacity reported for the SCR in the second performance </w:t>
      </w:r>
      <w:r>
        <w:t>test in the Capability Period.  Performance in this test shall be measured from the Net ACL.  Performance in both performance tests shall be used in calculation of the resource’s performance factor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CC1D72" w:rsidRDefault="009E66E7">
      <w:pPr>
        <w:pStyle w:val="Heading4"/>
      </w:pPr>
      <w:bookmarkStart w:id="31" w:name="_Toc261446164"/>
      <w:r>
        <w:t>5.12.11.2</w:t>
      </w:r>
      <w:r>
        <w:tab/>
        <w:t>Existing Municipally-Owned Generation</w:t>
      </w:r>
      <w:bookmarkEnd w:id="31"/>
    </w:p>
    <w:p w:rsidR="00CC1D72" w:rsidRDefault="009E66E7">
      <w:pPr>
        <w:pStyle w:val="Bodypara"/>
      </w:pPr>
      <w:r>
        <w:t>A municipal utility that owns existing generation in excess of its Unforced Capacity requirement, net of NYPA-provided Capac</w:t>
      </w:r>
      <w:r>
        <w:t>ity may, consistent with the deliverability requirements set forth in Attachment X and Attachment S to the ISO OATT, offer the excess Capacity for sale as Installed Capacity provided that it is willing to operate the generation at the ISO’s request, and pr</w:t>
      </w:r>
      <w:r>
        <w:t>ovided that the Energy produced is deliverable to the New York State Power System.  Such a municipal utility shall not be required to comply with the requirement of Section 5.12.7 of this Tariff that an Installed Capacity Supplier bid into the Energy marke</w:t>
      </w:r>
      <w:r>
        <w:t>t or enter into Bilateral Transactions.  Municipal utilities shall, however, be required to submit their typical physical operating parameters, such as their start-up times, to the ISO.  This subsection is only applicable to municipally-owned generation in</w:t>
      </w:r>
      <w:r>
        <w:t xml:space="preserve"> service or under construction as of December 31, 1999.</w:t>
      </w:r>
    </w:p>
    <w:p w:rsidR="00CC1D72" w:rsidRDefault="009E66E7">
      <w:pPr>
        <w:pStyle w:val="Heading4"/>
      </w:pPr>
      <w:bookmarkStart w:id="32" w:name="_Toc261446165"/>
      <w:r>
        <w:t>5.12.11.3</w:t>
      </w:r>
      <w:r>
        <w:tab/>
        <w:t>Energy Limited Resources</w:t>
      </w:r>
      <w:bookmarkEnd w:id="32"/>
    </w:p>
    <w:p w:rsidR="00CC1D72" w:rsidRDefault="009E66E7">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CC1D72" w:rsidRDefault="009E66E7">
      <w:pPr>
        <w:pStyle w:val="Heading4"/>
      </w:pPr>
      <w:bookmarkStart w:id="33" w:name="_Toc261446166"/>
      <w:r>
        <w:t>5.12.11.4</w:t>
      </w:r>
      <w:r>
        <w:tab/>
        <w:t>Intermittent Power Resources</w:t>
      </w:r>
      <w:bookmarkEnd w:id="33"/>
    </w:p>
    <w:p w:rsidR="00CC1D72" w:rsidRDefault="009E66E7">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CC1D72" w:rsidRDefault="009E66E7">
      <w:pPr>
        <w:pStyle w:val="Heading4"/>
      </w:pPr>
      <w:r>
        <w:t xml:space="preserve">5.12.11.5 </w:t>
      </w:r>
      <w:r>
        <w:tab/>
        <w:t xml:space="preserve">Installed Capacity Suppliers with an Energy Duration Limitation </w:t>
      </w:r>
    </w:p>
    <w:p w:rsidR="00CC1D72" w:rsidRDefault="009E66E7">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C1D72" w:rsidRDefault="009E66E7">
      <w:pPr>
        <w:pStyle w:val="Heading3"/>
      </w:pPr>
      <w:bookmarkStart w:id="34" w:name="_Toc261446167"/>
      <w:r>
        <w:t>5.12.12</w:t>
      </w:r>
      <w:r>
        <w:tab/>
        <w:t>Sanctions Applicable to Installed Capacit</w:t>
      </w:r>
      <w:r>
        <w:t>y Suppliers and Transmission Owners</w:t>
      </w:r>
      <w:bookmarkEnd w:id="34"/>
    </w:p>
    <w:p w:rsidR="00CC1D72" w:rsidRDefault="009E66E7">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CC1D72" w:rsidRDefault="009E66E7">
      <w:pPr>
        <w:pStyle w:val="Bodypara"/>
      </w:pPr>
      <w:r>
        <w:t>Any</w:t>
      </w:r>
      <w:r>
        <w:t xml:space="preserve"> sanctions collected by the ISO pursuant to this section will be applied to reduce the Rate Schedule 1 charge under this Tariff.</w:t>
      </w:r>
    </w:p>
    <w:p w:rsidR="00CC1D72" w:rsidRDefault="009E66E7">
      <w:pPr>
        <w:pStyle w:val="Heading4"/>
      </w:pPr>
      <w:bookmarkStart w:id="35" w:name="_Toc261446168"/>
      <w:r>
        <w:t>5.12.12.1</w:t>
      </w:r>
      <w:r>
        <w:tab/>
        <w:t>Sanctions for Failing to Provide Required Information</w:t>
      </w:r>
      <w:bookmarkEnd w:id="35"/>
    </w:p>
    <w:p w:rsidR="00CC1D72" w:rsidRDefault="009E66E7">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CC1D72" w:rsidRDefault="009E66E7">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CC1D72" w:rsidRDefault="009E66E7">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CC1D72" w:rsidRDefault="009E66E7">
      <w:pPr>
        <w:pStyle w:val="Heading4"/>
      </w:pPr>
      <w:bookmarkStart w:id="36" w:name="_Toc261446169"/>
      <w:r>
        <w:t>5.12.12.2</w:t>
      </w:r>
      <w:r>
        <w:tab/>
        <w:t>Sanctions for Failing to Comply with Scheduling, Bidding, and Notification Requirements</w:t>
      </w:r>
      <w:bookmarkEnd w:id="36"/>
    </w:p>
    <w:p w:rsidR="00CC1D72" w:rsidRDefault="009E66E7">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CC1D72" w:rsidRDefault="009E66E7">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w:t>
      </w:r>
      <w:r>
        <w:t>ion 5.12.7 of this Tariff, or if an Installed Capacity Supplier of Unforced Capacity from an External Control Aria fails to comply with the scheduling, bidding, or notification requirements for certification as an Installed Capacity Supplier established in</w:t>
      </w:r>
      <w:r>
        <w:t xml:space="preserve"> the ISO Procedures, during an hour in which the ISO curtails Exports associated with NYCA Installed Capacity Suppliers consistent with Section 5.12.10 of this Tariff and with ISO Procedures, then the ISO may impose an additional financial sanction equal t</w:t>
      </w:r>
      <w:r>
        <w:t>o the product of the number of MWs the Installed Capacity Supplier failed to schedule during that hour and the corresponding Real-Time LBMP at the applicable Proxy Generator Bus.</w:t>
      </w:r>
    </w:p>
    <w:p w:rsidR="00CC1D72" w:rsidRDefault="009E66E7">
      <w:pPr>
        <w:pStyle w:val="BodyText"/>
        <w:spacing w:before="69" w:line="480" w:lineRule="auto"/>
        <w:ind w:right="121" w:firstLine="620"/>
      </w:pPr>
      <w:r>
        <w:rPr>
          <w:spacing w:val="-1"/>
        </w:rPr>
        <w:t>To the extent an Installed Capacity Supplier of Unforced Capacity from an Ext</w:t>
      </w:r>
      <w:r>
        <w:rPr>
          <w:spacing w:val="-1"/>
        </w:rPr>
        <w:t xml:space="preserve">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w:t>
      </w:r>
      <w:r>
        <w:t xml:space="preserve">using UDRs or EDRs </w:t>
      </w:r>
      <w:r>
        <w:rPr>
          <w:spacing w:val="-1"/>
        </w:rPr>
        <w:t>shall be subject to a</w:t>
      </w:r>
      <w:r>
        <w:t xml:space="preserve"> deficiency charge calculated in accordance with the formula set forth below for each Obligation Procurement Period:</w:t>
      </w:r>
    </w:p>
    <w:p w:rsidR="00CC1D72" w:rsidRDefault="009E66E7">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C1D72" w:rsidRDefault="009E66E7">
      <w:pPr>
        <w:pStyle w:val="BodyText"/>
        <w:spacing w:before="240" w:line="480" w:lineRule="auto"/>
        <w:ind w:left="101" w:right="115" w:firstLine="619"/>
      </w:pPr>
      <w:r>
        <w:t>Where:</w:t>
      </w:r>
    </w:p>
    <w:p w:rsidR="00CC1D72" w:rsidRDefault="009E66E7">
      <w:pPr>
        <w:pStyle w:val="BodyText"/>
        <w:spacing w:before="69" w:line="480" w:lineRule="auto"/>
        <w:ind w:left="1620" w:right="121" w:hanging="720"/>
      </w:pPr>
      <w:r>
        <w:t>N = total number of hours of SRE calls during the relevant Obligation Procurement Period</w:t>
      </w:r>
    </w:p>
    <w:p w:rsidR="00CC1D72" w:rsidRDefault="009E66E7">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C1D72" w:rsidRDefault="009E66E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CC1D72" w:rsidRDefault="009E66E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CC1D72" w:rsidRDefault="009E66E7">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CC1D72" w:rsidRDefault="009E66E7">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CC1D72" w:rsidRDefault="009E66E7">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CC1D72" w:rsidRDefault="009E66E7">
      <w:pPr>
        <w:pStyle w:val="Heading3"/>
      </w:pPr>
      <w:r>
        <w:t>5.12.14</w:t>
      </w:r>
      <w:r>
        <w:tab/>
        <w:t>En</w:t>
      </w:r>
      <w:r>
        <w:t>ergy Duration Limitations and Duration Adjustment Factors for Installed Capacity Suppliers</w:t>
      </w:r>
    </w:p>
    <w:p w:rsidR="00CC1D72" w:rsidRDefault="009E66E7">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CC1D72" w:rsidRDefault="009E66E7">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C80DEB">
        <w:tc>
          <w:tcPr>
            <w:tcW w:w="9350" w:type="dxa"/>
            <w:gridSpan w:val="2"/>
          </w:tcPr>
          <w:p w:rsidR="00CC1D72" w:rsidRDefault="009E66E7">
            <w:pPr>
              <w:pStyle w:val="Normal0"/>
              <w:spacing w:line="480" w:lineRule="auto"/>
              <w:jc w:val="center"/>
            </w:pPr>
            <w:r>
              <w:t>Incremental Penetration of</w:t>
            </w:r>
            <w:r>
              <w:t xml:space="preserve"> Resources with Energy Duration Limitations is less than 1000 MW</w:t>
            </w:r>
          </w:p>
        </w:tc>
      </w:tr>
      <w:tr w:rsidR="00C80DEB">
        <w:tc>
          <w:tcPr>
            <w:tcW w:w="4675" w:type="dxa"/>
          </w:tcPr>
          <w:p w:rsidR="00CC1D72" w:rsidRDefault="009E66E7">
            <w:pPr>
              <w:pStyle w:val="Normal0"/>
              <w:spacing w:line="480" w:lineRule="auto"/>
              <w:jc w:val="center"/>
            </w:pPr>
            <w:r>
              <w:t>Energy Duration Limitations (hours)</w:t>
            </w:r>
          </w:p>
        </w:tc>
        <w:tc>
          <w:tcPr>
            <w:tcW w:w="4675" w:type="dxa"/>
          </w:tcPr>
          <w:p w:rsidR="00CC1D72" w:rsidRDefault="009E66E7">
            <w:pPr>
              <w:pStyle w:val="Normal0"/>
              <w:spacing w:line="480" w:lineRule="auto"/>
              <w:jc w:val="center"/>
            </w:pPr>
            <w:r>
              <w:t>Duration Adjustment Factor (%)</w:t>
            </w:r>
          </w:p>
        </w:tc>
      </w:tr>
      <w:tr w:rsidR="00C80DEB">
        <w:tc>
          <w:tcPr>
            <w:tcW w:w="4675" w:type="dxa"/>
          </w:tcPr>
          <w:p w:rsidR="00CC1D72" w:rsidRDefault="009E66E7">
            <w:pPr>
              <w:pStyle w:val="Normal0"/>
              <w:spacing w:line="480" w:lineRule="auto"/>
              <w:jc w:val="center"/>
            </w:pPr>
            <w:r>
              <w:t>8</w:t>
            </w:r>
          </w:p>
        </w:tc>
        <w:tc>
          <w:tcPr>
            <w:tcW w:w="4675" w:type="dxa"/>
          </w:tcPr>
          <w:p w:rsidR="00CC1D72" w:rsidRDefault="009E66E7">
            <w:pPr>
              <w:pStyle w:val="Normal0"/>
              <w:spacing w:line="480" w:lineRule="auto"/>
              <w:jc w:val="center"/>
            </w:pPr>
            <w:r>
              <w:t>100</w:t>
            </w:r>
          </w:p>
        </w:tc>
      </w:tr>
      <w:tr w:rsidR="00C80DEB">
        <w:tc>
          <w:tcPr>
            <w:tcW w:w="4675" w:type="dxa"/>
          </w:tcPr>
          <w:p w:rsidR="00CC1D72" w:rsidRDefault="009E66E7">
            <w:pPr>
              <w:pStyle w:val="Normal0"/>
              <w:spacing w:line="480" w:lineRule="auto"/>
              <w:jc w:val="center"/>
            </w:pPr>
            <w:r>
              <w:t>6</w:t>
            </w:r>
          </w:p>
        </w:tc>
        <w:tc>
          <w:tcPr>
            <w:tcW w:w="4675" w:type="dxa"/>
          </w:tcPr>
          <w:p w:rsidR="00CC1D72" w:rsidRDefault="009E66E7">
            <w:pPr>
              <w:pStyle w:val="Normal0"/>
              <w:spacing w:line="480" w:lineRule="auto"/>
              <w:jc w:val="center"/>
            </w:pPr>
            <w:r>
              <w:t>100</w:t>
            </w:r>
          </w:p>
        </w:tc>
      </w:tr>
      <w:tr w:rsidR="00C80DEB">
        <w:tc>
          <w:tcPr>
            <w:tcW w:w="4675" w:type="dxa"/>
          </w:tcPr>
          <w:p w:rsidR="00CC1D72" w:rsidRDefault="009E66E7">
            <w:pPr>
              <w:pStyle w:val="Normal0"/>
              <w:spacing w:line="480" w:lineRule="auto"/>
              <w:jc w:val="center"/>
            </w:pPr>
            <w:r>
              <w:t>4</w:t>
            </w:r>
          </w:p>
        </w:tc>
        <w:tc>
          <w:tcPr>
            <w:tcW w:w="4675" w:type="dxa"/>
          </w:tcPr>
          <w:p w:rsidR="00CC1D72" w:rsidRDefault="009E66E7">
            <w:pPr>
              <w:pStyle w:val="Normal0"/>
              <w:spacing w:line="480" w:lineRule="auto"/>
              <w:jc w:val="center"/>
            </w:pPr>
            <w:r>
              <w:t>90</w:t>
            </w:r>
          </w:p>
        </w:tc>
      </w:tr>
      <w:tr w:rsidR="00C80DEB">
        <w:tc>
          <w:tcPr>
            <w:tcW w:w="4675" w:type="dxa"/>
          </w:tcPr>
          <w:p w:rsidR="00CC1D72" w:rsidRDefault="009E66E7">
            <w:pPr>
              <w:pStyle w:val="Normal0"/>
              <w:spacing w:line="480" w:lineRule="auto"/>
              <w:jc w:val="center"/>
            </w:pPr>
            <w:r>
              <w:t>2</w:t>
            </w:r>
          </w:p>
        </w:tc>
        <w:tc>
          <w:tcPr>
            <w:tcW w:w="4675" w:type="dxa"/>
          </w:tcPr>
          <w:p w:rsidR="00CC1D72" w:rsidRDefault="009E66E7">
            <w:pPr>
              <w:pStyle w:val="Normal0"/>
              <w:spacing w:line="480" w:lineRule="auto"/>
              <w:jc w:val="center"/>
            </w:pPr>
            <w:r>
              <w:t>45</w:t>
            </w:r>
          </w:p>
        </w:tc>
      </w:tr>
    </w:tbl>
    <w:p w:rsidR="00CC1D72" w:rsidRDefault="009E66E7">
      <w:pPr>
        <w:pStyle w:val="Normal0"/>
        <w:spacing w:line="480" w:lineRule="auto"/>
      </w:pPr>
    </w:p>
    <w:p w:rsidR="00CC1D72" w:rsidRDefault="009E66E7">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C80DEB">
        <w:tc>
          <w:tcPr>
            <w:tcW w:w="9350" w:type="dxa"/>
            <w:gridSpan w:val="2"/>
          </w:tcPr>
          <w:p w:rsidR="00CC1D72" w:rsidRDefault="009E66E7">
            <w:pPr>
              <w:pStyle w:val="Normal0"/>
              <w:spacing w:line="480" w:lineRule="auto"/>
              <w:jc w:val="center"/>
            </w:pPr>
            <w:r>
              <w:t xml:space="preserve">Incremental Penetration of Resources with Energy Duration Limitations 1000 MW and above </w:t>
            </w:r>
          </w:p>
        </w:tc>
      </w:tr>
      <w:tr w:rsidR="00C80DEB">
        <w:tc>
          <w:tcPr>
            <w:tcW w:w="4675" w:type="dxa"/>
          </w:tcPr>
          <w:p w:rsidR="00CC1D72" w:rsidRDefault="009E66E7">
            <w:pPr>
              <w:pStyle w:val="Normal0"/>
              <w:spacing w:line="480" w:lineRule="auto"/>
              <w:jc w:val="center"/>
            </w:pPr>
            <w:r>
              <w:t>Energy Duration Limitations (hours)</w:t>
            </w:r>
          </w:p>
        </w:tc>
        <w:tc>
          <w:tcPr>
            <w:tcW w:w="4675" w:type="dxa"/>
          </w:tcPr>
          <w:p w:rsidR="00CC1D72" w:rsidRDefault="009E66E7">
            <w:pPr>
              <w:pStyle w:val="Normal0"/>
              <w:spacing w:line="480" w:lineRule="auto"/>
              <w:jc w:val="center"/>
            </w:pPr>
            <w:r>
              <w:t>Duration Adjustment Factor (%)</w:t>
            </w:r>
          </w:p>
        </w:tc>
      </w:tr>
      <w:tr w:rsidR="00C80DEB">
        <w:tc>
          <w:tcPr>
            <w:tcW w:w="4675" w:type="dxa"/>
          </w:tcPr>
          <w:p w:rsidR="00CC1D72" w:rsidRDefault="009E66E7">
            <w:pPr>
              <w:pStyle w:val="Normal0"/>
              <w:spacing w:line="480" w:lineRule="auto"/>
              <w:jc w:val="center"/>
            </w:pPr>
            <w:r>
              <w:t>8</w:t>
            </w:r>
          </w:p>
        </w:tc>
        <w:tc>
          <w:tcPr>
            <w:tcW w:w="4675" w:type="dxa"/>
          </w:tcPr>
          <w:p w:rsidR="00CC1D72" w:rsidRDefault="009E66E7">
            <w:pPr>
              <w:pStyle w:val="Normal0"/>
              <w:spacing w:line="480" w:lineRule="auto"/>
              <w:jc w:val="center"/>
            </w:pPr>
            <w:r>
              <w:t>100</w:t>
            </w:r>
          </w:p>
        </w:tc>
      </w:tr>
      <w:tr w:rsidR="00C80DEB">
        <w:tc>
          <w:tcPr>
            <w:tcW w:w="4675" w:type="dxa"/>
          </w:tcPr>
          <w:p w:rsidR="00CC1D72" w:rsidRDefault="009E66E7">
            <w:pPr>
              <w:pStyle w:val="Normal0"/>
              <w:spacing w:line="480" w:lineRule="auto"/>
              <w:jc w:val="center"/>
            </w:pPr>
            <w:r>
              <w:t>6</w:t>
            </w:r>
          </w:p>
        </w:tc>
        <w:tc>
          <w:tcPr>
            <w:tcW w:w="4675" w:type="dxa"/>
          </w:tcPr>
          <w:p w:rsidR="00CC1D72" w:rsidRDefault="009E66E7">
            <w:pPr>
              <w:pStyle w:val="Normal0"/>
              <w:spacing w:line="480" w:lineRule="auto"/>
              <w:jc w:val="center"/>
            </w:pPr>
            <w:r>
              <w:t>90</w:t>
            </w:r>
          </w:p>
        </w:tc>
      </w:tr>
      <w:tr w:rsidR="00C80DEB">
        <w:tc>
          <w:tcPr>
            <w:tcW w:w="4675" w:type="dxa"/>
          </w:tcPr>
          <w:p w:rsidR="00CC1D72" w:rsidRDefault="009E66E7">
            <w:pPr>
              <w:pStyle w:val="Normal0"/>
              <w:spacing w:line="480" w:lineRule="auto"/>
              <w:jc w:val="center"/>
            </w:pPr>
            <w:r>
              <w:t>4</w:t>
            </w:r>
          </w:p>
        </w:tc>
        <w:tc>
          <w:tcPr>
            <w:tcW w:w="4675" w:type="dxa"/>
          </w:tcPr>
          <w:p w:rsidR="00CC1D72" w:rsidRDefault="009E66E7">
            <w:pPr>
              <w:pStyle w:val="Normal0"/>
              <w:spacing w:line="480" w:lineRule="auto"/>
              <w:jc w:val="center"/>
            </w:pPr>
            <w:r>
              <w:t>75</w:t>
            </w:r>
          </w:p>
        </w:tc>
      </w:tr>
      <w:tr w:rsidR="00C80DEB">
        <w:tc>
          <w:tcPr>
            <w:tcW w:w="4675" w:type="dxa"/>
          </w:tcPr>
          <w:p w:rsidR="00CC1D72" w:rsidRDefault="009E66E7">
            <w:pPr>
              <w:pStyle w:val="Normal0"/>
              <w:spacing w:line="480" w:lineRule="auto"/>
              <w:jc w:val="center"/>
            </w:pPr>
            <w:r>
              <w:t>2</w:t>
            </w:r>
          </w:p>
        </w:tc>
        <w:tc>
          <w:tcPr>
            <w:tcW w:w="4675" w:type="dxa"/>
          </w:tcPr>
          <w:p w:rsidR="00CC1D72" w:rsidRDefault="009E66E7">
            <w:pPr>
              <w:pStyle w:val="Normal0"/>
              <w:spacing w:line="480" w:lineRule="auto"/>
              <w:jc w:val="center"/>
            </w:pPr>
            <w:r>
              <w:t>37.5</w:t>
            </w:r>
          </w:p>
        </w:tc>
      </w:tr>
    </w:tbl>
    <w:p w:rsidR="00CC1D72" w:rsidRDefault="009E66E7">
      <w:pPr>
        <w:pStyle w:val="Normal0"/>
        <w:spacing w:line="480" w:lineRule="auto"/>
      </w:pPr>
    </w:p>
    <w:p w:rsidR="00CC1D72" w:rsidRDefault="009E66E7">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CC1D72" w:rsidRDefault="009E66E7">
      <w:pPr>
        <w:pStyle w:val="Heading4"/>
      </w:pPr>
      <w:r>
        <w:t xml:space="preserve">5.12.14.1 Counting Incremental Penetration of Resources with Energy Duration Limitations </w:t>
      </w:r>
    </w:p>
    <w:p w:rsidR="00CC1D72" w:rsidRDefault="009E66E7">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CC1D72" w:rsidRDefault="009E66E7">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CC1D72" w:rsidRDefault="009E66E7">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CC1D72" w:rsidRDefault="009E66E7">
      <w:pPr>
        <w:pStyle w:val="Heading4"/>
      </w:pPr>
      <w:r>
        <w:t>5.12.14.2 Adjusted Installe</w:t>
      </w:r>
      <w:r>
        <w:t xml:space="preserve">d Capacity </w:t>
      </w:r>
    </w:p>
    <w:p w:rsidR="00CC1D72" w:rsidRDefault="009E66E7">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CC1D72" w:rsidRDefault="009E66E7">
      <w:pPr>
        <w:pStyle w:val="Heading40"/>
      </w:pPr>
      <w:r>
        <w:t>5.12.14.3  Periodic Review of Capac</w:t>
      </w:r>
      <w:r>
        <w:t>ity Values</w:t>
      </w:r>
    </w:p>
    <w:p w:rsidR="00CC1D72" w:rsidRDefault="009E66E7">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wind and solar Resources.  </w:t>
      </w:r>
    </w:p>
    <w:p w:rsidR="00CC1D72" w:rsidRDefault="009E66E7">
      <w:pPr>
        <w:pStyle w:val="Bodypara"/>
      </w:pPr>
      <w:r>
        <w:t>The periodic review shall be conducted in a</w:t>
      </w:r>
      <w:r>
        <w:t>ccordance with the schedule and procedures specified in the ISO Procedures.  A proposed schedule will be reviewed with stakeholders no later than September 1 of the second year prior to the Demand Curve Reset filing year, pursuant to Section 5.14.1.2.2.  T</w:t>
      </w:r>
      <w:r>
        <w:t>he schedule and procedures shall provide for:</w:t>
      </w:r>
    </w:p>
    <w:p w:rsidR="00CC1D72" w:rsidRDefault="009E66E7">
      <w:pPr>
        <w:pStyle w:val="alphapara"/>
      </w:pPr>
      <w:r>
        <w:t>5.12.14.3.1</w:t>
      </w:r>
      <w:r>
        <w:tab/>
        <w:t>ISO development, with stakeholder review and comment, of a request for study, scope, assumptions, and methodology to provide consulting services to determine recommended values for the Duration Adju</w:t>
      </w:r>
      <w:r>
        <w:t xml:space="preserve">stment Factors specified above, and appropriate methodologies for such determination; </w:t>
      </w:r>
    </w:p>
    <w:p w:rsidR="00CC1D72" w:rsidRDefault="009E66E7">
      <w:pPr>
        <w:pStyle w:val="alphapara"/>
      </w:pPr>
      <w:r>
        <w:t>5.12.14.3.2</w:t>
      </w:r>
      <w:r>
        <w:tab/>
        <w:t>Selection of a consultant in accordance with the request in Section 5.12.14.3.1;</w:t>
      </w:r>
    </w:p>
    <w:p w:rsidR="00CC1D72" w:rsidRDefault="009E66E7">
      <w:pPr>
        <w:pStyle w:val="alphapara"/>
      </w:pPr>
      <w:r>
        <w:t>5.12.14.3.3</w:t>
      </w:r>
      <w:r>
        <w:tab/>
        <w:t xml:space="preserve">Submission to the ISO and the stakeholders of a draft report </w:t>
      </w:r>
      <w:r>
        <w:t>from the consultant on the consultant’s determination of recommended values for the Energy Duration Limitations and the associated Duration Adjustment Factors, and Peak Load Windows specified above;</w:t>
      </w:r>
    </w:p>
    <w:p w:rsidR="00CC1D72" w:rsidRDefault="009E66E7">
      <w:pPr>
        <w:pStyle w:val="alphapara"/>
      </w:pPr>
      <w:r>
        <w:t>5.12.14.3.4</w:t>
      </w:r>
      <w:r>
        <w:tab/>
        <w:t>Stakeholder review of and comment on the data</w:t>
      </w:r>
      <w:r>
        <w:t>, assumptions and conclusions in the consultant’s draft report, with participation by the responsible person or persons providing the consulting services;</w:t>
      </w:r>
    </w:p>
    <w:p w:rsidR="00CC1D72" w:rsidRDefault="009E66E7">
      <w:pPr>
        <w:pStyle w:val="alphapara"/>
      </w:pPr>
      <w:r>
        <w:t>5.12.14.3.5</w:t>
      </w:r>
      <w:r>
        <w:tab/>
        <w:t xml:space="preserve">An opportunity for the Market Monitoring Unit to review and comment on the draft request </w:t>
      </w:r>
      <w:r>
        <w:t>for the proposals, the consultant’s report, and the ISO’s proposed Energy Duration Limitations and the associated Duration Adjustment Factors, Peak Load Windows for Resources with Energy Duration Limitations (the responsibilities of the Market Monitoring U</w:t>
      </w:r>
      <w:r>
        <w:t>nit that are addressed in this section of the Service’s Tariff are also addressed in Section 30.4.6.3.1 of Attachment O), and Peak Load Windows for wind and solar resources;</w:t>
      </w:r>
    </w:p>
    <w:p w:rsidR="00CC1D72" w:rsidRDefault="009E66E7">
      <w:pPr>
        <w:pStyle w:val="alphapara"/>
      </w:pPr>
      <w:r>
        <w:t>5.12.14.3.6</w:t>
      </w:r>
      <w:r>
        <w:tab/>
        <w:t>Issuance by the consultant of a final report;</w:t>
      </w:r>
    </w:p>
    <w:p w:rsidR="00CC1D72" w:rsidRDefault="009E66E7">
      <w:pPr>
        <w:pStyle w:val="alphapara"/>
      </w:pPr>
      <w:r>
        <w:t>5.12.14.3.7</w:t>
      </w:r>
      <w:r>
        <w:tab/>
        <w:t xml:space="preserve">Issuance of </w:t>
      </w:r>
      <w:r>
        <w:t>a draft of the ISO’s recommended adjustments to the Energy Duration Limitations and the associated Duration Adjustment Factors, Peak Load Windows for Resources with Energy Duration Limitations, and Peak Load Windows for wind and solar resources for stakeho</w:t>
      </w:r>
      <w:r>
        <w:t>lder review and comment; and</w:t>
      </w:r>
    </w:p>
    <w:p w:rsidR="00CC1D72" w:rsidRDefault="009E66E7">
      <w:pPr>
        <w:pStyle w:val="alphapara"/>
      </w:pPr>
      <w:r>
        <w:t>5.12.14.3.8</w:t>
      </w:r>
      <w:r>
        <w:tab/>
        <w:t>Issuance of the ISO’s proposed Energy Duration Limitations and the associated Duration Adjustment Factors, Peak Load Windows for Resources with Energy Duration Limitations, and Peak Load Windows for wind and solar r</w:t>
      </w:r>
      <w:r>
        <w:t>esources, taking into account the report of the consultant, the recommendations of the Market Monitoring Unit, and the views of the stakeholders together with the rationale for accepting or rejecting any such inputs.</w:t>
      </w:r>
    </w:p>
    <w:sectPr w:rsidR="00CC1D7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6E7">
      <w:pPr>
        <w:spacing w:after="0" w:line="240" w:lineRule="auto"/>
      </w:pPr>
      <w:r>
        <w:separator/>
      </w:r>
    </w:p>
  </w:endnote>
  <w:endnote w:type="continuationSeparator" w:id="0">
    <w:p w:rsidR="00000000" w:rsidRDefault="009E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pPr>
      <w:jc w:val="right"/>
    </w:pPr>
    <w:r>
      <w:rPr>
        <w:rFonts w:ascii="Arial" w:eastAsia="Arial" w:hAnsi="Arial" w:cs="Arial"/>
        <w:color w:val="000000"/>
        <w:sz w:val="16"/>
      </w:rPr>
      <w:t xml:space="preserve">Effective Date: 3/1/2021 - Docket #: ER21-394-000 -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6E7">
      <w:pPr>
        <w:spacing w:after="0" w:line="240" w:lineRule="auto"/>
      </w:pPr>
      <w:r>
        <w:separator/>
      </w:r>
    </w:p>
  </w:footnote>
  <w:footnote w:type="continuationSeparator" w:id="0">
    <w:p w:rsidR="00000000" w:rsidRDefault="009E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EB" w:rsidRDefault="009E66E7">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w:t>
    </w:r>
    <w:r>
      <w:rPr>
        <w:rFonts w:ascii="Arial" w:eastAsia="Arial" w:hAnsi="Arial" w:cs="Arial"/>
        <w:color w:val="000000"/>
        <w:sz w:val="16"/>
      </w:rPr>
      <w:t>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DBCE050">
      <w:start w:val="1"/>
      <w:numFmt w:val="bullet"/>
      <w:lvlText w:val=""/>
      <w:lvlJc w:val="left"/>
      <w:pPr>
        <w:tabs>
          <w:tab w:val="num" w:pos="720"/>
        </w:tabs>
        <w:ind w:left="720" w:hanging="360"/>
      </w:pPr>
      <w:rPr>
        <w:rFonts w:ascii="Symbol" w:hAnsi="Symbol" w:hint="default"/>
      </w:rPr>
    </w:lvl>
    <w:lvl w:ilvl="1" w:tplc="0CAA2386" w:tentative="1">
      <w:start w:val="1"/>
      <w:numFmt w:val="bullet"/>
      <w:lvlText w:val="o"/>
      <w:lvlJc w:val="left"/>
      <w:pPr>
        <w:tabs>
          <w:tab w:val="num" w:pos="1440"/>
        </w:tabs>
        <w:ind w:left="1440" w:hanging="360"/>
      </w:pPr>
      <w:rPr>
        <w:rFonts w:ascii="Courier New" w:hAnsi="Courier New" w:cs="Courier New" w:hint="default"/>
      </w:rPr>
    </w:lvl>
    <w:lvl w:ilvl="2" w:tplc="46F2360C" w:tentative="1">
      <w:start w:val="1"/>
      <w:numFmt w:val="bullet"/>
      <w:lvlText w:val=""/>
      <w:lvlJc w:val="left"/>
      <w:pPr>
        <w:tabs>
          <w:tab w:val="num" w:pos="2160"/>
        </w:tabs>
        <w:ind w:left="2160" w:hanging="360"/>
      </w:pPr>
      <w:rPr>
        <w:rFonts w:ascii="Wingdings" w:hAnsi="Wingdings" w:hint="default"/>
      </w:rPr>
    </w:lvl>
    <w:lvl w:ilvl="3" w:tplc="B352091A" w:tentative="1">
      <w:start w:val="1"/>
      <w:numFmt w:val="bullet"/>
      <w:lvlText w:val=""/>
      <w:lvlJc w:val="left"/>
      <w:pPr>
        <w:tabs>
          <w:tab w:val="num" w:pos="2880"/>
        </w:tabs>
        <w:ind w:left="2880" w:hanging="360"/>
      </w:pPr>
      <w:rPr>
        <w:rFonts w:ascii="Symbol" w:hAnsi="Symbol" w:hint="default"/>
      </w:rPr>
    </w:lvl>
    <w:lvl w:ilvl="4" w:tplc="875C5D0C" w:tentative="1">
      <w:start w:val="1"/>
      <w:numFmt w:val="bullet"/>
      <w:lvlText w:val="o"/>
      <w:lvlJc w:val="left"/>
      <w:pPr>
        <w:tabs>
          <w:tab w:val="num" w:pos="3600"/>
        </w:tabs>
        <w:ind w:left="3600" w:hanging="360"/>
      </w:pPr>
      <w:rPr>
        <w:rFonts w:ascii="Courier New" w:hAnsi="Courier New" w:cs="Courier New" w:hint="default"/>
      </w:rPr>
    </w:lvl>
    <w:lvl w:ilvl="5" w:tplc="22AA1A2C" w:tentative="1">
      <w:start w:val="1"/>
      <w:numFmt w:val="bullet"/>
      <w:lvlText w:val=""/>
      <w:lvlJc w:val="left"/>
      <w:pPr>
        <w:tabs>
          <w:tab w:val="num" w:pos="4320"/>
        </w:tabs>
        <w:ind w:left="4320" w:hanging="360"/>
      </w:pPr>
      <w:rPr>
        <w:rFonts w:ascii="Wingdings" w:hAnsi="Wingdings" w:hint="default"/>
      </w:rPr>
    </w:lvl>
    <w:lvl w:ilvl="6" w:tplc="6B22683C" w:tentative="1">
      <w:start w:val="1"/>
      <w:numFmt w:val="bullet"/>
      <w:lvlText w:val=""/>
      <w:lvlJc w:val="left"/>
      <w:pPr>
        <w:tabs>
          <w:tab w:val="num" w:pos="5040"/>
        </w:tabs>
        <w:ind w:left="5040" w:hanging="360"/>
      </w:pPr>
      <w:rPr>
        <w:rFonts w:ascii="Symbol" w:hAnsi="Symbol" w:hint="default"/>
      </w:rPr>
    </w:lvl>
    <w:lvl w:ilvl="7" w:tplc="302A2E9A" w:tentative="1">
      <w:start w:val="1"/>
      <w:numFmt w:val="bullet"/>
      <w:lvlText w:val="o"/>
      <w:lvlJc w:val="left"/>
      <w:pPr>
        <w:tabs>
          <w:tab w:val="num" w:pos="5760"/>
        </w:tabs>
        <w:ind w:left="5760" w:hanging="360"/>
      </w:pPr>
      <w:rPr>
        <w:rFonts w:ascii="Courier New" w:hAnsi="Courier New" w:cs="Courier New" w:hint="default"/>
      </w:rPr>
    </w:lvl>
    <w:lvl w:ilvl="8" w:tplc="35DCAE4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A06BDF4">
      <w:start w:val="1"/>
      <w:numFmt w:val="upperLetter"/>
      <w:lvlText w:val="%1."/>
      <w:lvlJc w:val="left"/>
      <w:pPr>
        <w:tabs>
          <w:tab w:val="num" w:pos="1440"/>
        </w:tabs>
        <w:ind w:left="1440" w:hanging="720"/>
      </w:pPr>
      <w:rPr>
        <w:rFonts w:hint="default"/>
      </w:rPr>
    </w:lvl>
    <w:lvl w:ilvl="1" w:tplc="C090E402" w:tentative="1">
      <w:start w:val="1"/>
      <w:numFmt w:val="lowerLetter"/>
      <w:lvlText w:val="%2."/>
      <w:lvlJc w:val="left"/>
      <w:pPr>
        <w:tabs>
          <w:tab w:val="num" w:pos="1800"/>
        </w:tabs>
        <w:ind w:left="1800" w:hanging="360"/>
      </w:pPr>
    </w:lvl>
    <w:lvl w:ilvl="2" w:tplc="C43499B8" w:tentative="1">
      <w:start w:val="1"/>
      <w:numFmt w:val="lowerRoman"/>
      <w:lvlText w:val="%3."/>
      <w:lvlJc w:val="right"/>
      <w:pPr>
        <w:tabs>
          <w:tab w:val="num" w:pos="2520"/>
        </w:tabs>
        <w:ind w:left="2520" w:hanging="180"/>
      </w:pPr>
    </w:lvl>
    <w:lvl w:ilvl="3" w:tplc="CA524E9C" w:tentative="1">
      <w:start w:val="1"/>
      <w:numFmt w:val="decimal"/>
      <w:lvlText w:val="%4."/>
      <w:lvlJc w:val="left"/>
      <w:pPr>
        <w:tabs>
          <w:tab w:val="num" w:pos="3240"/>
        </w:tabs>
        <w:ind w:left="3240" w:hanging="360"/>
      </w:pPr>
    </w:lvl>
    <w:lvl w:ilvl="4" w:tplc="4F5CE7C8" w:tentative="1">
      <w:start w:val="1"/>
      <w:numFmt w:val="lowerLetter"/>
      <w:lvlText w:val="%5."/>
      <w:lvlJc w:val="left"/>
      <w:pPr>
        <w:tabs>
          <w:tab w:val="num" w:pos="3960"/>
        </w:tabs>
        <w:ind w:left="3960" w:hanging="360"/>
      </w:pPr>
    </w:lvl>
    <w:lvl w:ilvl="5" w:tplc="6302BB6A" w:tentative="1">
      <w:start w:val="1"/>
      <w:numFmt w:val="lowerRoman"/>
      <w:lvlText w:val="%6."/>
      <w:lvlJc w:val="right"/>
      <w:pPr>
        <w:tabs>
          <w:tab w:val="num" w:pos="4680"/>
        </w:tabs>
        <w:ind w:left="4680" w:hanging="180"/>
      </w:pPr>
    </w:lvl>
    <w:lvl w:ilvl="6" w:tplc="475AC688" w:tentative="1">
      <w:start w:val="1"/>
      <w:numFmt w:val="decimal"/>
      <w:lvlText w:val="%7."/>
      <w:lvlJc w:val="left"/>
      <w:pPr>
        <w:tabs>
          <w:tab w:val="num" w:pos="5400"/>
        </w:tabs>
        <w:ind w:left="5400" w:hanging="360"/>
      </w:pPr>
    </w:lvl>
    <w:lvl w:ilvl="7" w:tplc="085E7980" w:tentative="1">
      <w:start w:val="1"/>
      <w:numFmt w:val="lowerLetter"/>
      <w:lvlText w:val="%8."/>
      <w:lvlJc w:val="left"/>
      <w:pPr>
        <w:tabs>
          <w:tab w:val="num" w:pos="6120"/>
        </w:tabs>
        <w:ind w:left="6120" w:hanging="360"/>
      </w:pPr>
    </w:lvl>
    <w:lvl w:ilvl="8" w:tplc="809C3E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350115C">
      <w:start w:val="3"/>
      <w:numFmt w:val="upperLetter"/>
      <w:lvlText w:val="%1."/>
      <w:lvlJc w:val="left"/>
      <w:pPr>
        <w:tabs>
          <w:tab w:val="num" w:pos="1080"/>
        </w:tabs>
        <w:ind w:left="1080" w:hanging="360"/>
      </w:pPr>
      <w:rPr>
        <w:rFonts w:hint="default"/>
      </w:rPr>
    </w:lvl>
    <w:lvl w:ilvl="1" w:tplc="59C2F796" w:tentative="1">
      <w:start w:val="1"/>
      <w:numFmt w:val="lowerLetter"/>
      <w:lvlText w:val="%2."/>
      <w:lvlJc w:val="left"/>
      <w:pPr>
        <w:tabs>
          <w:tab w:val="num" w:pos="1800"/>
        </w:tabs>
        <w:ind w:left="1800" w:hanging="360"/>
      </w:pPr>
    </w:lvl>
    <w:lvl w:ilvl="2" w:tplc="F79A8356" w:tentative="1">
      <w:start w:val="1"/>
      <w:numFmt w:val="lowerRoman"/>
      <w:lvlText w:val="%3."/>
      <w:lvlJc w:val="right"/>
      <w:pPr>
        <w:tabs>
          <w:tab w:val="num" w:pos="2520"/>
        </w:tabs>
        <w:ind w:left="2520" w:hanging="180"/>
      </w:pPr>
    </w:lvl>
    <w:lvl w:ilvl="3" w:tplc="E6D0700C" w:tentative="1">
      <w:start w:val="1"/>
      <w:numFmt w:val="decimal"/>
      <w:lvlText w:val="%4."/>
      <w:lvlJc w:val="left"/>
      <w:pPr>
        <w:tabs>
          <w:tab w:val="num" w:pos="3240"/>
        </w:tabs>
        <w:ind w:left="3240" w:hanging="360"/>
      </w:pPr>
    </w:lvl>
    <w:lvl w:ilvl="4" w:tplc="DF5EBE44" w:tentative="1">
      <w:start w:val="1"/>
      <w:numFmt w:val="lowerLetter"/>
      <w:lvlText w:val="%5."/>
      <w:lvlJc w:val="left"/>
      <w:pPr>
        <w:tabs>
          <w:tab w:val="num" w:pos="3960"/>
        </w:tabs>
        <w:ind w:left="3960" w:hanging="360"/>
      </w:pPr>
    </w:lvl>
    <w:lvl w:ilvl="5" w:tplc="C0C251F2" w:tentative="1">
      <w:start w:val="1"/>
      <w:numFmt w:val="lowerRoman"/>
      <w:lvlText w:val="%6."/>
      <w:lvlJc w:val="right"/>
      <w:pPr>
        <w:tabs>
          <w:tab w:val="num" w:pos="4680"/>
        </w:tabs>
        <w:ind w:left="4680" w:hanging="180"/>
      </w:pPr>
    </w:lvl>
    <w:lvl w:ilvl="6" w:tplc="2D58D8AC" w:tentative="1">
      <w:start w:val="1"/>
      <w:numFmt w:val="decimal"/>
      <w:lvlText w:val="%7."/>
      <w:lvlJc w:val="left"/>
      <w:pPr>
        <w:tabs>
          <w:tab w:val="num" w:pos="5400"/>
        </w:tabs>
        <w:ind w:left="5400" w:hanging="360"/>
      </w:pPr>
    </w:lvl>
    <w:lvl w:ilvl="7" w:tplc="B7DE39D8" w:tentative="1">
      <w:start w:val="1"/>
      <w:numFmt w:val="lowerLetter"/>
      <w:lvlText w:val="%8."/>
      <w:lvlJc w:val="left"/>
      <w:pPr>
        <w:tabs>
          <w:tab w:val="num" w:pos="6120"/>
        </w:tabs>
        <w:ind w:left="6120" w:hanging="360"/>
      </w:pPr>
    </w:lvl>
    <w:lvl w:ilvl="8" w:tplc="87AE9C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3046F8C">
      <w:start w:val="1"/>
      <w:numFmt w:val="bullet"/>
      <w:pStyle w:val="Bulletpara"/>
      <w:lvlText w:val=""/>
      <w:lvlJc w:val="left"/>
      <w:pPr>
        <w:tabs>
          <w:tab w:val="num" w:pos="720"/>
        </w:tabs>
        <w:ind w:left="720" w:hanging="360"/>
      </w:pPr>
      <w:rPr>
        <w:rFonts w:ascii="Symbol" w:hAnsi="Symbol" w:hint="default"/>
      </w:rPr>
    </w:lvl>
    <w:lvl w:ilvl="1" w:tplc="DA2448D4" w:tentative="1">
      <w:start w:val="1"/>
      <w:numFmt w:val="bullet"/>
      <w:lvlText w:val="o"/>
      <w:lvlJc w:val="left"/>
      <w:pPr>
        <w:tabs>
          <w:tab w:val="num" w:pos="1440"/>
        </w:tabs>
        <w:ind w:left="1440" w:hanging="360"/>
      </w:pPr>
      <w:rPr>
        <w:rFonts w:ascii="Courier New" w:hAnsi="Courier New" w:cs="Courier New" w:hint="default"/>
      </w:rPr>
    </w:lvl>
    <w:lvl w:ilvl="2" w:tplc="5336C76A" w:tentative="1">
      <w:start w:val="1"/>
      <w:numFmt w:val="bullet"/>
      <w:lvlText w:val=""/>
      <w:lvlJc w:val="left"/>
      <w:pPr>
        <w:tabs>
          <w:tab w:val="num" w:pos="2160"/>
        </w:tabs>
        <w:ind w:left="2160" w:hanging="360"/>
      </w:pPr>
      <w:rPr>
        <w:rFonts w:ascii="Wingdings" w:hAnsi="Wingdings" w:hint="default"/>
      </w:rPr>
    </w:lvl>
    <w:lvl w:ilvl="3" w:tplc="D8A0F0B8" w:tentative="1">
      <w:start w:val="1"/>
      <w:numFmt w:val="bullet"/>
      <w:lvlText w:val=""/>
      <w:lvlJc w:val="left"/>
      <w:pPr>
        <w:tabs>
          <w:tab w:val="num" w:pos="2880"/>
        </w:tabs>
        <w:ind w:left="2880" w:hanging="360"/>
      </w:pPr>
      <w:rPr>
        <w:rFonts w:ascii="Symbol" w:hAnsi="Symbol" w:hint="default"/>
      </w:rPr>
    </w:lvl>
    <w:lvl w:ilvl="4" w:tplc="810C4C0E" w:tentative="1">
      <w:start w:val="1"/>
      <w:numFmt w:val="bullet"/>
      <w:lvlText w:val="o"/>
      <w:lvlJc w:val="left"/>
      <w:pPr>
        <w:tabs>
          <w:tab w:val="num" w:pos="3600"/>
        </w:tabs>
        <w:ind w:left="3600" w:hanging="360"/>
      </w:pPr>
      <w:rPr>
        <w:rFonts w:ascii="Courier New" w:hAnsi="Courier New" w:cs="Courier New" w:hint="default"/>
      </w:rPr>
    </w:lvl>
    <w:lvl w:ilvl="5" w:tplc="400678A0" w:tentative="1">
      <w:start w:val="1"/>
      <w:numFmt w:val="bullet"/>
      <w:lvlText w:val=""/>
      <w:lvlJc w:val="left"/>
      <w:pPr>
        <w:tabs>
          <w:tab w:val="num" w:pos="4320"/>
        </w:tabs>
        <w:ind w:left="4320" w:hanging="360"/>
      </w:pPr>
      <w:rPr>
        <w:rFonts w:ascii="Wingdings" w:hAnsi="Wingdings" w:hint="default"/>
      </w:rPr>
    </w:lvl>
    <w:lvl w:ilvl="6" w:tplc="164000CC" w:tentative="1">
      <w:start w:val="1"/>
      <w:numFmt w:val="bullet"/>
      <w:lvlText w:val=""/>
      <w:lvlJc w:val="left"/>
      <w:pPr>
        <w:tabs>
          <w:tab w:val="num" w:pos="5040"/>
        </w:tabs>
        <w:ind w:left="5040" w:hanging="360"/>
      </w:pPr>
      <w:rPr>
        <w:rFonts w:ascii="Symbol" w:hAnsi="Symbol" w:hint="default"/>
      </w:rPr>
    </w:lvl>
    <w:lvl w:ilvl="7" w:tplc="DCF2BB5A" w:tentative="1">
      <w:start w:val="1"/>
      <w:numFmt w:val="bullet"/>
      <w:lvlText w:val="o"/>
      <w:lvlJc w:val="left"/>
      <w:pPr>
        <w:tabs>
          <w:tab w:val="num" w:pos="5760"/>
        </w:tabs>
        <w:ind w:left="5760" w:hanging="360"/>
      </w:pPr>
      <w:rPr>
        <w:rFonts w:ascii="Courier New" w:hAnsi="Courier New" w:cs="Courier New" w:hint="default"/>
      </w:rPr>
    </w:lvl>
    <w:lvl w:ilvl="8" w:tplc="F08CB56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512A438">
      <w:start w:val="2"/>
      <w:numFmt w:val="decimal"/>
      <w:lvlText w:val="(%1)"/>
      <w:lvlJc w:val="left"/>
      <w:pPr>
        <w:tabs>
          <w:tab w:val="num" w:pos="1800"/>
        </w:tabs>
        <w:ind w:left="1800" w:hanging="360"/>
      </w:pPr>
      <w:rPr>
        <w:rFonts w:hint="default"/>
        <w:b w:val="0"/>
        <w:sz w:val="24"/>
      </w:rPr>
    </w:lvl>
    <w:lvl w:ilvl="1" w:tplc="65D629FA" w:tentative="1">
      <w:start w:val="1"/>
      <w:numFmt w:val="lowerLetter"/>
      <w:lvlText w:val="%2."/>
      <w:lvlJc w:val="left"/>
      <w:pPr>
        <w:tabs>
          <w:tab w:val="num" w:pos="2520"/>
        </w:tabs>
        <w:ind w:left="2520" w:hanging="360"/>
      </w:pPr>
    </w:lvl>
    <w:lvl w:ilvl="2" w:tplc="DADA8B2C" w:tentative="1">
      <w:start w:val="1"/>
      <w:numFmt w:val="lowerRoman"/>
      <w:lvlText w:val="%3."/>
      <w:lvlJc w:val="right"/>
      <w:pPr>
        <w:tabs>
          <w:tab w:val="num" w:pos="3240"/>
        </w:tabs>
        <w:ind w:left="3240" w:hanging="180"/>
      </w:pPr>
    </w:lvl>
    <w:lvl w:ilvl="3" w:tplc="ACF821F4" w:tentative="1">
      <w:start w:val="1"/>
      <w:numFmt w:val="decimal"/>
      <w:lvlText w:val="%4."/>
      <w:lvlJc w:val="left"/>
      <w:pPr>
        <w:tabs>
          <w:tab w:val="num" w:pos="3960"/>
        </w:tabs>
        <w:ind w:left="3960" w:hanging="360"/>
      </w:pPr>
    </w:lvl>
    <w:lvl w:ilvl="4" w:tplc="090675C6" w:tentative="1">
      <w:start w:val="1"/>
      <w:numFmt w:val="lowerLetter"/>
      <w:lvlText w:val="%5."/>
      <w:lvlJc w:val="left"/>
      <w:pPr>
        <w:tabs>
          <w:tab w:val="num" w:pos="4680"/>
        </w:tabs>
        <w:ind w:left="4680" w:hanging="360"/>
      </w:pPr>
    </w:lvl>
    <w:lvl w:ilvl="5" w:tplc="9E827FFA" w:tentative="1">
      <w:start w:val="1"/>
      <w:numFmt w:val="lowerRoman"/>
      <w:lvlText w:val="%6."/>
      <w:lvlJc w:val="right"/>
      <w:pPr>
        <w:tabs>
          <w:tab w:val="num" w:pos="5400"/>
        </w:tabs>
        <w:ind w:left="5400" w:hanging="180"/>
      </w:pPr>
    </w:lvl>
    <w:lvl w:ilvl="6" w:tplc="09F2F6A6" w:tentative="1">
      <w:start w:val="1"/>
      <w:numFmt w:val="decimal"/>
      <w:lvlText w:val="%7."/>
      <w:lvlJc w:val="left"/>
      <w:pPr>
        <w:tabs>
          <w:tab w:val="num" w:pos="6120"/>
        </w:tabs>
        <w:ind w:left="6120" w:hanging="360"/>
      </w:pPr>
    </w:lvl>
    <w:lvl w:ilvl="7" w:tplc="F286C1C8" w:tentative="1">
      <w:start w:val="1"/>
      <w:numFmt w:val="lowerLetter"/>
      <w:lvlText w:val="%8."/>
      <w:lvlJc w:val="left"/>
      <w:pPr>
        <w:tabs>
          <w:tab w:val="num" w:pos="6840"/>
        </w:tabs>
        <w:ind w:left="6840" w:hanging="360"/>
      </w:pPr>
    </w:lvl>
    <w:lvl w:ilvl="8" w:tplc="CE147826"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944F3DE">
      <w:start w:val="1"/>
      <w:numFmt w:val="decimal"/>
      <w:lvlText w:val="(%1)"/>
      <w:lvlJc w:val="left"/>
      <w:pPr>
        <w:tabs>
          <w:tab w:val="num" w:pos="2160"/>
        </w:tabs>
        <w:ind w:left="2160" w:hanging="720"/>
      </w:pPr>
      <w:rPr>
        <w:rFonts w:hint="default"/>
      </w:rPr>
    </w:lvl>
    <w:lvl w:ilvl="1" w:tplc="1D4E8FB4" w:tentative="1">
      <w:start w:val="1"/>
      <w:numFmt w:val="lowerLetter"/>
      <w:lvlText w:val="%2."/>
      <w:lvlJc w:val="left"/>
      <w:pPr>
        <w:tabs>
          <w:tab w:val="num" w:pos="2520"/>
        </w:tabs>
        <w:ind w:left="2520" w:hanging="360"/>
      </w:pPr>
    </w:lvl>
    <w:lvl w:ilvl="2" w:tplc="7E68D992" w:tentative="1">
      <w:start w:val="1"/>
      <w:numFmt w:val="lowerRoman"/>
      <w:lvlText w:val="%3."/>
      <w:lvlJc w:val="right"/>
      <w:pPr>
        <w:tabs>
          <w:tab w:val="num" w:pos="3240"/>
        </w:tabs>
        <w:ind w:left="3240" w:hanging="180"/>
      </w:pPr>
    </w:lvl>
    <w:lvl w:ilvl="3" w:tplc="3BF215DC" w:tentative="1">
      <w:start w:val="1"/>
      <w:numFmt w:val="decimal"/>
      <w:lvlText w:val="%4."/>
      <w:lvlJc w:val="left"/>
      <w:pPr>
        <w:tabs>
          <w:tab w:val="num" w:pos="3960"/>
        </w:tabs>
        <w:ind w:left="3960" w:hanging="360"/>
      </w:pPr>
    </w:lvl>
    <w:lvl w:ilvl="4" w:tplc="03C4BCA8" w:tentative="1">
      <w:start w:val="1"/>
      <w:numFmt w:val="lowerLetter"/>
      <w:lvlText w:val="%5."/>
      <w:lvlJc w:val="left"/>
      <w:pPr>
        <w:tabs>
          <w:tab w:val="num" w:pos="4680"/>
        </w:tabs>
        <w:ind w:left="4680" w:hanging="360"/>
      </w:pPr>
    </w:lvl>
    <w:lvl w:ilvl="5" w:tplc="2FAC5978" w:tentative="1">
      <w:start w:val="1"/>
      <w:numFmt w:val="lowerRoman"/>
      <w:lvlText w:val="%6."/>
      <w:lvlJc w:val="right"/>
      <w:pPr>
        <w:tabs>
          <w:tab w:val="num" w:pos="5400"/>
        </w:tabs>
        <w:ind w:left="5400" w:hanging="180"/>
      </w:pPr>
    </w:lvl>
    <w:lvl w:ilvl="6" w:tplc="B5DAEA5A" w:tentative="1">
      <w:start w:val="1"/>
      <w:numFmt w:val="decimal"/>
      <w:lvlText w:val="%7."/>
      <w:lvlJc w:val="left"/>
      <w:pPr>
        <w:tabs>
          <w:tab w:val="num" w:pos="6120"/>
        </w:tabs>
        <w:ind w:left="6120" w:hanging="360"/>
      </w:pPr>
    </w:lvl>
    <w:lvl w:ilvl="7" w:tplc="0BCE47C6" w:tentative="1">
      <w:start w:val="1"/>
      <w:numFmt w:val="lowerLetter"/>
      <w:lvlText w:val="%8."/>
      <w:lvlJc w:val="left"/>
      <w:pPr>
        <w:tabs>
          <w:tab w:val="num" w:pos="6840"/>
        </w:tabs>
        <w:ind w:left="6840" w:hanging="360"/>
      </w:pPr>
    </w:lvl>
    <w:lvl w:ilvl="8" w:tplc="FC98F06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E48FADE">
      <w:start w:val="1"/>
      <w:numFmt w:val="lowerRoman"/>
      <w:lvlText w:val="(%1)"/>
      <w:lvlJc w:val="left"/>
      <w:pPr>
        <w:tabs>
          <w:tab w:val="num" w:pos="1440"/>
        </w:tabs>
        <w:ind w:left="1440" w:hanging="720"/>
      </w:pPr>
      <w:rPr>
        <w:rFonts w:hint="default"/>
      </w:rPr>
    </w:lvl>
    <w:lvl w:ilvl="1" w:tplc="A54CE6EA" w:tentative="1">
      <w:start w:val="1"/>
      <w:numFmt w:val="lowerLetter"/>
      <w:lvlText w:val="%2."/>
      <w:lvlJc w:val="left"/>
      <w:pPr>
        <w:tabs>
          <w:tab w:val="num" w:pos="1800"/>
        </w:tabs>
        <w:ind w:left="1800" w:hanging="360"/>
      </w:pPr>
    </w:lvl>
    <w:lvl w:ilvl="2" w:tplc="507872E0" w:tentative="1">
      <w:start w:val="1"/>
      <w:numFmt w:val="lowerRoman"/>
      <w:lvlText w:val="%3."/>
      <w:lvlJc w:val="right"/>
      <w:pPr>
        <w:tabs>
          <w:tab w:val="num" w:pos="2520"/>
        </w:tabs>
        <w:ind w:left="2520" w:hanging="180"/>
      </w:pPr>
    </w:lvl>
    <w:lvl w:ilvl="3" w:tplc="6492AA44" w:tentative="1">
      <w:start w:val="1"/>
      <w:numFmt w:val="decimal"/>
      <w:lvlText w:val="%4."/>
      <w:lvlJc w:val="left"/>
      <w:pPr>
        <w:tabs>
          <w:tab w:val="num" w:pos="3240"/>
        </w:tabs>
        <w:ind w:left="3240" w:hanging="360"/>
      </w:pPr>
    </w:lvl>
    <w:lvl w:ilvl="4" w:tplc="8D2E7EFA" w:tentative="1">
      <w:start w:val="1"/>
      <w:numFmt w:val="lowerLetter"/>
      <w:lvlText w:val="%5."/>
      <w:lvlJc w:val="left"/>
      <w:pPr>
        <w:tabs>
          <w:tab w:val="num" w:pos="3960"/>
        </w:tabs>
        <w:ind w:left="3960" w:hanging="360"/>
      </w:pPr>
    </w:lvl>
    <w:lvl w:ilvl="5" w:tplc="BA303D78" w:tentative="1">
      <w:start w:val="1"/>
      <w:numFmt w:val="lowerRoman"/>
      <w:lvlText w:val="%6."/>
      <w:lvlJc w:val="right"/>
      <w:pPr>
        <w:tabs>
          <w:tab w:val="num" w:pos="4680"/>
        </w:tabs>
        <w:ind w:left="4680" w:hanging="180"/>
      </w:pPr>
    </w:lvl>
    <w:lvl w:ilvl="6" w:tplc="B540CB72" w:tentative="1">
      <w:start w:val="1"/>
      <w:numFmt w:val="decimal"/>
      <w:lvlText w:val="%7."/>
      <w:lvlJc w:val="left"/>
      <w:pPr>
        <w:tabs>
          <w:tab w:val="num" w:pos="5400"/>
        </w:tabs>
        <w:ind w:left="5400" w:hanging="360"/>
      </w:pPr>
    </w:lvl>
    <w:lvl w:ilvl="7" w:tplc="8564D526" w:tentative="1">
      <w:start w:val="1"/>
      <w:numFmt w:val="lowerLetter"/>
      <w:lvlText w:val="%8."/>
      <w:lvlJc w:val="left"/>
      <w:pPr>
        <w:tabs>
          <w:tab w:val="num" w:pos="6120"/>
        </w:tabs>
        <w:ind w:left="6120" w:hanging="360"/>
      </w:pPr>
    </w:lvl>
    <w:lvl w:ilvl="8" w:tplc="B7C4802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E8CA3E18">
      <w:start w:val="1"/>
      <w:numFmt w:val="lowerRoman"/>
      <w:lvlText w:val="(%1)"/>
      <w:lvlJc w:val="left"/>
      <w:pPr>
        <w:tabs>
          <w:tab w:val="num" w:pos="2448"/>
        </w:tabs>
        <w:ind w:left="2448" w:hanging="648"/>
      </w:pPr>
      <w:rPr>
        <w:rFonts w:hint="default"/>
        <w:b w:val="0"/>
        <w:i w:val="0"/>
        <w:u w:val="none"/>
      </w:rPr>
    </w:lvl>
    <w:lvl w:ilvl="1" w:tplc="96E683F8" w:tentative="1">
      <w:start w:val="1"/>
      <w:numFmt w:val="lowerLetter"/>
      <w:lvlText w:val="%2."/>
      <w:lvlJc w:val="left"/>
      <w:pPr>
        <w:tabs>
          <w:tab w:val="num" w:pos="1440"/>
        </w:tabs>
        <w:ind w:left="1440" w:hanging="360"/>
      </w:pPr>
    </w:lvl>
    <w:lvl w:ilvl="2" w:tplc="50040CB8" w:tentative="1">
      <w:start w:val="1"/>
      <w:numFmt w:val="lowerRoman"/>
      <w:lvlText w:val="%3."/>
      <w:lvlJc w:val="right"/>
      <w:pPr>
        <w:tabs>
          <w:tab w:val="num" w:pos="2160"/>
        </w:tabs>
        <w:ind w:left="2160" w:hanging="180"/>
      </w:pPr>
    </w:lvl>
    <w:lvl w:ilvl="3" w:tplc="4BC42B6C" w:tentative="1">
      <w:start w:val="1"/>
      <w:numFmt w:val="decimal"/>
      <w:lvlText w:val="%4."/>
      <w:lvlJc w:val="left"/>
      <w:pPr>
        <w:tabs>
          <w:tab w:val="num" w:pos="2880"/>
        </w:tabs>
        <w:ind w:left="2880" w:hanging="360"/>
      </w:pPr>
    </w:lvl>
    <w:lvl w:ilvl="4" w:tplc="38AEECFE" w:tentative="1">
      <w:start w:val="1"/>
      <w:numFmt w:val="lowerLetter"/>
      <w:lvlText w:val="%5."/>
      <w:lvlJc w:val="left"/>
      <w:pPr>
        <w:tabs>
          <w:tab w:val="num" w:pos="3600"/>
        </w:tabs>
        <w:ind w:left="3600" w:hanging="360"/>
      </w:pPr>
    </w:lvl>
    <w:lvl w:ilvl="5" w:tplc="4E743F8A" w:tentative="1">
      <w:start w:val="1"/>
      <w:numFmt w:val="lowerRoman"/>
      <w:lvlText w:val="%6."/>
      <w:lvlJc w:val="right"/>
      <w:pPr>
        <w:tabs>
          <w:tab w:val="num" w:pos="4320"/>
        </w:tabs>
        <w:ind w:left="4320" w:hanging="180"/>
      </w:pPr>
    </w:lvl>
    <w:lvl w:ilvl="6" w:tplc="172A0AF6" w:tentative="1">
      <w:start w:val="1"/>
      <w:numFmt w:val="decimal"/>
      <w:lvlText w:val="%7."/>
      <w:lvlJc w:val="left"/>
      <w:pPr>
        <w:tabs>
          <w:tab w:val="num" w:pos="5040"/>
        </w:tabs>
        <w:ind w:left="5040" w:hanging="360"/>
      </w:pPr>
    </w:lvl>
    <w:lvl w:ilvl="7" w:tplc="04989946" w:tentative="1">
      <w:start w:val="1"/>
      <w:numFmt w:val="lowerLetter"/>
      <w:lvlText w:val="%8."/>
      <w:lvlJc w:val="left"/>
      <w:pPr>
        <w:tabs>
          <w:tab w:val="num" w:pos="5760"/>
        </w:tabs>
        <w:ind w:left="5760" w:hanging="360"/>
      </w:pPr>
    </w:lvl>
    <w:lvl w:ilvl="8" w:tplc="7EE20C1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0B2B9C8">
      <w:start w:val="1"/>
      <w:numFmt w:val="lowerLetter"/>
      <w:lvlText w:val="%1."/>
      <w:lvlJc w:val="left"/>
      <w:pPr>
        <w:tabs>
          <w:tab w:val="num" w:pos="2160"/>
        </w:tabs>
        <w:ind w:left="2160" w:hanging="720"/>
      </w:pPr>
      <w:rPr>
        <w:rFonts w:hint="default"/>
      </w:rPr>
    </w:lvl>
    <w:lvl w:ilvl="1" w:tplc="DB526ED8" w:tentative="1">
      <w:start w:val="1"/>
      <w:numFmt w:val="lowerLetter"/>
      <w:lvlText w:val="%2."/>
      <w:lvlJc w:val="left"/>
      <w:pPr>
        <w:tabs>
          <w:tab w:val="num" w:pos="2520"/>
        </w:tabs>
        <w:ind w:left="2520" w:hanging="360"/>
      </w:pPr>
    </w:lvl>
    <w:lvl w:ilvl="2" w:tplc="B672CF42" w:tentative="1">
      <w:start w:val="1"/>
      <w:numFmt w:val="lowerRoman"/>
      <w:lvlText w:val="%3."/>
      <w:lvlJc w:val="right"/>
      <w:pPr>
        <w:tabs>
          <w:tab w:val="num" w:pos="3240"/>
        </w:tabs>
        <w:ind w:left="3240" w:hanging="180"/>
      </w:pPr>
    </w:lvl>
    <w:lvl w:ilvl="3" w:tplc="CA745C78" w:tentative="1">
      <w:start w:val="1"/>
      <w:numFmt w:val="decimal"/>
      <w:lvlText w:val="%4."/>
      <w:lvlJc w:val="left"/>
      <w:pPr>
        <w:tabs>
          <w:tab w:val="num" w:pos="3960"/>
        </w:tabs>
        <w:ind w:left="3960" w:hanging="360"/>
      </w:pPr>
    </w:lvl>
    <w:lvl w:ilvl="4" w:tplc="E13AF326" w:tentative="1">
      <w:start w:val="1"/>
      <w:numFmt w:val="lowerLetter"/>
      <w:lvlText w:val="%5."/>
      <w:lvlJc w:val="left"/>
      <w:pPr>
        <w:tabs>
          <w:tab w:val="num" w:pos="4680"/>
        </w:tabs>
        <w:ind w:left="4680" w:hanging="360"/>
      </w:pPr>
    </w:lvl>
    <w:lvl w:ilvl="5" w:tplc="9524FD88" w:tentative="1">
      <w:start w:val="1"/>
      <w:numFmt w:val="lowerRoman"/>
      <w:lvlText w:val="%6."/>
      <w:lvlJc w:val="right"/>
      <w:pPr>
        <w:tabs>
          <w:tab w:val="num" w:pos="5400"/>
        </w:tabs>
        <w:ind w:left="5400" w:hanging="180"/>
      </w:pPr>
    </w:lvl>
    <w:lvl w:ilvl="6" w:tplc="E1CCF63C" w:tentative="1">
      <w:start w:val="1"/>
      <w:numFmt w:val="decimal"/>
      <w:lvlText w:val="%7."/>
      <w:lvlJc w:val="left"/>
      <w:pPr>
        <w:tabs>
          <w:tab w:val="num" w:pos="6120"/>
        </w:tabs>
        <w:ind w:left="6120" w:hanging="360"/>
      </w:pPr>
    </w:lvl>
    <w:lvl w:ilvl="7" w:tplc="21D43D3E" w:tentative="1">
      <w:start w:val="1"/>
      <w:numFmt w:val="lowerLetter"/>
      <w:lvlText w:val="%8."/>
      <w:lvlJc w:val="left"/>
      <w:pPr>
        <w:tabs>
          <w:tab w:val="num" w:pos="6840"/>
        </w:tabs>
        <w:ind w:left="6840" w:hanging="360"/>
      </w:pPr>
    </w:lvl>
    <w:lvl w:ilvl="8" w:tplc="F9E4586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844323E">
      <w:start w:val="1"/>
      <w:numFmt w:val="bullet"/>
      <w:lvlText w:val=""/>
      <w:lvlJc w:val="left"/>
      <w:pPr>
        <w:tabs>
          <w:tab w:val="num" w:pos="5760"/>
        </w:tabs>
        <w:ind w:left="5760" w:hanging="360"/>
      </w:pPr>
      <w:rPr>
        <w:rFonts w:ascii="Symbol" w:hAnsi="Symbol" w:hint="default"/>
        <w:color w:val="auto"/>
        <w:u w:val="none"/>
      </w:rPr>
    </w:lvl>
    <w:lvl w:ilvl="1" w:tplc="F312964C" w:tentative="1">
      <w:start w:val="1"/>
      <w:numFmt w:val="bullet"/>
      <w:lvlText w:val="o"/>
      <w:lvlJc w:val="left"/>
      <w:pPr>
        <w:tabs>
          <w:tab w:val="num" w:pos="3600"/>
        </w:tabs>
        <w:ind w:left="3600" w:hanging="360"/>
      </w:pPr>
      <w:rPr>
        <w:rFonts w:ascii="Courier New" w:hAnsi="Courier New" w:hint="default"/>
      </w:rPr>
    </w:lvl>
    <w:lvl w:ilvl="2" w:tplc="6FDA683E" w:tentative="1">
      <w:start w:val="1"/>
      <w:numFmt w:val="bullet"/>
      <w:lvlText w:val=""/>
      <w:lvlJc w:val="left"/>
      <w:pPr>
        <w:tabs>
          <w:tab w:val="num" w:pos="4320"/>
        </w:tabs>
        <w:ind w:left="4320" w:hanging="360"/>
      </w:pPr>
      <w:rPr>
        <w:rFonts w:ascii="Wingdings" w:hAnsi="Wingdings" w:hint="default"/>
      </w:rPr>
    </w:lvl>
    <w:lvl w:ilvl="3" w:tplc="A9ACCDE4">
      <w:start w:val="1"/>
      <w:numFmt w:val="bullet"/>
      <w:lvlText w:val=""/>
      <w:lvlJc w:val="left"/>
      <w:pPr>
        <w:tabs>
          <w:tab w:val="num" w:pos="5040"/>
        </w:tabs>
        <w:ind w:left="5040" w:hanging="360"/>
      </w:pPr>
      <w:rPr>
        <w:rFonts w:ascii="Symbol" w:hAnsi="Symbol" w:hint="default"/>
      </w:rPr>
    </w:lvl>
    <w:lvl w:ilvl="4" w:tplc="2F48673C" w:tentative="1">
      <w:start w:val="1"/>
      <w:numFmt w:val="bullet"/>
      <w:lvlText w:val="o"/>
      <w:lvlJc w:val="left"/>
      <w:pPr>
        <w:tabs>
          <w:tab w:val="num" w:pos="5760"/>
        </w:tabs>
        <w:ind w:left="5760" w:hanging="360"/>
      </w:pPr>
      <w:rPr>
        <w:rFonts w:ascii="Courier New" w:hAnsi="Courier New" w:hint="default"/>
      </w:rPr>
    </w:lvl>
    <w:lvl w:ilvl="5" w:tplc="FCDC2576" w:tentative="1">
      <w:start w:val="1"/>
      <w:numFmt w:val="bullet"/>
      <w:lvlText w:val=""/>
      <w:lvlJc w:val="left"/>
      <w:pPr>
        <w:tabs>
          <w:tab w:val="num" w:pos="6480"/>
        </w:tabs>
        <w:ind w:left="6480" w:hanging="360"/>
      </w:pPr>
      <w:rPr>
        <w:rFonts w:ascii="Wingdings" w:hAnsi="Wingdings" w:hint="default"/>
      </w:rPr>
    </w:lvl>
    <w:lvl w:ilvl="6" w:tplc="74AC8CB6" w:tentative="1">
      <w:start w:val="1"/>
      <w:numFmt w:val="bullet"/>
      <w:lvlText w:val=""/>
      <w:lvlJc w:val="left"/>
      <w:pPr>
        <w:tabs>
          <w:tab w:val="num" w:pos="7200"/>
        </w:tabs>
        <w:ind w:left="7200" w:hanging="360"/>
      </w:pPr>
      <w:rPr>
        <w:rFonts w:ascii="Symbol" w:hAnsi="Symbol" w:hint="default"/>
      </w:rPr>
    </w:lvl>
    <w:lvl w:ilvl="7" w:tplc="CCBCE550" w:tentative="1">
      <w:start w:val="1"/>
      <w:numFmt w:val="bullet"/>
      <w:lvlText w:val="o"/>
      <w:lvlJc w:val="left"/>
      <w:pPr>
        <w:tabs>
          <w:tab w:val="num" w:pos="7920"/>
        </w:tabs>
        <w:ind w:left="7920" w:hanging="360"/>
      </w:pPr>
      <w:rPr>
        <w:rFonts w:ascii="Courier New" w:hAnsi="Courier New" w:hint="default"/>
      </w:rPr>
    </w:lvl>
    <w:lvl w:ilvl="8" w:tplc="B4FCB49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0FCFF18">
      <w:start w:val="1"/>
      <w:numFmt w:val="upperRoman"/>
      <w:lvlText w:val="%1."/>
      <w:lvlJc w:val="left"/>
      <w:pPr>
        <w:tabs>
          <w:tab w:val="num" w:pos="0"/>
        </w:tabs>
        <w:ind w:left="0" w:hanging="360"/>
      </w:pPr>
      <w:rPr>
        <w:rFonts w:hint="default"/>
      </w:rPr>
    </w:lvl>
    <w:lvl w:ilvl="1" w:tplc="CA9C6016" w:tentative="1">
      <w:start w:val="1"/>
      <w:numFmt w:val="lowerLetter"/>
      <w:lvlText w:val="%2."/>
      <w:lvlJc w:val="left"/>
      <w:pPr>
        <w:tabs>
          <w:tab w:val="num" w:pos="1440"/>
        </w:tabs>
        <w:ind w:left="1440" w:hanging="360"/>
      </w:pPr>
    </w:lvl>
    <w:lvl w:ilvl="2" w:tplc="9D52D32E" w:tentative="1">
      <w:start w:val="1"/>
      <w:numFmt w:val="lowerRoman"/>
      <w:lvlText w:val="%3."/>
      <w:lvlJc w:val="right"/>
      <w:pPr>
        <w:tabs>
          <w:tab w:val="num" w:pos="2160"/>
        </w:tabs>
        <w:ind w:left="2160" w:hanging="180"/>
      </w:pPr>
    </w:lvl>
    <w:lvl w:ilvl="3" w:tplc="12128B06" w:tentative="1">
      <w:start w:val="1"/>
      <w:numFmt w:val="decimal"/>
      <w:lvlText w:val="%4."/>
      <w:lvlJc w:val="left"/>
      <w:pPr>
        <w:tabs>
          <w:tab w:val="num" w:pos="2880"/>
        </w:tabs>
        <w:ind w:left="2880" w:hanging="360"/>
      </w:pPr>
    </w:lvl>
    <w:lvl w:ilvl="4" w:tplc="11600918" w:tentative="1">
      <w:start w:val="1"/>
      <w:numFmt w:val="lowerLetter"/>
      <w:lvlText w:val="%5."/>
      <w:lvlJc w:val="left"/>
      <w:pPr>
        <w:tabs>
          <w:tab w:val="num" w:pos="3600"/>
        </w:tabs>
        <w:ind w:left="3600" w:hanging="360"/>
      </w:pPr>
    </w:lvl>
    <w:lvl w:ilvl="5" w:tplc="2D5A3322" w:tentative="1">
      <w:start w:val="1"/>
      <w:numFmt w:val="lowerRoman"/>
      <w:lvlText w:val="%6."/>
      <w:lvlJc w:val="right"/>
      <w:pPr>
        <w:tabs>
          <w:tab w:val="num" w:pos="4320"/>
        </w:tabs>
        <w:ind w:left="4320" w:hanging="180"/>
      </w:pPr>
    </w:lvl>
    <w:lvl w:ilvl="6" w:tplc="EC7CD0A8" w:tentative="1">
      <w:start w:val="1"/>
      <w:numFmt w:val="decimal"/>
      <w:lvlText w:val="%7."/>
      <w:lvlJc w:val="left"/>
      <w:pPr>
        <w:tabs>
          <w:tab w:val="num" w:pos="5040"/>
        </w:tabs>
        <w:ind w:left="5040" w:hanging="360"/>
      </w:pPr>
    </w:lvl>
    <w:lvl w:ilvl="7" w:tplc="6DE0AA46" w:tentative="1">
      <w:start w:val="1"/>
      <w:numFmt w:val="lowerLetter"/>
      <w:lvlText w:val="%8."/>
      <w:lvlJc w:val="left"/>
      <w:pPr>
        <w:tabs>
          <w:tab w:val="num" w:pos="5760"/>
        </w:tabs>
        <w:ind w:left="5760" w:hanging="360"/>
      </w:pPr>
    </w:lvl>
    <w:lvl w:ilvl="8" w:tplc="DC58D26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8FE6049C">
      <w:start w:val="1"/>
      <w:numFmt w:val="bullet"/>
      <w:lvlText w:val=""/>
      <w:lvlJc w:val="left"/>
      <w:pPr>
        <w:tabs>
          <w:tab w:val="num" w:pos="720"/>
        </w:tabs>
        <w:ind w:left="720" w:hanging="360"/>
      </w:pPr>
      <w:rPr>
        <w:rFonts w:ascii="Symbol" w:hAnsi="Symbol" w:hint="default"/>
      </w:rPr>
    </w:lvl>
    <w:lvl w:ilvl="1" w:tplc="3D2E7B08" w:tentative="1">
      <w:start w:val="1"/>
      <w:numFmt w:val="bullet"/>
      <w:lvlText w:val="o"/>
      <w:lvlJc w:val="left"/>
      <w:pPr>
        <w:tabs>
          <w:tab w:val="num" w:pos="1440"/>
        </w:tabs>
        <w:ind w:left="1440" w:hanging="360"/>
      </w:pPr>
      <w:rPr>
        <w:rFonts w:ascii="Courier New" w:hAnsi="Courier New" w:hint="default"/>
      </w:rPr>
    </w:lvl>
    <w:lvl w:ilvl="2" w:tplc="64A21F22" w:tentative="1">
      <w:start w:val="1"/>
      <w:numFmt w:val="bullet"/>
      <w:lvlText w:val=""/>
      <w:lvlJc w:val="left"/>
      <w:pPr>
        <w:tabs>
          <w:tab w:val="num" w:pos="2160"/>
        </w:tabs>
        <w:ind w:left="2160" w:hanging="360"/>
      </w:pPr>
      <w:rPr>
        <w:rFonts w:ascii="Wingdings" w:hAnsi="Wingdings" w:hint="default"/>
      </w:rPr>
    </w:lvl>
    <w:lvl w:ilvl="3" w:tplc="B172ED82" w:tentative="1">
      <w:start w:val="1"/>
      <w:numFmt w:val="bullet"/>
      <w:lvlText w:val=""/>
      <w:lvlJc w:val="left"/>
      <w:pPr>
        <w:tabs>
          <w:tab w:val="num" w:pos="2880"/>
        </w:tabs>
        <w:ind w:left="2880" w:hanging="360"/>
      </w:pPr>
      <w:rPr>
        <w:rFonts w:ascii="Symbol" w:hAnsi="Symbol" w:hint="default"/>
      </w:rPr>
    </w:lvl>
    <w:lvl w:ilvl="4" w:tplc="46FEEA7C" w:tentative="1">
      <w:start w:val="1"/>
      <w:numFmt w:val="bullet"/>
      <w:lvlText w:val="o"/>
      <w:lvlJc w:val="left"/>
      <w:pPr>
        <w:tabs>
          <w:tab w:val="num" w:pos="3600"/>
        </w:tabs>
        <w:ind w:left="3600" w:hanging="360"/>
      </w:pPr>
      <w:rPr>
        <w:rFonts w:ascii="Courier New" w:hAnsi="Courier New" w:hint="default"/>
      </w:rPr>
    </w:lvl>
    <w:lvl w:ilvl="5" w:tplc="31F2752E" w:tentative="1">
      <w:start w:val="1"/>
      <w:numFmt w:val="bullet"/>
      <w:lvlText w:val=""/>
      <w:lvlJc w:val="left"/>
      <w:pPr>
        <w:tabs>
          <w:tab w:val="num" w:pos="4320"/>
        </w:tabs>
        <w:ind w:left="4320" w:hanging="360"/>
      </w:pPr>
      <w:rPr>
        <w:rFonts w:ascii="Wingdings" w:hAnsi="Wingdings" w:hint="default"/>
      </w:rPr>
    </w:lvl>
    <w:lvl w:ilvl="6" w:tplc="E17E2C40" w:tentative="1">
      <w:start w:val="1"/>
      <w:numFmt w:val="bullet"/>
      <w:lvlText w:val=""/>
      <w:lvlJc w:val="left"/>
      <w:pPr>
        <w:tabs>
          <w:tab w:val="num" w:pos="5040"/>
        </w:tabs>
        <w:ind w:left="5040" w:hanging="360"/>
      </w:pPr>
      <w:rPr>
        <w:rFonts w:ascii="Symbol" w:hAnsi="Symbol" w:hint="default"/>
      </w:rPr>
    </w:lvl>
    <w:lvl w:ilvl="7" w:tplc="1F463B78" w:tentative="1">
      <w:start w:val="1"/>
      <w:numFmt w:val="bullet"/>
      <w:lvlText w:val="o"/>
      <w:lvlJc w:val="left"/>
      <w:pPr>
        <w:tabs>
          <w:tab w:val="num" w:pos="5760"/>
        </w:tabs>
        <w:ind w:left="5760" w:hanging="360"/>
      </w:pPr>
      <w:rPr>
        <w:rFonts w:ascii="Courier New" w:hAnsi="Courier New" w:hint="default"/>
      </w:rPr>
    </w:lvl>
    <w:lvl w:ilvl="8" w:tplc="DF4261F2"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AFF82C7A">
      <w:start w:val="6"/>
      <w:numFmt w:val="lowerRoman"/>
      <w:lvlText w:val="(%1)"/>
      <w:lvlJc w:val="left"/>
      <w:pPr>
        <w:tabs>
          <w:tab w:val="num" w:pos="1440"/>
        </w:tabs>
        <w:ind w:left="1440" w:hanging="720"/>
      </w:pPr>
      <w:rPr>
        <w:rFonts w:hint="default"/>
        <w:u w:val="double"/>
      </w:rPr>
    </w:lvl>
    <w:lvl w:ilvl="1" w:tplc="D220C01E" w:tentative="1">
      <w:start w:val="1"/>
      <w:numFmt w:val="lowerLetter"/>
      <w:lvlText w:val="%2."/>
      <w:lvlJc w:val="left"/>
      <w:pPr>
        <w:tabs>
          <w:tab w:val="num" w:pos="1800"/>
        </w:tabs>
        <w:ind w:left="1800" w:hanging="360"/>
      </w:pPr>
    </w:lvl>
    <w:lvl w:ilvl="2" w:tplc="BF7EFC0C" w:tentative="1">
      <w:start w:val="1"/>
      <w:numFmt w:val="lowerRoman"/>
      <w:lvlText w:val="%3."/>
      <w:lvlJc w:val="right"/>
      <w:pPr>
        <w:tabs>
          <w:tab w:val="num" w:pos="2520"/>
        </w:tabs>
        <w:ind w:left="2520" w:hanging="180"/>
      </w:pPr>
    </w:lvl>
    <w:lvl w:ilvl="3" w:tplc="E2348DDE" w:tentative="1">
      <w:start w:val="1"/>
      <w:numFmt w:val="decimal"/>
      <w:lvlText w:val="%4."/>
      <w:lvlJc w:val="left"/>
      <w:pPr>
        <w:tabs>
          <w:tab w:val="num" w:pos="3240"/>
        </w:tabs>
        <w:ind w:left="3240" w:hanging="360"/>
      </w:pPr>
    </w:lvl>
    <w:lvl w:ilvl="4" w:tplc="E0A25544" w:tentative="1">
      <w:start w:val="1"/>
      <w:numFmt w:val="lowerLetter"/>
      <w:lvlText w:val="%5."/>
      <w:lvlJc w:val="left"/>
      <w:pPr>
        <w:tabs>
          <w:tab w:val="num" w:pos="3960"/>
        </w:tabs>
        <w:ind w:left="3960" w:hanging="360"/>
      </w:pPr>
    </w:lvl>
    <w:lvl w:ilvl="5" w:tplc="7302B830" w:tentative="1">
      <w:start w:val="1"/>
      <w:numFmt w:val="lowerRoman"/>
      <w:lvlText w:val="%6."/>
      <w:lvlJc w:val="right"/>
      <w:pPr>
        <w:tabs>
          <w:tab w:val="num" w:pos="4680"/>
        </w:tabs>
        <w:ind w:left="4680" w:hanging="180"/>
      </w:pPr>
    </w:lvl>
    <w:lvl w:ilvl="6" w:tplc="A91AF008" w:tentative="1">
      <w:start w:val="1"/>
      <w:numFmt w:val="decimal"/>
      <w:lvlText w:val="%7."/>
      <w:lvlJc w:val="left"/>
      <w:pPr>
        <w:tabs>
          <w:tab w:val="num" w:pos="5400"/>
        </w:tabs>
        <w:ind w:left="5400" w:hanging="360"/>
      </w:pPr>
    </w:lvl>
    <w:lvl w:ilvl="7" w:tplc="F5882E5A" w:tentative="1">
      <w:start w:val="1"/>
      <w:numFmt w:val="lowerLetter"/>
      <w:lvlText w:val="%8."/>
      <w:lvlJc w:val="left"/>
      <w:pPr>
        <w:tabs>
          <w:tab w:val="num" w:pos="6120"/>
        </w:tabs>
        <w:ind w:left="6120" w:hanging="360"/>
      </w:pPr>
    </w:lvl>
    <w:lvl w:ilvl="8" w:tplc="A49EAB7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EB"/>
    <w:rsid w:val="009E66E7"/>
    <w:rsid w:val="00C8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purl.org/dc/elements/1.1/"/>
    <ds:schemaRef ds:uri="d2a2a88e-ed6e-437f-8263-76e618aa10b0"/>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E17230BE-169C-47C9-B93D-427B6EE2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16680</Words>
  <Characters>95076</Characters>
  <Application>Microsoft Office Word</Application>
  <DocSecurity>4</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2021-03-15T15:26:00Z</dcterms:created>
  <dcterms:modified xsi:type="dcterms:W3CDTF">2021-03-15T15:26:00Z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