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6F" w:rsidRDefault="00FA599F">
      <w:pPr>
        <w:pStyle w:val="Heading2"/>
      </w:pPr>
      <w:bookmarkStart w:id="0" w:name="_Toc261446136"/>
      <w:bookmarkStart w:id="1" w:name="_GoBack"/>
      <w:bookmarkEnd w:id="1"/>
      <w:r>
        <w:t>5.11</w:t>
      </w:r>
      <w:r>
        <w:tab/>
        <w:t>Requirements Applicable to LSEs</w:t>
      </w:r>
      <w:bookmarkEnd w:id="0"/>
    </w:p>
    <w:p w:rsidR="0081266F" w:rsidRDefault="00FA599F">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FA599F">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FA599F">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FA599F">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FA599F">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FA599F">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FA599F">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FA599F">
      <w:pPr>
        <w:pStyle w:val="Heading3"/>
      </w:pPr>
      <w:bookmarkStart w:id="3" w:name="_Toc261446138"/>
      <w:r>
        <w:t>5.11.2</w:t>
      </w:r>
      <w:r>
        <w:tab/>
        <w:t>LSE Obligations</w:t>
      </w:r>
      <w:bookmarkEnd w:id="3"/>
    </w:p>
    <w:p w:rsidR="0081266F" w:rsidRDefault="00FA599F">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FA599F">
      <w:pPr>
        <w:pStyle w:val="Bodypara"/>
      </w:pPr>
      <w:r>
        <w:t>All LSEs shall participate in the ICAP Spot Market Auction pursuant to Section 5.14.1 of this Tariff.</w:t>
      </w:r>
    </w:p>
    <w:p w:rsidR="0081266F" w:rsidRDefault="00FA599F">
      <w:pPr>
        <w:pStyle w:val="Heading3"/>
      </w:pPr>
      <w:bookmarkStart w:id="4" w:name="_Toc261446139"/>
      <w:r>
        <w:t>5.11.3</w:t>
      </w:r>
      <w:r>
        <w:tab/>
        <w:t>Load</w:t>
      </w:r>
      <w:r>
        <w:noBreakHyphen/>
      </w:r>
      <w:r>
        <w:t>Shifting Adjustments</w:t>
      </w:r>
      <w:bookmarkEnd w:id="4"/>
    </w:p>
    <w:p w:rsidR="0081266F" w:rsidRDefault="00FA599F">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FA599F">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FA599F">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FA599F">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FA599F">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FA599F">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FA599F">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((A) with or without the UDRs if there is a capability year adjustment election by a rights holder and (B) without the Locality Exchan</w:t>
      </w:r>
      <w:r>
        <w:t>ge MW)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FA599F">
      <w:pPr>
        <w:pStyle w:val="Bodypara"/>
      </w:pPr>
      <w:r>
        <w:t>The foregoing calculation shall be determined using the Resources in the given Locality in the most recent final version of the ISO’s annual Load and Capacity Data Report, with</w:t>
      </w:r>
      <w:r>
        <w:t xml:space="preserve"> the addition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w:t>
      </w:r>
      <w:r>
        <w:rPr>
          <w:color w:val="000000"/>
        </w:rPr>
        <w:t xml:space="preserve">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5.9.2.2.1 of this Ser</w:t>
      </w:r>
      <w:r>
        <w:t xml:space="preserve">vices Tariff.  </w:t>
      </w:r>
      <w:r>
        <w:rPr>
          <w:b/>
        </w:rPr>
        <w:t xml:space="preserve"> </w:t>
      </w:r>
      <w:r w:rsidRPr="0055692D">
        <w:t xml:space="preserve">  </w:t>
      </w:r>
    </w:p>
    <w:p w:rsidR="0081266F" w:rsidRDefault="00FA599F">
      <w:pPr>
        <w:pStyle w:val="Bodypara"/>
      </w:pPr>
      <w:r>
        <w:t>Under the provisions of this Services Tariff and the ISO Procedures, each LSE will be obligated to procure its LSE Unforced Capacity Obligation.  The LSE Unforced Capacity Obligation will be determined for each Obligation Procurement Per</w:t>
      </w:r>
      <w:r>
        <w:t>iod by the ICAP Spot Market Auction, in accordance with the ISO Procedures.</w:t>
      </w:r>
    </w:p>
    <w:p w:rsidR="0081266F" w:rsidRDefault="00FA599F">
      <w:pPr>
        <w:pStyle w:val="Bodypara"/>
      </w:pPr>
      <w:r>
        <w:t xml:space="preserve">Qualified Resources will have the opportunity to supply amounts of Unforced Capacity to meet the LSE Unforced Capacity Obligation as established by the ICAP Spot Market Auction.  </w:t>
      </w:r>
    </w:p>
    <w:p w:rsidR="0081266F" w:rsidRDefault="00FA599F">
      <w:pPr>
        <w:pStyle w:val="Bodypara"/>
      </w:pPr>
      <w:r>
        <w:t xml:space="preserve">To be counted towards the locational component of the LSE Unforced Capacity Obligation, Unforced Capacity owned by the holder of UDRs or contractually combined with UDRs must be deliverable to the NYCA interface with the UDR transmission facility pursuant </w:t>
      </w:r>
      <w:r>
        <w:t>to NYISO requirements and consistent with the election of the holder of the rights to the UDRs set forth in this Section.</w:t>
      </w:r>
    </w:p>
    <w:p w:rsidR="0081266F" w:rsidRDefault="00FA599F">
      <w:pPr>
        <w:pStyle w:val="Bodypara"/>
      </w:pPr>
      <w:r>
        <w:t>In addition, any Customer that purchases Unforced Capacity associated with any generation that is subject to capacity market mitigatio</w:t>
      </w:r>
      <w:r>
        <w:t>n measures in an ISO</w:t>
      </w:r>
      <w:r>
        <w:noBreakHyphen/>
        <w:t>administered auction may not resell that Unforced Capacity in a subsequent auction at a price greater than the annual mitigated price cap, as applied in accordance with the ISO Procedures in accordance with Sections 5.13.2, 5.13.3, and</w:t>
      </w:r>
      <w:r>
        <w:t xml:space="preserve"> 5.14.1 of this Tariff.  The ISO shall inform Customers that purchase Unforced Capacity in an ISO</w:t>
      </w:r>
      <w:r>
        <w:noBreakHyphen/>
        <w:t>administered auction of the amount of Unforced Capacity they have purchased that is subject to capacity market mitigation measures.</w:t>
      </w:r>
    </w:p>
    <w:p w:rsidR="0081266F" w:rsidRDefault="00FA599F">
      <w:pPr>
        <w:pStyle w:val="Bodypara"/>
      </w:pPr>
      <w:r>
        <w:t>The ISO shall have the rig</w:t>
      </w:r>
      <w:r>
        <w:t>ht to audit all executed Installed Capacity contracts and related documentation of arrangements by an LSE to use its own generation to meet its Locational Minimum Installed Capacity Requirement for an upcoming Obligation Procurement Period.</w:t>
      </w:r>
    </w:p>
    <w:p w:rsidR="008D4EFB" w:rsidRDefault="00FA599F">
      <w:pPr>
        <w:pStyle w:val="Heading4"/>
      </w:pPr>
      <w:r w:rsidRPr="006F3394">
        <w:t>5.11.4.1</w:t>
      </w:r>
      <w:r w:rsidRPr="006F3394">
        <w:tab/>
        <w:t>Determ</w:t>
      </w:r>
      <w:r w:rsidRPr="006F3394">
        <w:t>ination of Locality Exchange Factor:</w:t>
      </w:r>
    </w:p>
    <w:p w:rsidR="008D4EFB" w:rsidRDefault="00FA599F">
      <w:pPr>
        <w:pStyle w:val="Bodypara"/>
      </w:pPr>
      <w:r>
        <w:t>N</w:t>
      </w:r>
      <w:r w:rsidRPr="006F3394">
        <w:t>o later than January 31 each year, the ISO shall determine the Locality Exchange Factor for each Import Constrained Locality relative to each neighboring Control Area.</w:t>
      </w:r>
    </w:p>
    <w:p w:rsidR="008D4EFB" w:rsidRDefault="00FA599F">
      <w:pPr>
        <w:pStyle w:val="Bodypara"/>
      </w:pPr>
      <w:r>
        <w:t xml:space="preserve">The ISO shall make each such determination by performing a power flow based analysis according to applicable transmission system planning practices for the determination of interface transfer limits used for the resource adequacy topology.  Base case data </w:t>
      </w:r>
      <w:r>
        <w:t>from the most recent reliability planning process will be incorporated.  The Locality Exchange Factor is the ratio of the shift factor on the applicable NYCA interface of a transfer from the Import Constrained Locality to the respective neighboring Control</w:t>
      </w:r>
      <w:r>
        <w:t xml:space="preserve"> Area, to the shift factor of a transfer from Rest of State to the Import Constrained Locality, calculated in accordance with ISO Procedures.  Only the AC circuits comprising the respective neighboring Control Area’s interface with the NYCA will participat</w:t>
      </w:r>
      <w:r>
        <w:t xml:space="preserve">e in the shift.  The ISO shall post its Locality Exchange Factors on its website prior to the opening of the </w:t>
      </w:r>
      <w:r w:rsidRPr="00C52349">
        <w:t>Summer</w:t>
      </w:r>
      <w:r>
        <w:t xml:space="preserve"> Capability Period Auction, and notify the New York State Reliability Council.</w:t>
      </w:r>
    </w:p>
    <w:p w:rsidR="00D230D6" w:rsidRPr="006F3394" w:rsidRDefault="00FA599F" w:rsidP="00D230D6">
      <w:pPr>
        <w:pStyle w:val="Bodypara10"/>
      </w:pPr>
      <w:r w:rsidRPr="006F3394">
        <w:t xml:space="preserve">  </w:t>
      </w:r>
    </w:p>
    <w:p w:rsidR="00D230D6" w:rsidRDefault="00FA599F">
      <w:pPr>
        <w:pStyle w:val="Bodypara"/>
      </w:pPr>
    </w:p>
    <w:p w:rsidR="0081266F" w:rsidRDefault="00FA599F">
      <w:pPr>
        <w:pStyle w:val="Bodypara"/>
      </w:pPr>
    </w:p>
    <w:sectPr w:rsidR="0081266F" w:rsidSect="008126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99F">
      <w:r>
        <w:separator/>
      </w:r>
    </w:p>
  </w:endnote>
  <w:endnote w:type="continuationSeparator" w:id="0">
    <w:p w:rsidR="00000000" w:rsidRDefault="00FA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E" w:rsidRDefault="00FA599F">
    <w:pPr>
      <w:jc w:val="right"/>
      <w:rPr>
        <w:rFonts w:ascii="Arial" w:eastAsia="Arial" w:hAnsi="Arial" w:cs="Arial"/>
        <w:color w:val="000000"/>
        <w:sz w:val="16"/>
      </w:rPr>
    </w:pPr>
    <w:r>
      <w:rPr>
        <w:rFonts w:ascii="Arial" w:eastAsia="Arial" w:hAnsi="Arial" w:cs="Arial"/>
        <w:color w:val="000000"/>
        <w:sz w:val="16"/>
      </w:rPr>
      <w:t xml:space="preserve">Effective Date: 1/29/2017 - Docket #: ER17-446-002 -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E" w:rsidRDefault="00FA599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1/29/2017 - Docket #: ER17-446-002 -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E" w:rsidRDefault="00FA599F">
    <w:pPr>
      <w:jc w:val="right"/>
      <w:rPr>
        <w:rFonts w:ascii="Arial" w:eastAsia="Arial" w:hAnsi="Arial" w:cs="Arial"/>
        <w:color w:val="000000"/>
        <w:sz w:val="16"/>
      </w:rPr>
    </w:pPr>
    <w:r>
      <w:rPr>
        <w:rFonts w:ascii="Arial" w:eastAsia="Arial" w:hAnsi="Arial" w:cs="Arial"/>
        <w:color w:val="000000"/>
        <w:sz w:val="16"/>
      </w:rPr>
      <w:t>Effective Date: 1/29/2017</w:t>
    </w:r>
    <w:r>
      <w:rPr>
        <w:rFonts w:ascii="Arial" w:eastAsia="Arial" w:hAnsi="Arial" w:cs="Arial"/>
        <w:color w:val="000000"/>
        <w:sz w:val="16"/>
      </w:rPr>
      <w:t xml:space="preserve"> - Docket #: ER17-446-002 -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99F">
      <w:r>
        <w:separator/>
      </w:r>
    </w:p>
  </w:footnote>
  <w:footnote w:type="continuationSeparator" w:id="0">
    <w:p w:rsidR="00000000" w:rsidRDefault="00FA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E" w:rsidRDefault="00FA59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E" w:rsidRDefault="00FA599F">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EE" w:rsidRDefault="00FA59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D9A1B5C">
      <w:start w:val="1"/>
      <w:numFmt w:val="bullet"/>
      <w:pStyle w:val="Bulletpara"/>
      <w:lvlText w:val=""/>
      <w:lvlJc w:val="left"/>
      <w:pPr>
        <w:tabs>
          <w:tab w:val="num" w:pos="720"/>
        </w:tabs>
        <w:ind w:left="720" w:hanging="360"/>
      </w:pPr>
      <w:rPr>
        <w:rFonts w:ascii="Symbol" w:hAnsi="Symbol" w:hint="default"/>
      </w:rPr>
    </w:lvl>
    <w:lvl w:ilvl="1" w:tplc="FEF244E8" w:tentative="1">
      <w:start w:val="1"/>
      <w:numFmt w:val="bullet"/>
      <w:lvlText w:val="o"/>
      <w:lvlJc w:val="left"/>
      <w:pPr>
        <w:tabs>
          <w:tab w:val="num" w:pos="1440"/>
        </w:tabs>
        <w:ind w:left="1440" w:hanging="360"/>
      </w:pPr>
      <w:rPr>
        <w:rFonts w:ascii="Courier New" w:hAnsi="Courier New" w:hint="default"/>
      </w:rPr>
    </w:lvl>
    <w:lvl w:ilvl="2" w:tplc="CD6886DE" w:tentative="1">
      <w:start w:val="1"/>
      <w:numFmt w:val="bullet"/>
      <w:lvlText w:val=""/>
      <w:lvlJc w:val="left"/>
      <w:pPr>
        <w:tabs>
          <w:tab w:val="num" w:pos="2160"/>
        </w:tabs>
        <w:ind w:left="2160" w:hanging="360"/>
      </w:pPr>
      <w:rPr>
        <w:rFonts w:ascii="Wingdings" w:hAnsi="Wingdings" w:hint="default"/>
      </w:rPr>
    </w:lvl>
    <w:lvl w:ilvl="3" w:tplc="84E27446" w:tentative="1">
      <w:start w:val="1"/>
      <w:numFmt w:val="bullet"/>
      <w:lvlText w:val=""/>
      <w:lvlJc w:val="left"/>
      <w:pPr>
        <w:tabs>
          <w:tab w:val="num" w:pos="2880"/>
        </w:tabs>
        <w:ind w:left="2880" w:hanging="360"/>
      </w:pPr>
      <w:rPr>
        <w:rFonts w:ascii="Symbol" w:hAnsi="Symbol" w:hint="default"/>
      </w:rPr>
    </w:lvl>
    <w:lvl w:ilvl="4" w:tplc="38E0743A" w:tentative="1">
      <w:start w:val="1"/>
      <w:numFmt w:val="bullet"/>
      <w:lvlText w:val="o"/>
      <w:lvlJc w:val="left"/>
      <w:pPr>
        <w:tabs>
          <w:tab w:val="num" w:pos="3600"/>
        </w:tabs>
        <w:ind w:left="3600" w:hanging="360"/>
      </w:pPr>
      <w:rPr>
        <w:rFonts w:ascii="Courier New" w:hAnsi="Courier New" w:hint="default"/>
      </w:rPr>
    </w:lvl>
    <w:lvl w:ilvl="5" w:tplc="6F42B148" w:tentative="1">
      <w:start w:val="1"/>
      <w:numFmt w:val="bullet"/>
      <w:lvlText w:val=""/>
      <w:lvlJc w:val="left"/>
      <w:pPr>
        <w:tabs>
          <w:tab w:val="num" w:pos="4320"/>
        </w:tabs>
        <w:ind w:left="4320" w:hanging="360"/>
      </w:pPr>
      <w:rPr>
        <w:rFonts w:ascii="Wingdings" w:hAnsi="Wingdings" w:hint="default"/>
      </w:rPr>
    </w:lvl>
    <w:lvl w:ilvl="6" w:tplc="C8329858" w:tentative="1">
      <w:start w:val="1"/>
      <w:numFmt w:val="bullet"/>
      <w:lvlText w:val=""/>
      <w:lvlJc w:val="left"/>
      <w:pPr>
        <w:tabs>
          <w:tab w:val="num" w:pos="5040"/>
        </w:tabs>
        <w:ind w:left="5040" w:hanging="360"/>
      </w:pPr>
      <w:rPr>
        <w:rFonts w:ascii="Symbol" w:hAnsi="Symbol" w:hint="default"/>
      </w:rPr>
    </w:lvl>
    <w:lvl w:ilvl="7" w:tplc="EAB4ACFE" w:tentative="1">
      <w:start w:val="1"/>
      <w:numFmt w:val="bullet"/>
      <w:lvlText w:val="o"/>
      <w:lvlJc w:val="left"/>
      <w:pPr>
        <w:tabs>
          <w:tab w:val="num" w:pos="5760"/>
        </w:tabs>
        <w:ind w:left="5760" w:hanging="360"/>
      </w:pPr>
      <w:rPr>
        <w:rFonts w:ascii="Courier New" w:hAnsi="Courier New" w:hint="default"/>
      </w:rPr>
    </w:lvl>
    <w:lvl w:ilvl="8" w:tplc="25D8162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F60EE"/>
    <w:rsid w:val="006F60EE"/>
    <w:rsid w:val="00FA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2772</Words>
  <Characters>15807</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2018-09-24T13:21:00Z</dcterms:created>
  <dcterms:modified xsi:type="dcterms:W3CDTF">2018-09-24T13:21:00Z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