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AE" w:rsidRPr="004D2FD5" w:rsidRDefault="004E69F4" w:rsidP="00927BFF">
      <w:pPr>
        <w:pStyle w:val="Heading2"/>
      </w:pPr>
      <w:bookmarkStart w:id="0" w:name="_Toc261344293"/>
      <w:bookmarkStart w:id="1" w:name="_GoBack"/>
      <w:bookmarkEnd w:id="1"/>
      <w:r>
        <w:t>30.10</w:t>
      </w:r>
      <w:r w:rsidRPr="004D2FD5">
        <w:tab/>
        <w:t>Reports</w:t>
      </w:r>
      <w:bookmarkEnd w:id="0"/>
    </w:p>
    <w:p w:rsidR="008573AE" w:rsidRPr="004D2FD5" w:rsidRDefault="004E69F4" w:rsidP="00927BFF">
      <w:pPr>
        <w:pStyle w:val="Heading3"/>
      </w:pPr>
      <w:bookmarkStart w:id="2" w:name="_Toc261344294"/>
      <w:r>
        <w:t>30.</w:t>
      </w:r>
      <w:r w:rsidRPr="004D2FD5">
        <w:t>10.1</w:t>
      </w:r>
      <w:r w:rsidRPr="004D2FD5">
        <w:tab/>
        <w:t>Annual Report</w:t>
      </w:r>
      <w:r w:rsidRPr="00097133">
        <w:t>s</w:t>
      </w:r>
      <w:bookmarkEnd w:id="2"/>
    </w:p>
    <w:p w:rsidR="008573AE" w:rsidRPr="00EC0E3D" w:rsidRDefault="004E69F4" w:rsidP="00927BFF">
      <w:pPr>
        <w:pStyle w:val="Bodypara"/>
        <w:rPr>
          <w:u w:val="double"/>
        </w:rPr>
      </w:pPr>
      <w:r w:rsidRPr="004D2FD5">
        <w:t>The Market Monitoring Unit shall prepare and submit to the Board an annual report on the competitive structure of, market trends in, and performance of, other competitive conditions</w:t>
      </w:r>
      <w:r>
        <w:t xml:space="preserve"> in or affecting, and the economic efficiency of, the New York Electric Markets.  Such report shall include recommendations for the improvement of the New York Electric Markets or of the </w:t>
      </w:r>
      <w:r w:rsidRPr="004D2FD5">
        <w:t xml:space="preserve">monitoring, reporting and other functions undertaken pursuant to </w:t>
      </w:r>
      <w:r>
        <w:t>Atta</w:t>
      </w:r>
      <w:r>
        <w:t>chment O</w:t>
      </w:r>
      <w:r w:rsidRPr="004D2FD5">
        <w:t xml:space="preserve"> and the Market Mitigation Measures.  A copy of the report shall be forwarded by the Board to each of the Interested Government Agencies, with such comments or other remarks as the Board shall deem appropriate.  Copies of the report shall be made p</w:t>
      </w:r>
      <w:r w:rsidRPr="004D2FD5">
        <w:t>ublicly available by the Board by posting them on the ISO’s web site, subject to redaction or other measures necessary for the protection of</w:t>
      </w:r>
      <w:r>
        <w:t xml:space="preserve"> Protected Information.</w:t>
      </w:r>
    </w:p>
    <w:p w:rsidR="008573AE" w:rsidRPr="004D2FD5" w:rsidRDefault="004E69F4" w:rsidP="00927BFF">
      <w:pPr>
        <w:pStyle w:val="Heading3"/>
      </w:pPr>
      <w:bookmarkStart w:id="3" w:name="_Toc261344295"/>
      <w:r>
        <w:t>30.</w:t>
      </w:r>
      <w:r w:rsidRPr="004D2FD5">
        <w:t>10.2</w:t>
      </w:r>
      <w:r w:rsidRPr="004D2FD5">
        <w:tab/>
        <w:t>Quarterly Reports</w:t>
      </w:r>
      <w:bookmarkEnd w:id="3"/>
    </w:p>
    <w:p w:rsidR="008573AE" w:rsidRPr="004D2FD5" w:rsidRDefault="004E69F4" w:rsidP="00927BFF">
      <w:pPr>
        <w:pStyle w:val="Bodypara"/>
      </w:pPr>
      <w:r w:rsidRPr="004D2FD5">
        <w:t>In addition to the annual report, the Market Monitoring Unit shall</w:t>
      </w:r>
      <w:r w:rsidRPr="004D2FD5">
        <w:t xml:space="preserve"> issue three quarterly reports that are less extensive than the annual report.  Each quarterly report shall provide timely updates to the annual report, emphasizing issues of concern to the Market Monitoring Unit.  Quarterly reports shall be distributed in</w:t>
      </w:r>
      <w:r w:rsidRPr="004D2FD5">
        <w:t xml:space="preserve"> the same manner as the annual report.</w:t>
      </w:r>
    </w:p>
    <w:p w:rsidR="008573AE" w:rsidRPr="00E3226D" w:rsidRDefault="004E69F4" w:rsidP="00927BFF">
      <w:pPr>
        <w:pStyle w:val="Heading3"/>
      </w:pPr>
      <w:bookmarkStart w:id="4" w:name="_Toc261344296"/>
      <w:r>
        <w:t>30.</w:t>
      </w:r>
      <w:r w:rsidRPr="00E3226D">
        <w:t>10.3</w:t>
      </w:r>
      <w:r w:rsidRPr="00E3226D">
        <w:tab/>
        <w:t>Report on Virtual</w:t>
      </w:r>
      <w:r w:rsidRPr="00F34D60">
        <w:t xml:space="preserve"> Bid and Offer </w:t>
      </w:r>
      <w:r w:rsidRPr="00E3226D">
        <w:t>Market Design and Rules</w:t>
      </w:r>
      <w:bookmarkEnd w:id="4"/>
    </w:p>
    <w:p w:rsidR="008573AE" w:rsidRDefault="004E69F4" w:rsidP="00927BFF">
      <w:pPr>
        <w:pStyle w:val="Bodypara"/>
      </w:pPr>
      <w:r>
        <w:t>The Market Monitoring Unit shall monitor and assess the impact of virtual bids and offers on the competitive structure and performance of, and the econom</w:t>
      </w:r>
      <w:r>
        <w:t xml:space="preserve">ic efficiency of, the ISO Administered Markets.  Such monitoring and assessment shall include the effects, if any, of virtual bids and offers on any automated mitigation procedures, or any mitigation measures </w:t>
      </w:r>
      <w:r>
        <w:lastRenderedPageBreak/>
        <w:t xml:space="preserve">specified in </w:t>
      </w:r>
      <w:r w:rsidRPr="00A11BAF">
        <w:t xml:space="preserve">Section </w:t>
      </w:r>
      <w:r>
        <w:t>23.</w:t>
      </w:r>
      <w:r w:rsidRPr="00A11BAF">
        <w:t>5 of the Market Mitigat</w:t>
      </w:r>
      <w:r w:rsidRPr="00A11BAF">
        <w:t>ion Measures.</w:t>
      </w:r>
      <w:r>
        <w:t xml:space="preserve">  An assessment of the market impacts of virtual bids and offers shall be included in the annual report required by Section 30.10.1, above, and in a quarterly report when the Market Monitoring Unit deems appropriate. </w:t>
      </w:r>
    </w:p>
    <w:p w:rsidR="00893952" w:rsidRDefault="004E69F4" w:rsidP="00893952">
      <w:pPr>
        <w:pStyle w:val="Heading3"/>
      </w:pPr>
      <w:r>
        <w:t>30.</w:t>
      </w:r>
      <w:r w:rsidRPr="00B62149">
        <w:t>10.4</w:t>
      </w:r>
      <w:r w:rsidRPr="00B62149">
        <w:tab/>
      </w:r>
      <w:r>
        <w:t xml:space="preserve">Reports on Offer </w:t>
      </w:r>
      <w:r>
        <w:t>Floor or Exemption Determinations</w:t>
      </w:r>
    </w:p>
    <w:p w:rsidR="00893952" w:rsidRDefault="004E69F4" w:rsidP="00893952">
      <w:pPr>
        <w:pStyle w:val="Bodypara"/>
        <w:ind w:firstLine="0"/>
      </w:pPr>
      <w:r>
        <w:t xml:space="preserve">The Market Monitoring Unit shall prepare a written report </w:t>
      </w:r>
      <w:r>
        <w:t xml:space="preserve">as described in Section 30.4.6.2.12 </w:t>
      </w:r>
      <w:r>
        <w:t>confirming whether the ISO’s determinations and calculations conducted pursuant to Section 23.4.5.7 were conducted in accordance</w:t>
      </w:r>
      <w:r>
        <w:t xml:space="preserve"> with the terms of the Services Tariff, and if not, identifying the flaws inherent in the ISO’s approach.  The Market Monitoring Unit’s report shall be presented concurrently with the ISO’s posting of the exempt/non-exempt determinations.</w:t>
      </w:r>
    </w:p>
    <w:p w:rsidR="00F82D17" w:rsidRDefault="004E69F4" w:rsidP="00BB5B18">
      <w:pPr>
        <w:pStyle w:val="Heading3"/>
      </w:pPr>
      <w:bookmarkStart w:id="5" w:name="_Toc261344297"/>
      <w:r>
        <w:t>30.</w:t>
      </w:r>
      <w:r>
        <w:t>10.5</w:t>
      </w:r>
      <w:r w:rsidRPr="00B62149">
        <w:tab/>
      </w:r>
      <w:r>
        <w:t xml:space="preserve"> Conferen</w:t>
      </w:r>
      <w:r>
        <w:t>ce Calls</w:t>
      </w:r>
      <w:bookmarkEnd w:id="5"/>
    </w:p>
    <w:p w:rsidR="008573AE" w:rsidRPr="00862751" w:rsidRDefault="004E69F4" w:rsidP="00927BFF">
      <w:pPr>
        <w:pStyle w:val="Bodypara"/>
      </w:pPr>
      <w:r w:rsidRPr="00862751">
        <w:t>The Market Monitoring Unit shall participate in regular conference calls for the presentation of market data and analyses of the type regularly gathered and prepared by the Market Monitoring Unit under Attachment O, subject to limitations on disse</w:t>
      </w:r>
      <w:r w:rsidRPr="00862751">
        <w:t xml:space="preserve">mination of Protected Information.  Market Participants, staff of the Commission and the New York Public Service Commission, and representatives of the ISO may attend such conference calls.  </w:t>
      </w:r>
    </w:p>
    <w:p w:rsidR="008573AE" w:rsidRDefault="004E69F4" w:rsidP="00927BFF">
      <w:pPr>
        <w:pStyle w:val="Heading3"/>
      </w:pPr>
      <w:bookmarkStart w:id="6" w:name="_Toc261344298"/>
      <w:r>
        <w:t>30.10.6</w:t>
      </w:r>
      <w:r>
        <w:tab/>
        <w:t>Other Reports or Filings</w:t>
      </w:r>
      <w:bookmarkEnd w:id="6"/>
      <w:r>
        <w:t xml:space="preserve"> </w:t>
      </w:r>
    </w:p>
    <w:p w:rsidR="008573AE" w:rsidRDefault="004E69F4" w:rsidP="00927BFF">
      <w:pPr>
        <w:pStyle w:val="Bodypara"/>
      </w:pPr>
      <w:r>
        <w:t>The Market Monitoring Unit, wi</w:t>
      </w:r>
      <w:r>
        <w:t>th the assistance of the MMA, where appropriate, shall prepare such other periodic or other reports on any matters within their purview as the Market Monitoring Unit determines are necessary, or as may be requested by the Board, the CEO or the CEO’s design</w:t>
      </w:r>
      <w:r>
        <w:t>ee, the COO, or any of the Interested Government Agencies.  Unless the Board or the Interested Government Agency requesting such report specifies to the contrary, copies of such reports shall be made publicly available by the Board, subject to redaction or</w:t>
      </w:r>
      <w:r>
        <w:t xml:space="preserve"> other </w:t>
      </w:r>
      <w:r>
        <w:lastRenderedPageBreak/>
        <w:t xml:space="preserve">measures necessary for the protection of Protected Information.  All reasonable fees and expenses for the </w:t>
      </w:r>
      <w:r w:rsidRPr="004D2FD5">
        <w:t>preparation of reports or other filings relating to the New York Electric Markets that are requested by an Interested Government Agency from th</w:t>
      </w:r>
      <w:r w:rsidRPr="004D2FD5">
        <w:t>e Market Monitoring Unit, or that are requested by an Interested Government Agency from a former Market Monitoring Unit with respect to conditions or conduct occurring in or relating to the period during which the person, persons or entity receiving the re</w:t>
      </w:r>
      <w:r w:rsidRPr="004D2FD5">
        <w:t xml:space="preserve">quest served as the Market Monitoring Unit, shall be borne by the </w:t>
      </w:r>
      <w:r>
        <w:t>I</w:t>
      </w:r>
      <w:r w:rsidRPr="004D2FD5">
        <w:t>SO.</w:t>
      </w:r>
    </w:p>
    <w:sectPr w:rsidR="008573AE" w:rsidSect="00927BF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69F4">
      <w:r>
        <w:separator/>
      </w:r>
    </w:p>
  </w:endnote>
  <w:endnote w:type="continuationSeparator" w:id="0">
    <w:p w:rsidR="00000000" w:rsidRDefault="004E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26" w:rsidRDefault="004E69F4">
    <w:pPr>
      <w:jc w:val="right"/>
    </w:pPr>
    <w:r>
      <w:rPr>
        <w:rFonts w:ascii="Arial" w:eastAsia="Arial" w:hAnsi="Arial" w:cs="Arial"/>
        <w:color w:val="000000"/>
        <w:sz w:val="16"/>
      </w:rPr>
      <w:t xml:space="preserve">Effective Date: 2/26/2015 - Docket #: ER12-2414-004 -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26" w:rsidRDefault="004E69F4">
    <w:pPr>
      <w:jc w:val="right"/>
    </w:pPr>
    <w:r>
      <w:rPr>
        <w:rFonts w:ascii="Arial" w:eastAsia="Arial" w:hAnsi="Arial" w:cs="Arial"/>
        <w:color w:val="000000"/>
        <w:sz w:val="16"/>
      </w:rPr>
      <w:t xml:space="preserve">Effective Date: 2/26/2015 - Docket #: ER12-2414-004 -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26" w:rsidRDefault="004E69F4">
    <w:pPr>
      <w:jc w:val="right"/>
    </w:pPr>
    <w:r>
      <w:rPr>
        <w:rFonts w:ascii="Arial" w:eastAsia="Arial" w:hAnsi="Arial" w:cs="Arial"/>
        <w:color w:val="000000"/>
        <w:sz w:val="16"/>
      </w:rPr>
      <w:t xml:space="preserve">Effective Date: 2/26/2015 - Docket #: ER12-2414-004 -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69F4">
      <w:r>
        <w:separator/>
      </w:r>
    </w:p>
  </w:footnote>
  <w:footnote w:type="continuationSeparator" w:id="0">
    <w:p w:rsidR="00000000" w:rsidRDefault="004E6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26" w:rsidRDefault="004E69F4">
    <w:r>
      <w:rPr>
        <w:rFonts w:ascii="Arial" w:eastAsia="Arial" w:hAnsi="Arial" w:cs="Arial"/>
        <w:color w:val="000000"/>
        <w:sz w:val="16"/>
      </w:rPr>
      <w:t>NYISO Tariffs --&gt; Market Administration and Control Area Services Tariff (MST) --&gt; 30 MST Attachment O - Market Mon</w:t>
    </w:r>
    <w:r>
      <w:rPr>
        <w:rFonts w:ascii="Arial" w:eastAsia="Arial" w:hAnsi="Arial" w:cs="Arial"/>
        <w:color w:val="000000"/>
        <w:sz w:val="16"/>
      </w:rPr>
      <w:t>itoring Plan --&gt; 30.10 MST Att O Reports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26" w:rsidRDefault="004E69F4">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26" w:rsidRDefault="004E69F4">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0848AE0">
      <w:start w:val="1"/>
      <w:numFmt w:val="bullet"/>
      <w:pStyle w:val="Bulletpara"/>
      <w:lvlText w:val=""/>
      <w:lvlJc w:val="left"/>
      <w:pPr>
        <w:tabs>
          <w:tab w:val="num" w:pos="720"/>
        </w:tabs>
        <w:ind w:left="720" w:hanging="360"/>
      </w:pPr>
      <w:rPr>
        <w:rFonts w:ascii="Symbol" w:hAnsi="Symbol" w:hint="default"/>
      </w:rPr>
    </w:lvl>
    <w:lvl w:ilvl="1" w:tplc="2C786E4A" w:tentative="1">
      <w:start w:val="1"/>
      <w:numFmt w:val="bullet"/>
      <w:lvlText w:val="o"/>
      <w:lvlJc w:val="left"/>
      <w:pPr>
        <w:tabs>
          <w:tab w:val="num" w:pos="1440"/>
        </w:tabs>
        <w:ind w:left="1440" w:hanging="360"/>
      </w:pPr>
      <w:rPr>
        <w:rFonts w:ascii="Courier New" w:hAnsi="Courier New" w:hint="default"/>
      </w:rPr>
    </w:lvl>
    <w:lvl w:ilvl="2" w:tplc="8FB0E7A0" w:tentative="1">
      <w:start w:val="1"/>
      <w:numFmt w:val="bullet"/>
      <w:lvlText w:val=""/>
      <w:lvlJc w:val="left"/>
      <w:pPr>
        <w:tabs>
          <w:tab w:val="num" w:pos="2160"/>
        </w:tabs>
        <w:ind w:left="2160" w:hanging="360"/>
      </w:pPr>
      <w:rPr>
        <w:rFonts w:ascii="Wingdings" w:hAnsi="Wingdings" w:hint="default"/>
      </w:rPr>
    </w:lvl>
    <w:lvl w:ilvl="3" w:tplc="9ACE3FE8" w:tentative="1">
      <w:start w:val="1"/>
      <w:numFmt w:val="bullet"/>
      <w:lvlText w:val=""/>
      <w:lvlJc w:val="left"/>
      <w:pPr>
        <w:tabs>
          <w:tab w:val="num" w:pos="2880"/>
        </w:tabs>
        <w:ind w:left="2880" w:hanging="360"/>
      </w:pPr>
      <w:rPr>
        <w:rFonts w:ascii="Symbol" w:hAnsi="Symbol" w:hint="default"/>
      </w:rPr>
    </w:lvl>
    <w:lvl w:ilvl="4" w:tplc="09BAA048" w:tentative="1">
      <w:start w:val="1"/>
      <w:numFmt w:val="bullet"/>
      <w:lvlText w:val="o"/>
      <w:lvlJc w:val="left"/>
      <w:pPr>
        <w:tabs>
          <w:tab w:val="num" w:pos="3600"/>
        </w:tabs>
        <w:ind w:left="3600" w:hanging="360"/>
      </w:pPr>
      <w:rPr>
        <w:rFonts w:ascii="Courier New" w:hAnsi="Courier New" w:hint="default"/>
      </w:rPr>
    </w:lvl>
    <w:lvl w:ilvl="5" w:tplc="7A349D7E" w:tentative="1">
      <w:start w:val="1"/>
      <w:numFmt w:val="bullet"/>
      <w:lvlText w:val=""/>
      <w:lvlJc w:val="left"/>
      <w:pPr>
        <w:tabs>
          <w:tab w:val="num" w:pos="4320"/>
        </w:tabs>
        <w:ind w:left="4320" w:hanging="360"/>
      </w:pPr>
      <w:rPr>
        <w:rFonts w:ascii="Wingdings" w:hAnsi="Wingdings" w:hint="default"/>
      </w:rPr>
    </w:lvl>
    <w:lvl w:ilvl="6" w:tplc="7B3AF536" w:tentative="1">
      <w:start w:val="1"/>
      <w:numFmt w:val="bullet"/>
      <w:lvlText w:val=""/>
      <w:lvlJc w:val="left"/>
      <w:pPr>
        <w:tabs>
          <w:tab w:val="num" w:pos="5040"/>
        </w:tabs>
        <w:ind w:left="5040" w:hanging="360"/>
      </w:pPr>
      <w:rPr>
        <w:rFonts w:ascii="Symbol" w:hAnsi="Symbol" w:hint="default"/>
      </w:rPr>
    </w:lvl>
    <w:lvl w:ilvl="7" w:tplc="D234B814" w:tentative="1">
      <w:start w:val="1"/>
      <w:numFmt w:val="bullet"/>
      <w:lvlText w:val="o"/>
      <w:lvlJc w:val="left"/>
      <w:pPr>
        <w:tabs>
          <w:tab w:val="num" w:pos="5760"/>
        </w:tabs>
        <w:ind w:left="5760" w:hanging="360"/>
      </w:pPr>
      <w:rPr>
        <w:rFonts w:ascii="Courier New" w:hAnsi="Courier New" w:hint="default"/>
      </w:rPr>
    </w:lvl>
    <w:lvl w:ilvl="8" w:tplc="4974786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0590B1A2">
      <w:start w:val="1"/>
      <w:numFmt w:val="lowerRoman"/>
      <w:lvlText w:val="(%1)"/>
      <w:lvlJc w:val="left"/>
      <w:pPr>
        <w:tabs>
          <w:tab w:val="num" w:pos="2448"/>
        </w:tabs>
        <w:ind w:left="2448" w:hanging="648"/>
      </w:pPr>
      <w:rPr>
        <w:rFonts w:cs="Times New Roman" w:hint="default"/>
        <w:b w:val="0"/>
        <w:i w:val="0"/>
        <w:u w:val="none"/>
      </w:rPr>
    </w:lvl>
    <w:lvl w:ilvl="1" w:tplc="3D8A493A" w:tentative="1">
      <w:start w:val="1"/>
      <w:numFmt w:val="lowerLetter"/>
      <w:lvlText w:val="%2."/>
      <w:lvlJc w:val="left"/>
      <w:pPr>
        <w:tabs>
          <w:tab w:val="num" w:pos="1440"/>
        </w:tabs>
        <w:ind w:left="1440" w:hanging="360"/>
      </w:pPr>
      <w:rPr>
        <w:rFonts w:cs="Times New Roman"/>
      </w:rPr>
    </w:lvl>
    <w:lvl w:ilvl="2" w:tplc="89200D30" w:tentative="1">
      <w:start w:val="1"/>
      <w:numFmt w:val="lowerRoman"/>
      <w:lvlText w:val="%3."/>
      <w:lvlJc w:val="right"/>
      <w:pPr>
        <w:tabs>
          <w:tab w:val="num" w:pos="2160"/>
        </w:tabs>
        <w:ind w:left="2160" w:hanging="180"/>
      </w:pPr>
      <w:rPr>
        <w:rFonts w:cs="Times New Roman"/>
      </w:rPr>
    </w:lvl>
    <w:lvl w:ilvl="3" w:tplc="46103B2A" w:tentative="1">
      <w:start w:val="1"/>
      <w:numFmt w:val="decimal"/>
      <w:lvlText w:val="%4."/>
      <w:lvlJc w:val="left"/>
      <w:pPr>
        <w:tabs>
          <w:tab w:val="num" w:pos="2880"/>
        </w:tabs>
        <w:ind w:left="2880" w:hanging="360"/>
      </w:pPr>
      <w:rPr>
        <w:rFonts w:cs="Times New Roman"/>
      </w:rPr>
    </w:lvl>
    <w:lvl w:ilvl="4" w:tplc="075494BA" w:tentative="1">
      <w:start w:val="1"/>
      <w:numFmt w:val="lowerLetter"/>
      <w:lvlText w:val="%5."/>
      <w:lvlJc w:val="left"/>
      <w:pPr>
        <w:tabs>
          <w:tab w:val="num" w:pos="3600"/>
        </w:tabs>
        <w:ind w:left="3600" w:hanging="360"/>
      </w:pPr>
      <w:rPr>
        <w:rFonts w:cs="Times New Roman"/>
      </w:rPr>
    </w:lvl>
    <w:lvl w:ilvl="5" w:tplc="3E50F1D0" w:tentative="1">
      <w:start w:val="1"/>
      <w:numFmt w:val="lowerRoman"/>
      <w:lvlText w:val="%6."/>
      <w:lvlJc w:val="right"/>
      <w:pPr>
        <w:tabs>
          <w:tab w:val="num" w:pos="4320"/>
        </w:tabs>
        <w:ind w:left="4320" w:hanging="180"/>
      </w:pPr>
      <w:rPr>
        <w:rFonts w:cs="Times New Roman"/>
      </w:rPr>
    </w:lvl>
    <w:lvl w:ilvl="6" w:tplc="53AEBED0" w:tentative="1">
      <w:start w:val="1"/>
      <w:numFmt w:val="decimal"/>
      <w:lvlText w:val="%7."/>
      <w:lvlJc w:val="left"/>
      <w:pPr>
        <w:tabs>
          <w:tab w:val="num" w:pos="5040"/>
        </w:tabs>
        <w:ind w:left="5040" w:hanging="360"/>
      </w:pPr>
      <w:rPr>
        <w:rFonts w:cs="Times New Roman"/>
      </w:rPr>
    </w:lvl>
    <w:lvl w:ilvl="7" w:tplc="EC34230C" w:tentative="1">
      <w:start w:val="1"/>
      <w:numFmt w:val="lowerLetter"/>
      <w:lvlText w:val="%8."/>
      <w:lvlJc w:val="left"/>
      <w:pPr>
        <w:tabs>
          <w:tab w:val="num" w:pos="5760"/>
        </w:tabs>
        <w:ind w:left="5760" w:hanging="360"/>
      </w:pPr>
      <w:rPr>
        <w:rFonts w:cs="Times New Roman"/>
      </w:rPr>
    </w:lvl>
    <w:lvl w:ilvl="8" w:tplc="00ECC03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13D2B352">
      <w:start w:val="1"/>
      <w:numFmt w:val="decimal"/>
      <w:lvlText w:val="%1."/>
      <w:lvlJc w:val="left"/>
      <w:pPr>
        <w:tabs>
          <w:tab w:val="num" w:pos="720"/>
        </w:tabs>
        <w:ind w:left="720" w:hanging="360"/>
      </w:pPr>
      <w:rPr>
        <w:rFonts w:cs="Times New Roman"/>
      </w:rPr>
    </w:lvl>
    <w:lvl w:ilvl="1" w:tplc="FF1C6AD0" w:tentative="1">
      <w:start w:val="1"/>
      <w:numFmt w:val="lowerLetter"/>
      <w:lvlText w:val="%2."/>
      <w:lvlJc w:val="left"/>
      <w:pPr>
        <w:tabs>
          <w:tab w:val="num" w:pos="1440"/>
        </w:tabs>
        <w:ind w:left="1440" w:hanging="360"/>
      </w:pPr>
      <w:rPr>
        <w:rFonts w:cs="Times New Roman"/>
      </w:rPr>
    </w:lvl>
    <w:lvl w:ilvl="2" w:tplc="11846554" w:tentative="1">
      <w:start w:val="1"/>
      <w:numFmt w:val="lowerRoman"/>
      <w:lvlText w:val="%3."/>
      <w:lvlJc w:val="right"/>
      <w:pPr>
        <w:tabs>
          <w:tab w:val="num" w:pos="2160"/>
        </w:tabs>
        <w:ind w:left="2160" w:hanging="180"/>
      </w:pPr>
      <w:rPr>
        <w:rFonts w:cs="Times New Roman"/>
      </w:rPr>
    </w:lvl>
    <w:lvl w:ilvl="3" w:tplc="C56070E6" w:tentative="1">
      <w:start w:val="1"/>
      <w:numFmt w:val="decimal"/>
      <w:lvlText w:val="%4."/>
      <w:lvlJc w:val="left"/>
      <w:pPr>
        <w:tabs>
          <w:tab w:val="num" w:pos="2880"/>
        </w:tabs>
        <w:ind w:left="2880" w:hanging="360"/>
      </w:pPr>
      <w:rPr>
        <w:rFonts w:cs="Times New Roman"/>
      </w:rPr>
    </w:lvl>
    <w:lvl w:ilvl="4" w:tplc="AA669B5E" w:tentative="1">
      <w:start w:val="1"/>
      <w:numFmt w:val="lowerLetter"/>
      <w:lvlText w:val="%5."/>
      <w:lvlJc w:val="left"/>
      <w:pPr>
        <w:tabs>
          <w:tab w:val="num" w:pos="3600"/>
        </w:tabs>
        <w:ind w:left="3600" w:hanging="360"/>
      </w:pPr>
      <w:rPr>
        <w:rFonts w:cs="Times New Roman"/>
      </w:rPr>
    </w:lvl>
    <w:lvl w:ilvl="5" w:tplc="F20C49DA" w:tentative="1">
      <w:start w:val="1"/>
      <w:numFmt w:val="lowerRoman"/>
      <w:lvlText w:val="%6."/>
      <w:lvlJc w:val="right"/>
      <w:pPr>
        <w:tabs>
          <w:tab w:val="num" w:pos="4320"/>
        </w:tabs>
        <w:ind w:left="4320" w:hanging="180"/>
      </w:pPr>
      <w:rPr>
        <w:rFonts w:cs="Times New Roman"/>
      </w:rPr>
    </w:lvl>
    <w:lvl w:ilvl="6" w:tplc="8920F912" w:tentative="1">
      <w:start w:val="1"/>
      <w:numFmt w:val="decimal"/>
      <w:lvlText w:val="%7."/>
      <w:lvlJc w:val="left"/>
      <w:pPr>
        <w:tabs>
          <w:tab w:val="num" w:pos="5040"/>
        </w:tabs>
        <w:ind w:left="5040" w:hanging="360"/>
      </w:pPr>
      <w:rPr>
        <w:rFonts w:cs="Times New Roman"/>
      </w:rPr>
    </w:lvl>
    <w:lvl w:ilvl="7" w:tplc="D0303888" w:tentative="1">
      <w:start w:val="1"/>
      <w:numFmt w:val="lowerLetter"/>
      <w:lvlText w:val="%8."/>
      <w:lvlJc w:val="left"/>
      <w:pPr>
        <w:tabs>
          <w:tab w:val="num" w:pos="5760"/>
        </w:tabs>
        <w:ind w:left="5760" w:hanging="360"/>
      </w:pPr>
      <w:rPr>
        <w:rFonts w:cs="Times New Roman"/>
      </w:rPr>
    </w:lvl>
    <w:lvl w:ilvl="8" w:tplc="3150194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FE23C5A">
      <w:start w:val="1"/>
      <w:numFmt w:val="bullet"/>
      <w:lvlText w:val=""/>
      <w:lvlJc w:val="left"/>
      <w:pPr>
        <w:tabs>
          <w:tab w:val="num" w:pos="5760"/>
        </w:tabs>
        <w:ind w:left="5760" w:hanging="360"/>
      </w:pPr>
      <w:rPr>
        <w:rFonts w:ascii="Symbol" w:hAnsi="Symbol" w:hint="default"/>
        <w:color w:val="auto"/>
        <w:u w:val="none"/>
      </w:rPr>
    </w:lvl>
    <w:lvl w:ilvl="1" w:tplc="96361476" w:tentative="1">
      <w:start w:val="1"/>
      <w:numFmt w:val="bullet"/>
      <w:lvlText w:val="o"/>
      <w:lvlJc w:val="left"/>
      <w:pPr>
        <w:tabs>
          <w:tab w:val="num" w:pos="3600"/>
        </w:tabs>
        <w:ind w:left="3600" w:hanging="360"/>
      </w:pPr>
      <w:rPr>
        <w:rFonts w:ascii="Courier New" w:hAnsi="Courier New" w:hint="default"/>
      </w:rPr>
    </w:lvl>
    <w:lvl w:ilvl="2" w:tplc="5C4079EE" w:tentative="1">
      <w:start w:val="1"/>
      <w:numFmt w:val="bullet"/>
      <w:lvlText w:val=""/>
      <w:lvlJc w:val="left"/>
      <w:pPr>
        <w:tabs>
          <w:tab w:val="num" w:pos="4320"/>
        </w:tabs>
        <w:ind w:left="4320" w:hanging="360"/>
      </w:pPr>
      <w:rPr>
        <w:rFonts w:ascii="Wingdings" w:hAnsi="Wingdings" w:hint="default"/>
      </w:rPr>
    </w:lvl>
    <w:lvl w:ilvl="3" w:tplc="20803C34">
      <w:start w:val="1"/>
      <w:numFmt w:val="bullet"/>
      <w:lvlText w:val=""/>
      <w:lvlJc w:val="left"/>
      <w:pPr>
        <w:tabs>
          <w:tab w:val="num" w:pos="5040"/>
        </w:tabs>
        <w:ind w:left="5040" w:hanging="360"/>
      </w:pPr>
      <w:rPr>
        <w:rFonts w:ascii="Symbol" w:hAnsi="Symbol" w:hint="default"/>
      </w:rPr>
    </w:lvl>
    <w:lvl w:ilvl="4" w:tplc="FC2A6EA2" w:tentative="1">
      <w:start w:val="1"/>
      <w:numFmt w:val="bullet"/>
      <w:lvlText w:val="o"/>
      <w:lvlJc w:val="left"/>
      <w:pPr>
        <w:tabs>
          <w:tab w:val="num" w:pos="5760"/>
        </w:tabs>
        <w:ind w:left="5760" w:hanging="360"/>
      </w:pPr>
      <w:rPr>
        <w:rFonts w:ascii="Courier New" w:hAnsi="Courier New" w:hint="default"/>
      </w:rPr>
    </w:lvl>
    <w:lvl w:ilvl="5" w:tplc="A21E069C" w:tentative="1">
      <w:start w:val="1"/>
      <w:numFmt w:val="bullet"/>
      <w:lvlText w:val=""/>
      <w:lvlJc w:val="left"/>
      <w:pPr>
        <w:tabs>
          <w:tab w:val="num" w:pos="6480"/>
        </w:tabs>
        <w:ind w:left="6480" w:hanging="360"/>
      </w:pPr>
      <w:rPr>
        <w:rFonts w:ascii="Wingdings" w:hAnsi="Wingdings" w:hint="default"/>
      </w:rPr>
    </w:lvl>
    <w:lvl w:ilvl="6" w:tplc="F1E80C6C" w:tentative="1">
      <w:start w:val="1"/>
      <w:numFmt w:val="bullet"/>
      <w:lvlText w:val=""/>
      <w:lvlJc w:val="left"/>
      <w:pPr>
        <w:tabs>
          <w:tab w:val="num" w:pos="7200"/>
        </w:tabs>
        <w:ind w:left="7200" w:hanging="360"/>
      </w:pPr>
      <w:rPr>
        <w:rFonts w:ascii="Symbol" w:hAnsi="Symbol" w:hint="default"/>
      </w:rPr>
    </w:lvl>
    <w:lvl w:ilvl="7" w:tplc="FE54711A" w:tentative="1">
      <w:start w:val="1"/>
      <w:numFmt w:val="bullet"/>
      <w:lvlText w:val="o"/>
      <w:lvlJc w:val="left"/>
      <w:pPr>
        <w:tabs>
          <w:tab w:val="num" w:pos="7920"/>
        </w:tabs>
        <w:ind w:left="7920" w:hanging="360"/>
      </w:pPr>
      <w:rPr>
        <w:rFonts w:ascii="Courier New" w:hAnsi="Courier New" w:hint="default"/>
      </w:rPr>
    </w:lvl>
    <w:lvl w:ilvl="8" w:tplc="8026946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BA84DA08">
      <w:start w:val="1"/>
      <w:numFmt w:val="decimal"/>
      <w:lvlText w:val="(%1)"/>
      <w:lvlJc w:val="left"/>
      <w:pPr>
        <w:tabs>
          <w:tab w:val="num" w:pos="2520"/>
        </w:tabs>
        <w:ind w:left="2520" w:hanging="720"/>
      </w:pPr>
      <w:rPr>
        <w:rFonts w:cs="Times New Roman" w:hint="default"/>
      </w:rPr>
    </w:lvl>
    <w:lvl w:ilvl="1" w:tplc="141244CA">
      <w:start w:val="1"/>
      <w:numFmt w:val="lowerRoman"/>
      <w:lvlText w:val="(%2)"/>
      <w:lvlJc w:val="left"/>
      <w:pPr>
        <w:tabs>
          <w:tab w:val="num" w:pos="1800"/>
        </w:tabs>
        <w:ind w:left="1800" w:hanging="720"/>
      </w:pPr>
      <w:rPr>
        <w:rFonts w:cs="Times New Roman" w:hint="default"/>
        <w:b w:val="0"/>
      </w:rPr>
    </w:lvl>
    <w:lvl w:ilvl="2" w:tplc="7FC2CBE4">
      <w:start w:val="1"/>
      <w:numFmt w:val="decimal"/>
      <w:lvlText w:val="(%3)"/>
      <w:lvlJc w:val="right"/>
      <w:pPr>
        <w:tabs>
          <w:tab w:val="num" w:pos="2160"/>
        </w:tabs>
        <w:ind w:left="2160" w:hanging="180"/>
      </w:pPr>
      <w:rPr>
        <w:rFonts w:ascii="Times New Roman" w:eastAsia="Times New Roman" w:hAnsi="Times New Roman" w:cs="Times New Roman"/>
        <w:b w:val="0"/>
      </w:rPr>
    </w:lvl>
    <w:lvl w:ilvl="3" w:tplc="6A4A24E4">
      <w:start w:val="1"/>
      <w:numFmt w:val="lowerRoman"/>
      <w:lvlText w:val="(%4)"/>
      <w:lvlJc w:val="left"/>
      <w:pPr>
        <w:tabs>
          <w:tab w:val="num" w:pos="2520"/>
        </w:tabs>
        <w:ind w:left="2880" w:hanging="360"/>
      </w:pPr>
      <w:rPr>
        <w:rFonts w:cs="Times New Roman" w:hint="default"/>
        <w:b w:val="0"/>
      </w:rPr>
    </w:lvl>
    <w:lvl w:ilvl="4" w:tplc="9DBC9D4A" w:tentative="1">
      <w:start w:val="1"/>
      <w:numFmt w:val="lowerLetter"/>
      <w:lvlText w:val="%5."/>
      <w:lvlJc w:val="left"/>
      <w:pPr>
        <w:tabs>
          <w:tab w:val="num" w:pos="3600"/>
        </w:tabs>
        <w:ind w:left="3600" w:hanging="360"/>
      </w:pPr>
      <w:rPr>
        <w:rFonts w:cs="Times New Roman"/>
      </w:rPr>
    </w:lvl>
    <w:lvl w:ilvl="5" w:tplc="B54228D4" w:tentative="1">
      <w:start w:val="1"/>
      <w:numFmt w:val="lowerRoman"/>
      <w:lvlText w:val="%6."/>
      <w:lvlJc w:val="right"/>
      <w:pPr>
        <w:tabs>
          <w:tab w:val="num" w:pos="4320"/>
        </w:tabs>
        <w:ind w:left="4320" w:hanging="180"/>
      </w:pPr>
      <w:rPr>
        <w:rFonts w:cs="Times New Roman"/>
      </w:rPr>
    </w:lvl>
    <w:lvl w:ilvl="6" w:tplc="BACEE0D4" w:tentative="1">
      <w:start w:val="1"/>
      <w:numFmt w:val="decimal"/>
      <w:lvlText w:val="%7."/>
      <w:lvlJc w:val="left"/>
      <w:pPr>
        <w:tabs>
          <w:tab w:val="num" w:pos="5040"/>
        </w:tabs>
        <w:ind w:left="5040" w:hanging="360"/>
      </w:pPr>
      <w:rPr>
        <w:rFonts w:cs="Times New Roman"/>
      </w:rPr>
    </w:lvl>
    <w:lvl w:ilvl="7" w:tplc="D152E5FA" w:tentative="1">
      <w:start w:val="1"/>
      <w:numFmt w:val="lowerLetter"/>
      <w:lvlText w:val="%8."/>
      <w:lvlJc w:val="left"/>
      <w:pPr>
        <w:tabs>
          <w:tab w:val="num" w:pos="5760"/>
        </w:tabs>
        <w:ind w:left="5760" w:hanging="360"/>
      </w:pPr>
      <w:rPr>
        <w:rFonts w:cs="Times New Roman"/>
      </w:rPr>
    </w:lvl>
    <w:lvl w:ilvl="8" w:tplc="4D8688E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2D26"/>
    <w:rsid w:val="003D2D26"/>
    <w:rsid w:val="004E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4E5F"/>
    <w:rPr>
      <w:sz w:val="24"/>
      <w:szCs w:val="24"/>
    </w:rPr>
  </w:style>
  <w:style w:type="paragraph" w:styleId="Heading1">
    <w:name w:val="heading 1"/>
    <w:basedOn w:val="Normal"/>
    <w:next w:val="Normal"/>
    <w:link w:val="Heading1Char"/>
    <w:uiPriority w:val="99"/>
    <w:qFormat/>
    <w:rsid w:val="00DF605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F605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F605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F605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F605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F605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F6057"/>
    <w:pPr>
      <w:keepNext/>
      <w:spacing w:line="480" w:lineRule="auto"/>
      <w:ind w:left="720" w:right="630"/>
      <w:outlineLvl w:val="6"/>
    </w:pPr>
    <w:rPr>
      <w:b/>
    </w:rPr>
  </w:style>
  <w:style w:type="paragraph" w:styleId="Heading8">
    <w:name w:val="heading 8"/>
    <w:basedOn w:val="Normal"/>
    <w:next w:val="Normal"/>
    <w:link w:val="Heading8Char"/>
    <w:uiPriority w:val="99"/>
    <w:qFormat/>
    <w:rsid w:val="00DF6057"/>
    <w:pPr>
      <w:keepNext/>
      <w:spacing w:line="480" w:lineRule="auto"/>
      <w:ind w:left="720" w:right="-90"/>
      <w:outlineLvl w:val="7"/>
    </w:pPr>
    <w:rPr>
      <w:b/>
    </w:rPr>
  </w:style>
  <w:style w:type="paragraph" w:styleId="Heading9">
    <w:name w:val="heading 9"/>
    <w:basedOn w:val="Normal"/>
    <w:next w:val="Normal"/>
    <w:link w:val="Heading9Char"/>
    <w:uiPriority w:val="99"/>
    <w:qFormat/>
    <w:rsid w:val="00DF60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E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1E3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F6057"/>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E81E3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81E3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81E30"/>
    <w:rPr>
      <w:rFonts w:ascii="Calibri" w:hAnsi="Calibri" w:cs="Times New Roman"/>
      <w:b/>
      <w:bCs/>
    </w:rPr>
  </w:style>
  <w:style w:type="character" w:customStyle="1" w:styleId="Heading7Char">
    <w:name w:val="Heading 7 Char"/>
    <w:basedOn w:val="DefaultParagraphFont"/>
    <w:link w:val="Heading7"/>
    <w:uiPriority w:val="99"/>
    <w:semiHidden/>
    <w:locked/>
    <w:rsid w:val="00E81E3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81E3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81E30"/>
    <w:rPr>
      <w:rFonts w:ascii="Cambria" w:hAnsi="Cambria" w:cs="Times New Roman"/>
    </w:rPr>
  </w:style>
  <w:style w:type="paragraph" w:styleId="Footer">
    <w:name w:val="footer"/>
    <w:basedOn w:val="Normal"/>
    <w:link w:val="FooterChar"/>
    <w:uiPriority w:val="99"/>
    <w:rsid w:val="001F33C1"/>
    <w:pPr>
      <w:tabs>
        <w:tab w:val="center" w:pos="4320"/>
        <w:tab w:val="right" w:pos="8640"/>
      </w:tabs>
    </w:pPr>
  </w:style>
  <w:style w:type="character" w:customStyle="1" w:styleId="FooterChar">
    <w:name w:val="Footer Char"/>
    <w:basedOn w:val="DefaultParagraphFont"/>
    <w:link w:val="Footer"/>
    <w:uiPriority w:val="99"/>
    <w:semiHidden/>
    <w:locked/>
    <w:rsid w:val="00E81E30"/>
    <w:rPr>
      <w:rFonts w:cs="Times New Roman"/>
      <w:sz w:val="24"/>
      <w:szCs w:val="24"/>
    </w:rPr>
  </w:style>
  <w:style w:type="character" w:styleId="PageNumber">
    <w:name w:val="page number"/>
    <w:basedOn w:val="DefaultParagraphFont"/>
    <w:uiPriority w:val="99"/>
    <w:rsid w:val="001F33C1"/>
    <w:rPr>
      <w:rFonts w:cs="Times New Roman"/>
    </w:rPr>
  </w:style>
  <w:style w:type="paragraph" w:customStyle="1" w:styleId="Definitionhead">
    <w:name w:val="Definition head"/>
    <w:basedOn w:val="subhead"/>
    <w:uiPriority w:val="99"/>
    <w:rsid w:val="00DF6057"/>
    <w:pPr>
      <w:spacing w:after="0"/>
      <w:ind w:left="0"/>
    </w:pPr>
  </w:style>
  <w:style w:type="paragraph" w:customStyle="1" w:styleId="subhead">
    <w:name w:val="subhead"/>
    <w:basedOn w:val="Heading4"/>
    <w:uiPriority w:val="99"/>
    <w:rsid w:val="00DF6057"/>
    <w:pPr>
      <w:tabs>
        <w:tab w:val="clear" w:pos="1800"/>
      </w:tabs>
      <w:ind w:left="720" w:firstLine="0"/>
    </w:pPr>
  </w:style>
  <w:style w:type="paragraph" w:styleId="FootnoteText">
    <w:name w:val="footnote text"/>
    <w:basedOn w:val="Normal"/>
    <w:link w:val="FootnoteTextChar"/>
    <w:uiPriority w:val="99"/>
    <w:semiHidden/>
    <w:rsid w:val="001F33C1"/>
    <w:pPr>
      <w:jc w:val="both"/>
    </w:pPr>
    <w:rPr>
      <w:sz w:val="20"/>
    </w:rPr>
  </w:style>
  <w:style w:type="character" w:customStyle="1" w:styleId="FootnoteTextChar">
    <w:name w:val="Footnote Text Char"/>
    <w:basedOn w:val="DefaultParagraphFont"/>
    <w:link w:val="FootnoteText"/>
    <w:uiPriority w:val="99"/>
    <w:semiHidden/>
    <w:locked/>
    <w:rsid w:val="00E81E30"/>
    <w:rPr>
      <w:rFonts w:cs="Times New Roman"/>
      <w:sz w:val="20"/>
      <w:szCs w:val="20"/>
    </w:rPr>
  </w:style>
  <w:style w:type="character" w:styleId="FootnoteReference">
    <w:name w:val="footnote reference"/>
    <w:basedOn w:val="DefaultParagraphFont"/>
    <w:uiPriority w:val="99"/>
    <w:semiHidden/>
    <w:rsid w:val="00DF6057"/>
    <w:rPr>
      <w:rFonts w:cs="Times New Roman"/>
    </w:rPr>
  </w:style>
  <w:style w:type="paragraph" w:styleId="Header">
    <w:name w:val="header"/>
    <w:basedOn w:val="Normal"/>
    <w:link w:val="HeaderChar"/>
    <w:uiPriority w:val="99"/>
    <w:rsid w:val="00DF6057"/>
    <w:pPr>
      <w:tabs>
        <w:tab w:val="center" w:pos="4680"/>
        <w:tab w:val="right" w:pos="9360"/>
      </w:tabs>
    </w:pPr>
  </w:style>
  <w:style w:type="character" w:customStyle="1" w:styleId="HeaderChar">
    <w:name w:val="Header Char"/>
    <w:basedOn w:val="DefaultParagraphFont"/>
    <w:link w:val="Header"/>
    <w:uiPriority w:val="99"/>
    <w:semiHidden/>
    <w:locked/>
    <w:rsid w:val="00E81E30"/>
    <w:rPr>
      <w:rFonts w:cs="Times New Roman"/>
      <w:sz w:val="24"/>
      <w:szCs w:val="24"/>
    </w:rPr>
  </w:style>
  <w:style w:type="paragraph" w:styleId="Title">
    <w:name w:val="Title"/>
    <w:basedOn w:val="Normal"/>
    <w:link w:val="TitleChar"/>
    <w:uiPriority w:val="99"/>
    <w:qFormat/>
    <w:rsid w:val="001F33C1"/>
    <w:pPr>
      <w:spacing w:after="240"/>
      <w:jc w:val="center"/>
    </w:pPr>
    <w:rPr>
      <w:rFonts w:cs="Arial"/>
      <w:bCs/>
      <w:szCs w:val="32"/>
    </w:rPr>
  </w:style>
  <w:style w:type="character" w:customStyle="1" w:styleId="TitleChar">
    <w:name w:val="Title Char"/>
    <w:basedOn w:val="DefaultParagraphFont"/>
    <w:link w:val="Title"/>
    <w:uiPriority w:val="99"/>
    <w:locked/>
    <w:rsid w:val="00E81E30"/>
    <w:rPr>
      <w:rFonts w:ascii="Cambria" w:hAnsi="Cambria" w:cs="Times New Roman"/>
      <w:b/>
      <w:bCs/>
      <w:kern w:val="28"/>
      <w:sz w:val="32"/>
      <w:szCs w:val="32"/>
    </w:rPr>
  </w:style>
  <w:style w:type="character" w:styleId="FollowedHyperlink">
    <w:name w:val="FollowedHyperlink"/>
    <w:basedOn w:val="DefaultParagraphFont"/>
    <w:uiPriority w:val="99"/>
    <w:rsid w:val="00DF6057"/>
    <w:rPr>
      <w:rFonts w:cs="Times New Roman"/>
      <w:color w:val="800080"/>
      <w:u w:val="single"/>
    </w:rPr>
  </w:style>
  <w:style w:type="paragraph" w:customStyle="1" w:styleId="Definition">
    <w:name w:val="Definition"/>
    <w:basedOn w:val="Normal"/>
    <w:uiPriority w:val="99"/>
    <w:rsid w:val="00DF6057"/>
    <w:pPr>
      <w:spacing w:before="240" w:after="240"/>
    </w:pPr>
  </w:style>
  <w:style w:type="paragraph" w:customStyle="1" w:styleId="Definitionindent">
    <w:name w:val="Definition indent"/>
    <w:basedOn w:val="Definition"/>
    <w:uiPriority w:val="99"/>
    <w:rsid w:val="00DF6057"/>
    <w:pPr>
      <w:spacing w:before="120" w:after="120"/>
      <w:ind w:left="720"/>
    </w:pPr>
  </w:style>
  <w:style w:type="paragraph" w:customStyle="1" w:styleId="Bodypara">
    <w:name w:val="Body para"/>
    <w:basedOn w:val="Normal"/>
    <w:uiPriority w:val="99"/>
    <w:rsid w:val="00DF6057"/>
    <w:pPr>
      <w:spacing w:line="480" w:lineRule="auto"/>
      <w:ind w:firstLine="720"/>
    </w:pPr>
  </w:style>
  <w:style w:type="paragraph" w:customStyle="1" w:styleId="alphapara">
    <w:name w:val="alpha para"/>
    <w:basedOn w:val="Bodypara"/>
    <w:link w:val="alphaparaChar"/>
    <w:uiPriority w:val="99"/>
    <w:rsid w:val="00DF6057"/>
    <w:pPr>
      <w:ind w:left="1440" w:hanging="720"/>
    </w:pPr>
  </w:style>
  <w:style w:type="paragraph" w:styleId="Date">
    <w:name w:val="Date"/>
    <w:basedOn w:val="Normal"/>
    <w:next w:val="Normal"/>
    <w:link w:val="DateChar"/>
    <w:uiPriority w:val="99"/>
    <w:rsid w:val="00DF6057"/>
  </w:style>
  <w:style w:type="character" w:customStyle="1" w:styleId="DateChar">
    <w:name w:val="Date Char"/>
    <w:basedOn w:val="DefaultParagraphFont"/>
    <w:link w:val="Date"/>
    <w:uiPriority w:val="99"/>
    <w:semiHidden/>
    <w:locked/>
    <w:rsid w:val="00E81E30"/>
    <w:rPr>
      <w:rFonts w:cs="Times New Roman"/>
      <w:sz w:val="24"/>
      <w:szCs w:val="24"/>
    </w:rPr>
  </w:style>
  <w:style w:type="paragraph" w:customStyle="1" w:styleId="TOCHeading1">
    <w:name w:val="TOC Heading1"/>
    <w:basedOn w:val="Normal"/>
    <w:uiPriority w:val="99"/>
    <w:rsid w:val="00DF6057"/>
    <w:pPr>
      <w:spacing w:before="240" w:after="240"/>
    </w:pPr>
    <w:rPr>
      <w:b/>
    </w:rPr>
  </w:style>
  <w:style w:type="paragraph" w:styleId="DocumentMap">
    <w:name w:val="Document Map"/>
    <w:basedOn w:val="Normal"/>
    <w:link w:val="DocumentMapChar"/>
    <w:uiPriority w:val="99"/>
    <w:semiHidden/>
    <w:rsid w:val="00DF605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81E30"/>
    <w:rPr>
      <w:rFonts w:cs="Times New Roman"/>
      <w:sz w:val="2"/>
    </w:rPr>
  </w:style>
  <w:style w:type="paragraph" w:customStyle="1" w:styleId="Footers">
    <w:name w:val="Footers"/>
    <w:basedOn w:val="Heading1"/>
    <w:uiPriority w:val="99"/>
    <w:rsid w:val="00DF6057"/>
    <w:pPr>
      <w:tabs>
        <w:tab w:val="left" w:pos="1440"/>
        <w:tab w:val="left" w:pos="7020"/>
        <w:tab w:val="right" w:pos="9360"/>
      </w:tabs>
    </w:pPr>
    <w:rPr>
      <w:b w:val="0"/>
      <w:sz w:val="20"/>
    </w:rPr>
  </w:style>
  <w:style w:type="paragraph" w:customStyle="1" w:styleId="alphaheading">
    <w:name w:val="alpha heading"/>
    <w:basedOn w:val="Normal"/>
    <w:uiPriority w:val="99"/>
    <w:rsid w:val="00DF6057"/>
    <w:pPr>
      <w:keepNext/>
      <w:tabs>
        <w:tab w:val="left" w:pos="1440"/>
      </w:tabs>
      <w:spacing w:before="240" w:after="240"/>
      <w:ind w:left="1440" w:hanging="720"/>
    </w:pPr>
    <w:rPr>
      <w:b/>
    </w:rPr>
  </w:style>
  <w:style w:type="paragraph" w:customStyle="1" w:styleId="romannumeralpara">
    <w:name w:val="roman numeral para"/>
    <w:basedOn w:val="Normal"/>
    <w:uiPriority w:val="99"/>
    <w:rsid w:val="00DF6057"/>
    <w:pPr>
      <w:spacing w:line="480" w:lineRule="auto"/>
      <w:ind w:left="1440" w:hanging="720"/>
    </w:pPr>
  </w:style>
  <w:style w:type="paragraph" w:customStyle="1" w:styleId="Bulletpara">
    <w:name w:val="Bullet para"/>
    <w:basedOn w:val="Normal"/>
    <w:uiPriority w:val="99"/>
    <w:rsid w:val="00DF6057"/>
    <w:pPr>
      <w:numPr>
        <w:numId w:val="36"/>
      </w:numPr>
      <w:tabs>
        <w:tab w:val="left" w:pos="900"/>
      </w:tabs>
      <w:spacing w:before="120" w:after="120"/>
    </w:pPr>
  </w:style>
  <w:style w:type="paragraph" w:styleId="TOC1">
    <w:name w:val="toc 1"/>
    <w:basedOn w:val="Normal"/>
    <w:next w:val="Normal"/>
    <w:uiPriority w:val="99"/>
    <w:semiHidden/>
    <w:rsid w:val="00DF6057"/>
  </w:style>
  <w:style w:type="paragraph" w:customStyle="1" w:styleId="Tarifftitle">
    <w:name w:val="Tariff title"/>
    <w:basedOn w:val="Normal"/>
    <w:uiPriority w:val="99"/>
    <w:rsid w:val="00DF6057"/>
    <w:rPr>
      <w:b/>
      <w:sz w:val="28"/>
      <w:szCs w:val="28"/>
    </w:rPr>
  </w:style>
  <w:style w:type="paragraph" w:styleId="TOC2">
    <w:name w:val="toc 2"/>
    <w:basedOn w:val="Normal"/>
    <w:next w:val="Normal"/>
    <w:uiPriority w:val="99"/>
    <w:semiHidden/>
    <w:rsid w:val="00DF6057"/>
    <w:pPr>
      <w:ind w:left="240"/>
    </w:pPr>
  </w:style>
  <w:style w:type="character" w:styleId="Hyperlink">
    <w:name w:val="Hyperlink"/>
    <w:basedOn w:val="DefaultParagraphFont"/>
    <w:uiPriority w:val="99"/>
    <w:rsid w:val="00DF6057"/>
    <w:rPr>
      <w:rFonts w:cs="Times New Roman"/>
      <w:color w:val="0000FF"/>
      <w:u w:val="single"/>
    </w:rPr>
  </w:style>
  <w:style w:type="paragraph" w:styleId="TOC3">
    <w:name w:val="toc 3"/>
    <w:basedOn w:val="Normal"/>
    <w:next w:val="Normal"/>
    <w:uiPriority w:val="99"/>
    <w:semiHidden/>
    <w:rsid w:val="00DF6057"/>
    <w:pPr>
      <w:ind w:left="480"/>
    </w:pPr>
  </w:style>
  <w:style w:type="paragraph" w:styleId="TOC4">
    <w:name w:val="toc 4"/>
    <w:basedOn w:val="Normal"/>
    <w:next w:val="Normal"/>
    <w:uiPriority w:val="99"/>
    <w:semiHidden/>
    <w:rsid w:val="00DF6057"/>
    <w:pPr>
      <w:ind w:left="720"/>
    </w:pPr>
  </w:style>
  <w:style w:type="paragraph" w:customStyle="1" w:styleId="Level1">
    <w:name w:val="Level 1"/>
    <w:basedOn w:val="Normal"/>
    <w:uiPriority w:val="99"/>
    <w:rsid w:val="00DF6057"/>
    <w:pPr>
      <w:ind w:left="1890" w:hanging="720"/>
    </w:pPr>
  </w:style>
  <w:style w:type="paragraph" w:styleId="BalloonText">
    <w:name w:val="Balloon Text"/>
    <w:basedOn w:val="Normal"/>
    <w:link w:val="BalloonTextChar"/>
    <w:uiPriority w:val="99"/>
    <w:semiHidden/>
    <w:rsid w:val="00DF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1E30"/>
    <w:rPr>
      <w:rFonts w:cs="Times New Roman"/>
      <w:sz w:val="2"/>
    </w:rPr>
  </w:style>
  <w:style w:type="character" w:customStyle="1" w:styleId="alphaparaChar">
    <w:name w:val="alpha para Char"/>
    <w:basedOn w:val="DefaultParagraphFont"/>
    <w:link w:val="alphapara"/>
    <w:uiPriority w:val="99"/>
    <w:locked/>
    <w:rsid w:val="00D114D7"/>
    <w:rPr>
      <w:rFonts w:eastAsia="Times New Roman" w:cs="Times New Roman"/>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3513</Characters>
  <Application>Microsoft Office Word</Application>
  <DocSecurity>4</DocSecurity>
  <Lines>29</Lines>
  <Paragraphs>8</Paragraphs>
  <ScaleCrop>false</ScaleCrop>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2019-05-15T15:24:00Z</dcterms:created>
  <dcterms:modified xsi:type="dcterms:W3CDTF">2019-05-15T15:24:00Z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-1132344883</vt:i4>
  </property>
  <property fmtid="{D5CDD505-2E9C-101B-9397-08002B2CF9AE}" pid="3" name="_NewReviewCycle">
    <vt:lpwstr/>
  </property>
  <property fmtid="{D5CDD505-2E9C-101B-9397-08002B2CF9AE}" pid="4" name="_PreviousAdHocReviewCycleID">
    <vt:i4>1524221690</vt:i4>
  </property>
  <property fmtid="{D5CDD505-2E9C-101B-9397-08002B2CF9AE}" pid="5" name="_ReviewingToolsShownOnce">
    <vt:lpwstr/>
  </property>
</Properties>
</file>