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89D" w:rsidRDefault="005D1CBF">
      <w:pPr>
        <w:pStyle w:val="Heading2"/>
      </w:pPr>
      <w:bookmarkStart w:id="0" w:name="_Toc261446024"/>
      <w:bookmarkStart w:id="1" w:name="_GoBack"/>
      <w:bookmarkEnd w:id="1"/>
      <w:r>
        <w:rPr>
          <w:bCs/>
        </w:rPr>
        <w:t xml:space="preserve">3.5 </w:t>
      </w:r>
      <w:r>
        <w:rPr>
          <w:bCs/>
        </w:rPr>
        <w:tab/>
      </w:r>
      <w:r>
        <w:t>ISO</w:t>
      </w:r>
      <w:r>
        <w:rPr>
          <w:bCs/>
        </w:rPr>
        <w:t xml:space="preserve"> Procedures</w:t>
      </w:r>
      <w:bookmarkEnd w:id="0"/>
    </w:p>
    <w:p w:rsidR="0073489D" w:rsidRDefault="005D1CBF">
      <w:pPr>
        <w:pStyle w:val="Bodypara"/>
      </w:pPr>
      <w:r>
        <w:t>The ISO shall develop, and modify as appropriate, procedures for the efficient and non</w:t>
      </w:r>
      <w:r>
        <w:noBreakHyphen/>
        <w:t xml:space="preserve">discriminatory operation of the ISO Administered Markets and for the safe and reliable operation of the NYCA in accordance with the terms and </w:t>
      </w:r>
      <w:r>
        <w:t>conditions of the Tariff.  All such procedures must be consistent with Good Utility Practice.</w:t>
      </w:r>
      <w:r>
        <w:rPr>
          <w:strike/>
        </w:rPr>
        <w:t xml:space="preserve">  </w:t>
      </w:r>
    </w:p>
    <w:p w:rsidR="0073489D" w:rsidRDefault="005D1CBF">
      <w:pPr>
        <w:pStyle w:val="Heading3"/>
        <w:rPr>
          <w:color w:val="000000"/>
          <w:sz w:val="23"/>
          <w:szCs w:val="23"/>
        </w:rPr>
      </w:pPr>
      <w:bookmarkStart w:id="2" w:name="_Toc261446025"/>
      <w:r>
        <w:t>3.5.1</w:t>
      </w:r>
      <w:r>
        <w:tab/>
        <w:t>Market Problems Reporting Procedure</w:t>
      </w:r>
      <w:bookmarkEnd w:id="2"/>
      <w:r>
        <w:t xml:space="preserve"> </w:t>
      </w:r>
    </w:p>
    <w:p w:rsidR="0073489D" w:rsidRDefault="005D1CBF">
      <w:pPr>
        <w:pStyle w:val="Bodypara"/>
      </w:pPr>
      <w:r>
        <w:t>Upon ISO discovery of a potential Market Problem, the ISO will immediately report the Market Problem to the Market Mo</w:t>
      </w:r>
      <w:r>
        <w:t xml:space="preserve">nitoring Unit and to the Commission’s Office of Enforcement. </w:t>
      </w:r>
    </w:p>
    <w:p w:rsidR="0073489D" w:rsidRDefault="005D1CBF">
      <w:pPr>
        <w:pStyle w:val="Bodypara"/>
      </w:pPr>
      <w:r>
        <w:t>The ISO will then report the Market Problem to Market Participants, subject to applicable confidentiality restrictions, unless it is determined in consultation with Commission staff that disclos</w:t>
      </w:r>
      <w:r>
        <w:t xml:space="preserve">ure could lead to gaming or other harmful outcomes. The report will also be provided to Market Participants in an e-mail notice with this subject line: "Notice of a Market Problem." </w:t>
      </w:r>
    </w:p>
    <w:p w:rsidR="0073489D" w:rsidRDefault="005D1CBF">
      <w:pPr>
        <w:pStyle w:val="Bodypara"/>
      </w:pPr>
      <w:r>
        <w:t>The ISO will accomplish all three of the above steps as soon as possible,</w:t>
      </w:r>
      <w:r>
        <w:t xml:space="preserve"> but in no event longer than five calendar days after discovery of the potential Market Problem. </w:t>
      </w:r>
    </w:p>
    <w:p w:rsidR="0073489D" w:rsidRDefault="005D1CBF">
      <w:pPr>
        <w:pStyle w:val="Bodypara"/>
      </w:pPr>
      <w:r>
        <w:t>In the event of a determination that disclosure of a Market Problem could lead to gaming or other harmful outcomes, ISO, unless otherwise directed by Commissi</w:t>
      </w:r>
      <w:r>
        <w:t>on staff, will provide notice to the Market Participants of the identification of a potential Market Problem and the conduct of a confidential investigation. Thereafter, the ISO shall consult with Market Participants as soon as practicable after resolution</w:t>
      </w:r>
      <w:r>
        <w:t xml:space="preserve"> of the underlying issue pursuant to direction from the Commission. </w:t>
      </w:r>
    </w:p>
    <w:p w:rsidR="0073489D" w:rsidRDefault="005D1CBF">
      <w:pPr>
        <w:pStyle w:val="Bodypara"/>
      </w:pPr>
      <w:r>
        <w:t>In the event of an exigent circumstances filing of tariff amendments pursuant to Article 19 of the ISO Agreement, this consultation would include seeking concurrence on the Section 205 fi</w:t>
      </w:r>
      <w:r>
        <w:t xml:space="preserve">ling from the Management Committee. </w:t>
      </w:r>
    </w:p>
    <w:p w:rsidR="0073489D" w:rsidRDefault="005D1CBF">
      <w:pPr>
        <w:pStyle w:val="Bodypara"/>
      </w:pPr>
      <w:r>
        <w:t xml:space="preserve">If no exigent circumstances filing is made, the ISO will provide an opportunity for Market Participants to comment prior to a request to FERC for a tariff waiver or other remedy. </w:t>
      </w:r>
    </w:p>
    <w:p w:rsidR="0073489D" w:rsidRDefault="005D1CBF">
      <w:pPr>
        <w:autoSpaceDE w:val="0"/>
        <w:autoSpaceDN w:val="0"/>
        <w:adjustRightInd w:val="0"/>
        <w:spacing w:line="480" w:lineRule="auto"/>
      </w:pPr>
      <w:r>
        <w:t>In the ISO’s reports to Market Particip</w:t>
      </w:r>
      <w:r>
        <w:t xml:space="preserve">ants, subject to applicable confidentiality restrictions, the NYISO will provide the following information: </w:t>
      </w:r>
    </w:p>
    <w:p w:rsidR="0073489D" w:rsidRDefault="005D1CBF">
      <w:pPr>
        <w:pStyle w:val="Bulletpara"/>
        <w:spacing w:before="240" w:after="240"/>
      </w:pPr>
      <w:r>
        <w:t xml:space="preserve">Description of the Market Problem and tariff implications as appropriate; </w:t>
      </w:r>
    </w:p>
    <w:p w:rsidR="0073489D" w:rsidRDefault="005D1CBF">
      <w:pPr>
        <w:pStyle w:val="Bulletpara"/>
      </w:pPr>
      <w:r>
        <w:t>Description of the time frame involved;</w:t>
      </w:r>
    </w:p>
    <w:p w:rsidR="0073489D" w:rsidRDefault="005D1CBF">
      <w:pPr>
        <w:pStyle w:val="Bulletpara"/>
      </w:pPr>
      <w:r>
        <w:t xml:space="preserve">Description of underlying cause </w:t>
      </w:r>
      <w:r>
        <w:t xml:space="preserve">of the Market Problem; </w:t>
      </w:r>
    </w:p>
    <w:p w:rsidR="0073489D" w:rsidRDefault="005D1CBF">
      <w:pPr>
        <w:pStyle w:val="Bulletpara"/>
      </w:pPr>
      <w:r>
        <w:t xml:space="preserve">Description of economic impacts; and </w:t>
      </w:r>
    </w:p>
    <w:p w:rsidR="0073489D" w:rsidRDefault="005D1CBF">
      <w:pPr>
        <w:pStyle w:val="Bulletpara"/>
      </w:pPr>
      <w:r>
        <w:t>Description of steps planned or taken to address the Market Problem including a proposed timetable for the developing necessary tariff revisions, if applicable, as developed in consultation with</w:t>
      </w:r>
      <w:r>
        <w:t xml:space="preserve"> Market Participants. The ISO will also report when it determines a Market Problem investigation has concluded. </w:t>
      </w:r>
    </w:p>
    <w:p w:rsidR="0073489D" w:rsidRDefault="005D1CBF">
      <w:pPr>
        <w:autoSpaceDE w:val="0"/>
        <w:autoSpaceDN w:val="0"/>
        <w:adjustRightInd w:val="0"/>
      </w:pPr>
    </w:p>
    <w:p w:rsidR="0073489D" w:rsidRDefault="005D1CBF">
      <w:pPr>
        <w:pStyle w:val="Bodypara"/>
      </w:pPr>
      <w:r>
        <w:t xml:space="preserve">Except where a longer period of analysis is required, the ISO will provide an explanation to all Market Participants of its proposed steps to </w:t>
      </w:r>
      <w:r>
        <w:t>address the Market Problem as soon as reasonably possible, but in no event later than 30 calendar days of its initial notice to Market Participants and the ISO shall make staff available to discuss proposed remedy at the appropriate working group or commit</w:t>
      </w:r>
      <w:r>
        <w:t>tee with advance notice to all Market Participants.  Where a longer period of analysis is required, the ISO will provide updates to Market Participants at least quarterly.</w:t>
      </w:r>
    </w:p>
    <w:p w:rsidR="0073489D" w:rsidRDefault="005D1CBF">
      <w:pPr>
        <w:pStyle w:val="Heading3"/>
      </w:pPr>
      <w:bookmarkStart w:id="3" w:name="_Toc261446026"/>
      <w:r>
        <w:t>3.5.2</w:t>
      </w:r>
      <w:r>
        <w:tab/>
        <w:t>Provision of Data By Market Participants</w:t>
      </w:r>
      <w:bookmarkEnd w:id="3"/>
    </w:p>
    <w:p w:rsidR="0073489D" w:rsidRDefault="005D1CBF">
      <w:pPr>
        <w:pStyle w:val="Bodypara"/>
      </w:pPr>
      <w:r>
        <w:t>Whenever requested by the ISO, each L</w:t>
      </w:r>
      <w:r>
        <w:t>SE shall provide the ISO with a forecast of the Loads for which it is responsible for the particular time period designated by the ISO.  Customers shall inform the ISO, in accordance with the ISO Procedures, of the Availability of Generators within the NYC</w:t>
      </w:r>
      <w:r>
        <w:t>A subject to a Customer’s control by Energy contract, ownership or otherwise.  Additionally, the Transmission Owners will provide megawatt, megavar, voltage readings, transmission system data (facility ratings and impedance data), and maintenance schedules</w:t>
      </w:r>
      <w:r>
        <w:t xml:space="preserve"> for all Transmission Facilities Under ISO Operational Control, and any person or entity that owns transmission facilities associated with an award of Incremental TCCs under Section 19.2.2 of Attachment M to the ISO OATT shall be responsible for providing </w:t>
      </w:r>
      <w:r>
        <w:t>the same data and schedules to the ISO.  For Transmission Facilities Requiring ISO Notification, the Transmission Owners shall inform the ISO of all changes in the status of the designated transmission facilities.  Transmission Owners and persons or entiti</w:t>
      </w:r>
      <w:r>
        <w:t>es that own transmission facilities associated with an award of Incremental TCCs shall provide such data and schedules pursuant to applicable provisions of the ISO Procedures.  Suppliers will provide data on Generator status and output including maintenanc</w:t>
      </w:r>
      <w:r>
        <w:t>e schedules, Generator scheduled return dates (inclusive of return to service from maintenance, forced outages</w:t>
      </w:r>
      <w:r>
        <w:t>,</w:t>
      </w:r>
      <w:r>
        <w:t xml:space="preserve"> partial unit outages</w:t>
      </w:r>
      <w:r>
        <w:t xml:space="preserve"> or an increase in the forecasted Host Load of a Behind-the-Meter Net Generation Resource in real-time compared to the forec</w:t>
      </w:r>
      <w:r>
        <w:t>asted Host Load submitted as part of its Energy Bid in the Day-Ahead Market</w:t>
      </w:r>
      <w:r>
        <w:t xml:space="preserve"> that resulted in a significant reduction in a generating unit’s</w:t>
      </w:r>
      <w:r>
        <w:t xml:space="preserve"> </w:t>
      </w:r>
      <w:r w:rsidRPr="00D52820">
        <w:t>or a Behind-the-Meter Net Generation Resource’s</w:t>
      </w:r>
      <w:r>
        <w:t xml:space="preserve"> ability to produce Energy in any hour), and Generator machine data, </w:t>
      </w:r>
      <w:r>
        <w:t xml:space="preserve">in accordance with the ISO Procedures.  These data shall also include Generator </w:t>
      </w:r>
    </w:p>
    <w:p w:rsidR="0073489D" w:rsidRDefault="005D1CBF">
      <w:pPr>
        <w:tabs>
          <w:tab w:val="left" w:pos="1440"/>
          <w:tab w:val="right" w:pos="9360"/>
        </w:tabs>
        <w:spacing w:line="480" w:lineRule="auto"/>
      </w:pPr>
      <w:r>
        <w:t>Incremental/Decremental Bids, operating limits, response rates, megawatt, megavar, and voltage readings.</w:t>
      </w:r>
    </w:p>
    <w:p w:rsidR="0073489D" w:rsidRDefault="005D1CBF">
      <w:pPr>
        <w:tabs>
          <w:tab w:val="left" w:pos="1440"/>
          <w:tab w:val="right" w:pos="9360"/>
        </w:tabs>
      </w:pPr>
    </w:p>
    <w:sectPr w:rsidR="0073489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1CBF">
      <w:r>
        <w:separator/>
      </w:r>
    </w:p>
  </w:endnote>
  <w:endnote w:type="continuationSeparator" w:id="0">
    <w:p w:rsidR="00000000" w:rsidRDefault="005D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B6" w:rsidRDefault="005D1CBF">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B6" w:rsidRDefault="005D1CBF">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B6" w:rsidRDefault="005D1CBF">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1CBF">
      <w:r>
        <w:separator/>
      </w:r>
    </w:p>
  </w:footnote>
  <w:footnote w:type="continuationSeparator" w:id="0">
    <w:p w:rsidR="00000000" w:rsidRDefault="005D1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B6" w:rsidRDefault="005D1C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3.5 MST ISO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B6" w:rsidRDefault="005D1CB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 MST Term and Effectiveness --&gt; </w:t>
    </w:r>
    <w:r>
      <w:rPr>
        <w:rFonts w:ascii="Arial" w:eastAsia="Arial" w:hAnsi="Arial" w:cs="Arial"/>
        <w:color w:val="000000"/>
        <w:sz w:val="16"/>
      </w:rPr>
      <w:t>3.5 MST ISO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B6" w:rsidRDefault="005D1C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w:t>
    </w:r>
    <w:r>
      <w:rPr>
        <w:rFonts w:ascii="Arial" w:eastAsia="Arial" w:hAnsi="Arial" w:cs="Arial"/>
        <w:color w:val="000000"/>
        <w:sz w:val="16"/>
      </w:rPr>
      <w:t>ffectiveness --&gt; 3.5 MST ISO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DDA64D4">
      <w:start w:val="1"/>
      <w:numFmt w:val="bullet"/>
      <w:pStyle w:val="Bulletpara"/>
      <w:lvlText w:val=""/>
      <w:lvlJc w:val="left"/>
      <w:pPr>
        <w:tabs>
          <w:tab w:val="num" w:pos="720"/>
        </w:tabs>
        <w:ind w:left="720" w:hanging="360"/>
      </w:pPr>
      <w:rPr>
        <w:rFonts w:ascii="Symbol" w:hAnsi="Symbol" w:hint="default"/>
      </w:rPr>
    </w:lvl>
    <w:lvl w:ilvl="1" w:tplc="B2C248F6" w:tentative="1">
      <w:start w:val="1"/>
      <w:numFmt w:val="bullet"/>
      <w:lvlText w:val="o"/>
      <w:lvlJc w:val="left"/>
      <w:pPr>
        <w:tabs>
          <w:tab w:val="num" w:pos="1440"/>
        </w:tabs>
        <w:ind w:left="1440" w:hanging="360"/>
      </w:pPr>
      <w:rPr>
        <w:rFonts w:ascii="Courier New" w:hAnsi="Courier New" w:hint="default"/>
      </w:rPr>
    </w:lvl>
    <w:lvl w:ilvl="2" w:tplc="7132ED4C" w:tentative="1">
      <w:start w:val="1"/>
      <w:numFmt w:val="bullet"/>
      <w:lvlText w:val=""/>
      <w:lvlJc w:val="left"/>
      <w:pPr>
        <w:tabs>
          <w:tab w:val="num" w:pos="2160"/>
        </w:tabs>
        <w:ind w:left="2160" w:hanging="360"/>
      </w:pPr>
      <w:rPr>
        <w:rFonts w:ascii="Wingdings" w:hAnsi="Wingdings" w:hint="default"/>
      </w:rPr>
    </w:lvl>
    <w:lvl w:ilvl="3" w:tplc="05608080" w:tentative="1">
      <w:start w:val="1"/>
      <w:numFmt w:val="bullet"/>
      <w:lvlText w:val=""/>
      <w:lvlJc w:val="left"/>
      <w:pPr>
        <w:tabs>
          <w:tab w:val="num" w:pos="2880"/>
        </w:tabs>
        <w:ind w:left="2880" w:hanging="360"/>
      </w:pPr>
      <w:rPr>
        <w:rFonts w:ascii="Symbol" w:hAnsi="Symbol" w:hint="default"/>
      </w:rPr>
    </w:lvl>
    <w:lvl w:ilvl="4" w:tplc="428E9A94" w:tentative="1">
      <w:start w:val="1"/>
      <w:numFmt w:val="bullet"/>
      <w:lvlText w:val="o"/>
      <w:lvlJc w:val="left"/>
      <w:pPr>
        <w:tabs>
          <w:tab w:val="num" w:pos="3600"/>
        </w:tabs>
        <w:ind w:left="3600" w:hanging="360"/>
      </w:pPr>
      <w:rPr>
        <w:rFonts w:ascii="Courier New" w:hAnsi="Courier New" w:hint="default"/>
      </w:rPr>
    </w:lvl>
    <w:lvl w:ilvl="5" w:tplc="8D56C130" w:tentative="1">
      <w:start w:val="1"/>
      <w:numFmt w:val="bullet"/>
      <w:lvlText w:val=""/>
      <w:lvlJc w:val="left"/>
      <w:pPr>
        <w:tabs>
          <w:tab w:val="num" w:pos="4320"/>
        </w:tabs>
        <w:ind w:left="4320" w:hanging="360"/>
      </w:pPr>
      <w:rPr>
        <w:rFonts w:ascii="Wingdings" w:hAnsi="Wingdings" w:hint="default"/>
      </w:rPr>
    </w:lvl>
    <w:lvl w:ilvl="6" w:tplc="D548D452" w:tentative="1">
      <w:start w:val="1"/>
      <w:numFmt w:val="bullet"/>
      <w:lvlText w:val=""/>
      <w:lvlJc w:val="left"/>
      <w:pPr>
        <w:tabs>
          <w:tab w:val="num" w:pos="5040"/>
        </w:tabs>
        <w:ind w:left="5040" w:hanging="360"/>
      </w:pPr>
      <w:rPr>
        <w:rFonts w:ascii="Symbol" w:hAnsi="Symbol" w:hint="default"/>
      </w:rPr>
    </w:lvl>
    <w:lvl w:ilvl="7" w:tplc="D942441C" w:tentative="1">
      <w:start w:val="1"/>
      <w:numFmt w:val="bullet"/>
      <w:lvlText w:val="o"/>
      <w:lvlJc w:val="left"/>
      <w:pPr>
        <w:tabs>
          <w:tab w:val="num" w:pos="5760"/>
        </w:tabs>
        <w:ind w:left="5760" w:hanging="360"/>
      </w:pPr>
      <w:rPr>
        <w:rFonts w:ascii="Courier New" w:hAnsi="Courier New" w:hint="default"/>
      </w:rPr>
    </w:lvl>
    <w:lvl w:ilvl="8" w:tplc="55BEED2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0B6"/>
    <w:rsid w:val="005D1CBF"/>
    <w:rsid w:val="006F3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2E38"/>
    <w:rPr>
      <w:sz w:val="24"/>
      <w:szCs w:val="24"/>
    </w:rPr>
  </w:style>
  <w:style w:type="paragraph" w:styleId="Heading1">
    <w:name w:val="heading 1"/>
    <w:basedOn w:val="Normal"/>
    <w:next w:val="Normal"/>
    <w:link w:val="Heading1Char"/>
    <w:uiPriority w:val="99"/>
    <w:qFormat/>
    <w:rsid w:val="00AD2E3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D2E3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AD2E3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AD2E3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D2E3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D2E3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D2E38"/>
    <w:pPr>
      <w:keepNext/>
      <w:spacing w:line="480" w:lineRule="auto"/>
      <w:ind w:left="720" w:right="630"/>
      <w:outlineLvl w:val="6"/>
    </w:pPr>
    <w:rPr>
      <w:b/>
    </w:rPr>
  </w:style>
  <w:style w:type="paragraph" w:styleId="Heading8">
    <w:name w:val="heading 8"/>
    <w:basedOn w:val="Normal"/>
    <w:next w:val="Normal"/>
    <w:link w:val="Heading8Char"/>
    <w:uiPriority w:val="99"/>
    <w:qFormat/>
    <w:rsid w:val="00AD2E38"/>
    <w:pPr>
      <w:keepNext/>
      <w:spacing w:line="480" w:lineRule="auto"/>
      <w:ind w:left="720" w:right="-90"/>
      <w:outlineLvl w:val="7"/>
    </w:pPr>
    <w:rPr>
      <w:b/>
    </w:rPr>
  </w:style>
  <w:style w:type="paragraph" w:styleId="Heading9">
    <w:name w:val="heading 9"/>
    <w:basedOn w:val="Normal"/>
    <w:next w:val="Normal"/>
    <w:link w:val="Heading9Char"/>
    <w:uiPriority w:val="99"/>
    <w:qFormat/>
    <w:rsid w:val="00AD2E3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Title">
    <w:name w:val="Title"/>
    <w:basedOn w:val="Normal"/>
    <w:link w:val="TitleChar"/>
    <w:uiPriority w:val="99"/>
    <w:qFormat/>
    <w:rsid w:val="00AD2E38"/>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24"/>
      <w:szCs w:val="32"/>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sid w:val="00AD2E38"/>
    <w:pPr>
      <w:widowControl w:val="0"/>
    </w:pPr>
    <w:rPr>
      <w:sz w:val="20"/>
      <w:szCs w:val="20"/>
    </w:rPr>
  </w:style>
  <w:style w:type="character" w:customStyle="1" w:styleId="CommentTextChar">
    <w:name w:val="Comment Text Char"/>
    <w:basedOn w:val="DefaultParagraphFont"/>
    <w:link w:val="CommentText"/>
    <w:semiHidden/>
  </w:style>
  <w:style w:type="paragraph" w:styleId="Header">
    <w:name w:val="header"/>
    <w:basedOn w:val="Normal"/>
    <w:link w:val="HeaderChar"/>
    <w:uiPriority w:val="99"/>
    <w:rsid w:val="00AD2E38"/>
    <w:pPr>
      <w:tabs>
        <w:tab w:val="center" w:pos="4680"/>
        <w:tab w:val="right" w:pos="9360"/>
      </w:tabs>
    </w:pPr>
  </w:style>
  <w:style w:type="character" w:customStyle="1" w:styleId="HeaderChar">
    <w:name w:val="Header Char"/>
    <w:basedOn w:val="DefaultParagraphFont"/>
    <w:link w:val="Header"/>
    <w:uiPriority w:val="99"/>
    <w:locked/>
    <w:rPr>
      <w:sz w:val="24"/>
      <w:szCs w:val="24"/>
    </w:rPr>
  </w:style>
  <w:style w:type="paragraph" w:styleId="Subtitle">
    <w:name w:val="Subtitle"/>
    <w:basedOn w:val="Normal"/>
    <w:link w:val="SubtitleChar"/>
    <w:qFormat/>
    <w:rsid w:val="00AD2E38"/>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rPr>
      <w:b/>
      <w:sz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AD2E3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ault">
    <w:name w:val="Default"/>
    <w:rsid w:val="00AD2E38"/>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rsid w:val="00AD2E38"/>
    <w:pPr>
      <w:spacing w:before="240" w:after="240"/>
    </w:pPr>
  </w:style>
  <w:style w:type="paragraph" w:customStyle="1" w:styleId="Definitionindent">
    <w:name w:val="Definition indent"/>
    <w:basedOn w:val="Definition"/>
    <w:uiPriority w:val="99"/>
    <w:rsid w:val="00AD2E38"/>
    <w:pPr>
      <w:spacing w:before="120" w:after="120"/>
      <w:ind w:left="720"/>
    </w:pPr>
  </w:style>
  <w:style w:type="paragraph" w:customStyle="1" w:styleId="Bodypara">
    <w:name w:val="Body para"/>
    <w:basedOn w:val="Normal"/>
    <w:uiPriority w:val="99"/>
    <w:rsid w:val="00AD2E38"/>
    <w:pPr>
      <w:spacing w:line="480" w:lineRule="auto"/>
      <w:ind w:firstLine="720"/>
    </w:pPr>
  </w:style>
  <w:style w:type="paragraph" w:customStyle="1" w:styleId="alphapara">
    <w:name w:val="alpha para"/>
    <w:basedOn w:val="Bodypara"/>
    <w:link w:val="alphaparaChar"/>
    <w:uiPriority w:val="99"/>
    <w:rsid w:val="00AD2E38"/>
    <w:pPr>
      <w:ind w:left="1440" w:hanging="720"/>
    </w:pPr>
  </w:style>
  <w:style w:type="paragraph" w:styleId="Date">
    <w:name w:val="Date"/>
    <w:basedOn w:val="Normal"/>
    <w:next w:val="Normal"/>
    <w:link w:val="DateChar"/>
    <w:uiPriority w:val="99"/>
    <w:rsid w:val="00AD2E38"/>
  </w:style>
  <w:style w:type="character" w:customStyle="1" w:styleId="DateChar">
    <w:name w:val="Date Char"/>
    <w:basedOn w:val="DefaultParagraphFont"/>
    <w:link w:val="Date"/>
    <w:uiPriority w:val="99"/>
    <w:locked/>
    <w:rPr>
      <w:sz w:val="24"/>
      <w:szCs w:val="24"/>
    </w:rPr>
  </w:style>
  <w:style w:type="paragraph" w:customStyle="1" w:styleId="TOCHeading1">
    <w:name w:val="TOC Heading1"/>
    <w:basedOn w:val="Normal"/>
    <w:uiPriority w:val="99"/>
    <w:rsid w:val="00AD2E38"/>
    <w:pPr>
      <w:spacing w:before="240" w:after="240"/>
    </w:pPr>
    <w:rPr>
      <w:b/>
    </w:rPr>
  </w:style>
  <w:style w:type="paragraph" w:styleId="DocumentMap">
    <w:name w:val="Document Map"/>
    <w:basedOn w:val="Normal"/>
    <w:link w:val="DocumentMapChar"/>
    <w:uiPriority w:val="99"/>
    <w:semiHidden/>
    <w:rsid w:val="00AD2E3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paragraph" w:customStyle="1" w:styleId="Footers">
    <w:name w:val="Footers"/>
    <w:basedOn w:val="Heading1"/>
    <w:uiPriority w:val="99"/>
    <w:rsid w:val="00AD2E38"/>
    <w:pPr>
      <w:tabs>
        <w:tab w:val="left" w:pos="1440"/>
        <w:tab w:val="left" w:pos="7020"/>
        <w:tab w:val="right" w:pos="9360"/>
      </w:tabs>
    </w:pPr>
    <w:rPr>
      <w:b w:val="0"/>
      <w:sz w:val="20"/>
    </w:rPr>
  </w:style>
  <w:style w:type="paragraph" w:customStyle="1" w:styleId="subhead">
    <w:name w:val="subhead"/>
    <w:basedOn w:val="Heading4"/>
    <w:uiPriority w:val="99"/>
    <w:rsid w:val="00AD2E38"/>
    <w:pPr>
      <w:tabs>
        <w:tab w:val="clear" w:pos="1800"/>
      </w:tabs>
      <w:ind w:left="720" w:firstLine="0"/>
    </w:pPr>
  </w:style>
  <w:style w:type="paragraph" w:customStyle="1" w:styleId="alphaheading">
    <w:name w:val="alpha heading"/>
    <w:basedOn w:val="Normal"/>
    <w:uiPriority w:val="99"/>
    <w:rsid w:val="00AD2E38"/>
    <w:pPr>
      <w:keepNext/>
      <w:tabs>
        <w:tab w:val="left" w:pos="1440"/>
      </w:tabs>
      <w:spacing w:before="240" w:after="240"/>
      <w:ind w:left="1440" w:hanging="720"/>
    </w:pPr>
    <w:rPr>
      <w:b/>
    </w:rPr>
  </w:style>
  <w:style w:type="paragraph" w:customStyle="1" w:styleId="romannumeralpara">
    <w:name w:val="roman numeral para"/>
    <w:basedOn w:val="Normal"/>
    <w:uiPriority w:val="99"/>
    <w:rsid w:val="00AD2E38"/>
    <w:pPr>
      <w:spacing w:line="480" w:lineRule="auto"/>
      <w:ind w:left="1440" w:hanging="720"/>
    </w:pPr>
  </w:style>
  <w:style w:type="paragraph" w:customStyle="1" w:styleId="Bulletpara">
    <w:name w:val="Bullet para"/>
    <w:basedOn w:val="Normal"/>
    <w:uiPriority w:val="99"/>
    <w:rsid w:val="00AD2E38"/>
    <w:pPr>
      <w:numPr>
        <w:numId w:val="1"/>
      </w:numPr>
      <w:tabs>
        <w:tab w:val="left" w:pos="900"/>
      </w:tabs>
      <w:spacing w:before="120" w:after="120"/>
    </w:pPr>
  </w:style>
  <w:style w:type="paragraph" w:styleId="TOC1">
    <w:name w:val="toc 1"/>
    <w:basedOn w:val="Normal"/>
    <w:next w:val="Normal"/>
    <w:uiPriority w:val="99"/>
    <w:semiHidden/>
    <w:rsid w:val="00AD2E38"/>
  </w:style>
  <w:style w:type="paragraph" w:customStyle="1" w:styleId="Tarifftitle">
    <w:name w:val="Tariff title"/>
    <w:basedOn w:val="Normal"/>
    <w:uiPriority w:val="99"/>
    <w:rsid w:val="00AD2E38"/>
    <w:rPr>
      <w:b/>
      <w:sz w:val="28"/>
      <w:szCs w:val="28"/>
    </w:rPr>
  </w:style>
  <w:style w:type="paragraph" w:styleId="TOC2">
    <w:name w:val="toc 2"/>
    <w:basedOn w:val="Normal"/>
    <w:next w:val="Normal"/>
    <w:uiPriority w:val="99"/>
    <w:semiHidden/>
    <w:rsid w:val="00AD2E38"/>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rsid w:val="00AD2E38"/>
    <w:pPr>
      <w:ind w:left="480"/>
    </w:pPr>
  </w:style>
  <w:style w:type="paragraph" w:styleId="TOC4">
    <w:name w:val="toc 4"/>
    <w:basedOn w:val="Normal"/>
    <w:next w:val="Normal"/>
    <w:uiPriority w:val="99"/>
    <w:semiHidden/>
    <w:rsid w:val="00AD2E38"/>
    <w:pPr>
      <w:ind w:left="720"/>
    </w:pPr>
  </w:style>
  <w:style w:type="paragraph" w:customStyle="1" w:styleId="subalphapara">
    <w:name w:val="sub alpha para"/>
    <w:basedOn w:val="alphapara"/>
    <w:rsid w:val="00AD2E38"/>
    <w:pPr>
      <w:ind w:firstLine="0"/>
    </w:pPr>
  </w:style>
  <w:style w:type="paragraph" w:customStyle="1" w:styleId="Level1">
    <w:name w:val="Level 1"/>
    <w:basedOn w:val="Normal"/>
    <w:uiPriority w:val="99"/>
    <w:rsid w:val="00AD2E38"/>
    <w:pPr>
      <w:ind w:left="1890" w:hanging="720"/>
    </w:pPr>
  </w:style>
  <w:style w:type="paragraph" w:styleId="BodyTextIndent2">
    <w:name w:val="Body Text Indent 2"/>
    <w:basedOn w:val="Normal"/>
    <w:link w:val="BodyTextIndent2Char"/>
    <w:rsid w:val="00AD2E38"/>
    <w:pPr>
      <w:spacing w:line="480" w:lineRule="auto"/>
      <w:ind w:left="720" w:firstLine="720"/>
    </w:pPr>
  </w:style>
  <w:style w:type="character" w:customStyle="1" w:styleId="BodyTextIndent2Char">
    <w:name w:val="Body Text Indent 2 Char"/>
    <w:basedOn w:val="DefaultParagraphFont"/>
    <w:link w:val="BodyTextIndent2"/>
    <w:rPr>
      <w:sz w:val="24"/>
      <w:szCs w:val="24"/>
    </w:rPr>
  </w:style>
  <w:style w:type="paragraph" w:styleId="EndnoteText">
    <w:name w:val="endnote text"/>
    <w:basedOn w:val="Normal"/>
    <w:link w:val="EndnoteTextChar"/>
    <w:semiHidden/>
    <w:rsid w:val="00AD2E38"/>
    <w:rPr>
      <w:sz w:val="20"/>
    </w:rPr>
  </w:style>
  <w:style w:type="character" w:customStyle="1" w:styleId="EndnoteTextChar">
    <w:name w:val="Endnote Text Char"/>
    <w:basedOn w:val="DefaultParagraphFont"/>
    <w:link w:val="EndnoteText"/>
    <w:semiHidden/>
    <w:rPr>
      <w:szCs w:val="24"/>
    </w:rPr>
  </w:style>
  <w:style w:type="character" w:styleId="EndnoteReference">
    <w:name w:val="endnote reference"/>
    <w:basedOn w:val="DefaultParagraphFont"/>
    <w:semiHidden/>
    <w:rPr>
      <w:rFonts w:cs="Times New Roman"/>
      <w:vertAlign w:val="superscript"/>
    </w:rPr>
  </w:style>
  <w:style w:type="paragraph" w:styleId="FootnoteText">
    <w:name w:val="footnote text"/>
    <w:basedOn w:val="Normal"/>
    <w:link w:val="FootnoteTextChar"/>
    <w:uiPriority w:val="99"/>
    <w:semiHidden/>
    <w:rsid w:val="00AD2E38"/>
    <w:pPr>
      <w:jc w:val="both"/>
    </w:pPr>
    <w:rPr>
      <w:sz w:val="20"/>
    </w:rPr>
  </w:style>
  <w:style w:type="character" w:customStyle="1" w:styleId="FootnoteTextChar">
    <w:name w:val="Footnote Text Char"/>
    <w:basedOn w:val="DefaultParagraphFont"/>
    <w:link w:val="FootnoteText"/>
    <w:uiPriority w:val="99"/>
    <w:semiHidden/>
    <w:locked/>
    <w:rPr>
      <w:szCs w:val="24"/>
    </w:rPr>
  </w:style>
  <w:style w:type="paragraph" w:styleId="Footer">
    <w:name w:val="footer"/>
    <w:basedOn w:val="Normal"/>
    <w:link w:val="FooterChar"/>
    <w:uiPriority w:val="99"/>
    <w:rsid w:val="00AD2E38"/>
    <w:pPr>
      <w:tabs>
        <w:tab w:val="center" w:pos="4320"/>
        <w:tab w:val="right" w:pos="8640"/>
      </w:tabs>
    </w:p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rsid w:val="00AD2E38"/>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sid w:val="00AD2E3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4509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2018-06-12T19:20:00Z</dcterms:created>
  <dcterms:modified xsi:type="dcterms:W3CDTF">2018-06-12T19:20:00Z</dcterms:modified>
</cp:coreProperties>
</file>