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D9" w:rsidRDefault="00575FE7">
      <w:pPr>
        <w:pStyle w:val="Heading2"/>
      </w:pPr>
      <w:bookmarkStart w:id="0" w:name="_Toc263691845"/>
      <w:bookmarkStart w:id="1" w:name="_GoBack"/>
      <w:bookmarkEnd w:id="1"/>
      <w:r>
        <w:t>26.5</w:t>
      </w:r>
      <w:r>
        <w:tab/>
        <w:t>Unsecured Credit</w:t>
      </w:r>
      <w:bookmarkEnd w:id="0"/>
    </w:p>
    <w:p w:rsidR="003512D9" w:rsidRDefault="00575FE7">
      <w:pPr>
        <w:pStyle w:val="Bodypara"/>
      </w:pPr>
      <w:r>
        <w:t xml:space="preserve">A Customer may use Unsecured Credit to satisfy any part of its Operating Requirement or Bidding Requirement other than (i) any credit requirement for bidding on or holding TCCs, (ii) the Projected True-Up Exposure Component, (iii) </w:t>
      </w:r>
      <w:r>
        <w:t>the Former RMR Generator Component, or (iv) a withdrawing Customer’s required collateral.  Affiliate guarantees are considered a form of Unsecured Credit.</w:t>
      </w:r>
    </w:p>
    <w:p w:rsidR="003512D9" w:rsidRDefault="00575FE7">
      <w:pPr>
        <w:pStyle w:val="Bodypara"/>
      </w:pPr>
      <w:r>
        <w:t>Upon written request of a Customer, the ISO shall determine the amount of Unsecured Credit to be gran</w:t>
      </w:r>
      <w:r>
        <w:t>ted to the Customer, if any, in accordance with the ISO’s creditworthiness requirements.  Upon a Customer’s written request, the ISO will provide a written explanation for any changes in the amount of the Customer’s Unsecured Credit.</w:t>
      </w:r>
    </w:p>
    <w:p w:rsidR="003512D9" w:rsidRDefault="00575FE7">
      <w:pPr>
        <w:pStyle w:val="Heading3"/>
      </w:pPr>
      <w:bookmarkStart w:id="2" w:name="_Toc263691846"/>
      <w:r>
        <w:t>26.5.1</w:t>
      </w:r>
      <w:r>
        <w:tab/>
        <w:t>Eligibilit</w:t>
      </w:r>
      <w:bookmarkEnd w:id="2"/>
      <w:r>
        <w:t>y</w:t>
      </w:r>
    </w:p>
    <w:p w:rsidR="003512D9" w:rsidRDefault="00575FE7">
      <w:pPr>
        <w:pStyle w:val="Bodypara"/>
      </w:pPr>
      <w:r>
        <w:t>A C</w:t>
      </w:r>
      <w:r>
        <w:t>ustomer may be eligible to receive Unsecured Credit if the Customer meets the following criteria:</w:t>
      </w:r>
    </w:p>
    <w:p w:rsidR="003512D9" w:rsidRDefault="00575FE7">
      <w:pPr>
        <w:pStyle w:val="Bodypara"/>
      </w:pPr>
      <w:r>
        <w:t>(i)</w:t>
      </w:r>
      <w:r>
        <w:tab/>
        <w:t>Creditworthiness</w:t>
      </w:r>
    </w:p>
    <w:p w:rsidR="003512D9" w:rsidRDefault="00575FE7">
      <w:pPr>
        <w:pStyle w:val="Bodypara"/>
      </w:pPr>
      <w:r>
        <w:t>(a)</w:t>
      </w:r>
      <w:r>
        <w:tab/>
        <w:t xml:space="preserve">is an Investment Grade Customer,  </w:t>
      </w:r>
    </w:p>
    <w:p w:rsidR="003512D9" w:rsidRDefault="00575FE7">
      <w:pPr>
        <w:pStyle w:val="Bodypara"/>
      </w:pPr>
      <w:r>
        <w:t>(b)</w:t>
      </w:r>
      <w:r>
        <w:tab/>
        <w:t xml:space="preserve">is an Unrated Customer that is deemed an Investment Grade Customer pursuant to an Equivalency </w:t>
      </w:r>
      <w:r>
        <w:t>Rating, or</w:t>
      </w:r>
    </w:p>
    <w:p w:rsidR="003512D9" w:rsidRDefault="00575FE7">
      <w:pPr>
        <w:pStyle w:val="Bodypara"/>
      </w:pPr>
      <w:r>
        <w:t>(c)</w:t>
      </w:r>
      <w:r>
        <w:tab/>
        <w:t>provides an Affiliate guarantee in compliance with Section 26.5.4 of this Attachment K;</w:t>
      </w:r>
    </w:p>
    <w:p w:rsidR="003512D9" w:rsidRDefault="00575FE7">
      <w:pPr>
        <w:pStyle w:val="Bodypara"/>
      </w:pPr>
      <w:r>
        <w:t xml:space="preserve">AND </w:t>
      </w:r>
    </w:p>
    <w:p w:rsidR="003512D9" w:rsidRDefault="00575FE7">
      <w:pPr>
        <w:pStyle w:val="Bodypara"/>
      </w:pPr>
      <w:r>
        <w:t>(ii)</w:t>
      </w:r>
      <w:r>
        <w:tab/>
        <w:t>Payment History</w:t>
      </w:r>
    </w:p>
    <w:p w:rsidR="003512D9" w:rsidRDefault="00575FE7">
      <w:pPr>
        <w:pStyle w:val="Bodypara"/>
      </w:pPr>
      <w:r>
        <w:t>(a)</w:t>
      </w:r>
      <w:r>
        <w:tab/>
        <w:t>has actively participated in the ISO-Administered markets and paid when due all of its invoices during the immediately prec</w:t>
      </w:r>
      <w:r>
        <w:t xml:space="preserve">eding six months, or </w:t>
      </w:r>
    </w:p>
    <w:p w:rsidR="003512D9" w:rsidRDefault="00575FE7">
      <w:pPr>
        <w:pStyle w:val="Bodypara"/>
      </w:pPr>
      <w:r>
        <w:lastRenderedPageBreak/>
        <w:t>(b)</w:t>
      </w:r>
      <w:r>
        <w:tab/>
        <w:t xml:space="preserve"> has actively participated in the markets of another independent system operator or regional transmission organization and has paid when due all of its invoices during the immediately preceding six months.  Any Customer relying on</w:t>
      </w:r>
      <w:r>
        <w:t xml:space="preserve"> its payment history in another market to fulfill the requirement of this Section 26.5.1(ii) must provide evidence satisfactory to the ISO of such payment history.</w:t>
      </w:r>
    </w:p>
    <w:p w:rsidR="003512D9" w:rsidRDefault="00575FE7">
      <w:pPr>
        <w:pStyle w:val="Bodypara"/>
      </w:pPr>
      <w:r>
        <w:t>Notwithstanding the foregoing, a Customer otherwise eligible for Unsecured Credit that fails</w:t>
      </w:r>
      <w:r>
        <w:t xml:space="preserve"> to respond to the ISO’s request to update the Customer’s list of Affiliates, within the time frame provided by Section 9.2 of the ISO Services Tariff, shall not be eligible for Unsecured Credit.</w:t>
      </w:r>
    </w:p>
    <w:p w:rsidR="003512D9" w:rsidRDefault="00575FE7">
      <w:pPr>
        <w:pStyle w:val="Heading3"/>
      </w:pPr>
      <w:bookmarkStart w:id="3" w:name="_Toc263691847"/>
      <w:r>
        <w:t>26.5.2</w:t>
      </w:r>
      <w:r>
        <w:tab/>
        <w:t>Market Concentration Cap</w:t>
      </w:r>
      <w:bookmarkEnd w:id="3"/>
      <w:r>
        <w:t xml:space="preserve"> </w:t>
      </w:r>
    </w:p>
    <w:p w:rsidR="003512D9" w:rsidRDefault="00575FE7">
      <w:pPr>
        <w:pStyle w:val="Bodypara"/>
      </w:pPr>
      <w:r>
        <w:t>A Customer’s Unsecured Cred</w:t>
      </w:r>
      <w:r>
        <w:t>it shall not exceed fifty million dollars ($50M) (the “Market Concentration Cap”).  Moreover, the maximum amount of Unsecured Credit extended to a group of Customers that are Affiliates shall not exceed, in the aggregate, the Market Concentration Cap.</w:t>
      </w:r>
    </w:p>
    <w:p w:rsidR="003512D9" w:rsidRDefault="00575FE7">
      <w:pPr>
        <w:pStyle w:val="Heading3"/>
      </w:pPr>
      <w:bookmarkStart w:id="4" w:name="_Toc263691848"/>
      <w:r>
        <w:t>26.5</w:t>
      </w:r>
      <w:r>
        <w:t>.3</w:t>
      </w:r>
      <w:r>
        <w:tab/>
        <w:t>Determination of Unsecured Credit</w:t>
      </w:r>
      <w:bookmarkEnd w:id="4"/>
      <w:r>
        <w:t xml:space="preserve"> </w:t>
      </w:r>
    </w:p>
    <w:p w:rsidR="003512D9" w:rsidRDefault="00575FE7">
      <w:pPr>
        <w:pStyle w:val="Heading4"/>
      </w:pPr>
      <w:bookmarkStart w:id="5" w:name="_Toc263691849"/>
      <w:r>
        <w:t>26.5.3.1</w:t>
      </w:r>
      <w:r>
        <w:tab/>
        <w:t>Starting Point</w:t>
      </w:r>
      <w:bookmarkEnd w:id="5"/>
    </w:p>
    <w:p w:rsidR="003512D9" w:rsidRDefault="00575FE7">
      <w:pPr>
        <w:pStyle w:val="Bodypara"/>
      </w:pPr>
      <w:r>
        <w:t>The starting point for determining the amount of Unsecured Credit to be granted to an Investment Grade Customer, except as provided otherwise in Section 26.5.3.6 of this Attachment K, shall be a</w:t>
      </w:r>
      <w:r>
        <w:t xml:space="preserve"> percentage of its Tangible Net Worth, as indicated on the matrix contained in Table K-1, subject to the Market Concentration Cap.  </w:t>
      </w:r>
    </w:p>
    <w:p w:rsidR="003512D9" w:rsidRDefault="00575FE7">
      <w:pPr>
        <w:pStyle w:val="Tablecaption"/>
      </w:pPr>
      <w:r>
        <w:t>Table K-1</w:t>
      </w:r>
      <w:r>
        <w:tab/>
        <w:t>Tangible Net Worth Credit Matrix</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307"/>
      </w:tblGrid>
      <w:tr w:rsidR="00F5350E">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3512D9" w:rsidRDefault="00575FE7">
            <w:pPr>
              <w:spacing w:before="60" w:after="6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Customer Rating</w:t>
            </w:r>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Starting Point for Determining Unsecured </w:t>
            </w:r>
            <w:r>
              <w:rPr>
                <w:rFonts w:ascii="Times New Roman" w:hAnsi="Times New Roman" w:cs="Times New Roman"/>
                <w:b/>
                <w:bCs/>
                <w:sz w:val="24"/>
                <w:szCs w:val="24"/>
              </w:rPr>
              <w:lastRenderedPageBreak/>
              <w:t>Credit</w:t>
            </w:r>
          </w:p>
        </w:tc>
      </w:tr>
      <w:tr w:rsidR="00F5350E">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Senior </w:t>
            </w:r>
            <w:r>
              <w:rPr>
                <w:rFonts w:ascii="Times New Roman" w:hAnsi="Times New Roman" w:cs="Times New Roman"/>
                <w:sz w:val="24"/>
                <w:szCs w:val="24"/>
              </w:rPr>
              <w:t>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Issuer Rating or </w:t>
            </w:r>
            <w:r>
              <w:rPr>
                <w:rFonts w:ascii="Times New Roman" w:hAnsi="Times New Roman" w:cs="Times New Roman"/>
                <w:sz w:val="24"/>
                <w:szCs w:val="24"/>
              </w:rPr>
              <w:br/>
              <w:t>Equivalency Rating</w:t>
            </w:r>
          </w:p>
        </w:tc>
        <w:tc>
          <w:tcPr>
            <w:tcW w:w="3307" w:type="dxa"/>
            <w:vMerge w:val="restart"/>
            <w:tcBorders>
              <w:top w:val="single" w:sz="4" w:space="0" w:color="auto"/>
              <w:left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u w:val="single"/>
              </w:rPr>
            </w:pPr>
            <w:r>
              <w:rPr>
                <w:rFonts w:ascii="Times New Roman" w:hAnsi="Times New Roman" w:cs="Times New Roman"/>
                <w:sz w:val="24"/>
                <w:szCs w:val="24"/>
              </w:rPr>
              <w:t>(% of Tangible Net Worth)</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3307" w:type="dxa"/>
            <w:vMerge/>
            <w:tcBorders>
              <w:left w:val="single" w:sz="4" w:space="0" w:color="auto"/>
              <w:bottom w:val="single" w:sz="4" w:space="0" w:color="auto"/>
              <w:right w:val="single" w:sz="4" w:space="0" w:color="auto"/>
            </w:tcBorders>
            <w:shd w:val="clear" w:color="auto" w:fill="D9D9D9"/>
            <w:vAlign w:val="center"/>
          </w:tcPr>
          <w:p w:rsidR="003512D9" w:rsidRDefault="00575FE7">
            <w:pPr>
              <w:spacing w:before="60" w:after="60" w:line="240" w:lineRule="auto"/>
              <w:jc w:val="center"/>
              <w:rPr>
                <w:rFonts w:ascii="Times New Roman" w:hAnsi="Times New Roman" w:cs="Times New Roman"/>
                <w:sz w:val="24"/>
                <w:szCs w:val="24"/>
              </w:rPr>
            </w:pP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b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b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rPr>
              <w:b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Aa3</w:t>
            </w:r>
            <w:r>
              <w:rPr>
                <w:rFonts w:ascii="Times New Roman" w:hAnsi="Times New Roman" w:cs="Times New Roman"/>
                <w:sz w:val="24"/>
                <w:szCs w:val="24"/>
              </w:rPr>
              <w:br/>
              <w:t>or higher</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5350E">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5350E">
        <w:trPr>
          <w:cantSplit/>
          <w:trHeight w:val="746"/>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br/>
              <w:t>or lower</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Ba1</w:t>
            </w:r>
            <w:r>
              <w:rPr>
                <w:rFonts w:ascii="Times New Roman" w:hAnsi="Times New Roman" w:cs="Times New Roman"/>
                <w:sz w:val="24"/>
                <w:szCs w:val="24"/>
              </w:rPr>
              <w:br/>
              <w:t>or lower</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r>
              <w:rPr>
                <w:rFonts w:ascii="Times New Roman" w:hAnsi="Times New Roman" w:cs="Times New Roman"/>
                <w:sz w:val="24"/>
                <w:szCs w:val="24"/>
              </w:rPr>
              <w:br/>
              <w:t>or lower</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r>
              <w:rPr>
                <w:rFonts w:ascii="Times New Roman" w:hAnsi="Times New Roman" w:cs="Times New Roman"/>
                <w:sz w:val="24"/>
                <w:szCs w:val="24"/>
              </w:rPr>
              <w:br/>
              <w:t>or lower</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512D9" w:rsidRDefault="00575FE7">
      <w:pPr>
        <w:pStyle w:val="Bodypara"/>
      </w:pPr>
      <w:bookmarkStart w:id="6" w:name="_Toc263691850"/>
    </w:p>
    <w:p w:rsidR="003512D9" w:rsidRDefault="00575FE7">
      <w:pPr>
        <w:pStyle w:val="Heading4"/>
      </w:pPr>
      <w:r>
        <w:t>26.5.3.2</w:t>
      </w:r>
      <w:r>
        <w:tab/>
        <w:t>Adjustment to Starting Point</w:t>
      </w:r>
      <w:bookmarkEnd w:id="6"/>
      <w:r>
        <w:t xml:space="preserve">  </w:t>
      </w:r>
    </w:p>
    <w:p w:rsidR="003512D9" w:rsidRDefault="00575FE7">
      <w:pPr>
        <w:pStyle w:val="Bodypara"/>
      </w:pPr>
      <w:r>
        <w:t xml:space="preserve">The ISO shall conduct a Credit Assessment of the Customer and shall </w:t>
      </w:r>
      <w:r>
        <w:t>determine the amount of Unsecured Credit that it shall grant to the Customer by adjusting the Customer’s starting point in accordance with the following table:</w:t>
      </w:r>
    </w:p>
    <w:p w:rsidR="003512D9" w:rsidRDefault="00575FE7">
      <w:pPr>
        <w:pStyle w:val="Bodypara"/>
      </w:pPr>
    </w:p>
    <w:p w:rsidR="003512D9" w:rsidRDefault="00575FE7">
      <w:pPr>
        <w:pStyle w:val="Tablecaption"/>
      </w:pPr>
      <w: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F5350E">
        <w:trPr>
          <w:trHeight w:val="585"/>
          <w:tblCellSpacing w:w="0" w:type="dxa"/>
        </w:trPr>
        <w:tc>
          <w:tcPr>
            <w:tcW w:w="1380" w:type="dxa"/>
            <w:vAlign w:val="bottom"/>
          </w:tcPr>
          <w:p w:rsidR="003512D9" w:rsidRDefault="00575FE7">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3512D9" w:rsidRDefault="00575FE7">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t>Ad</w:t>
            </w:r>
            <w:r>
              <w:rPr>
                <w:rFonts w:ascii="Times New Roman" w:hAnsi="Times New Roman" w:cs="Times New Roman"/>
                <w:b/>
                <w:bCs/>
                <w:sz w:val="24"/>
                <w:szCs w:val="24"/>
              </w:rPr>
              <w:t>justment</w:t>
            </w:r>
          </w:p>
        </w:tc>
      </w:tr>
      <w:tr w:rsidR="00F5350E">
        <w:trPr>
          <w:trHeight w:val="315"/>
          <w:tblCellSpacing w:w="0" w:type="dxa"/>
        </w:trPr>
        <w:tc>
          <w:tcPr>
            <w:tcW w:w="1380" w:type="dxa"/>
          </w:tcPr>
          <w:p w:rsidR="003512D9" w:rsidRDefault="00575FE7">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5350E">
        <w:trPr>
          <w:trHeight w:val="285"/>
          <w:tblCellSpacing w:w="0" w:type="dxa"/>
        </w:trPr>
        <w:tc>
          <w:tcPr>
            <w:tcW w:w="1380" w:type="dxa"/>
          </w:tcPr>
          <w:p w:rsidR="003512D9" w:rsidRDefault="00575FE7">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3512D9" w:rsidRDefault="00575FE7">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3512D9" w:rsidRDefault="00575FE7">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F5350E">
        <w:trPr>
          <w:trHeight w:val="285"/>
          <w:tblCellSpacing w:w="0" w:type="dxa"/>
        </w:trPr>
        <w:tc>
          <w:tcPr>
            <w:tcW w:w="1380" w:type="dxa"/>
          </w:tcPr>
          <w:p w:rsidR="003512D9" w:rsidRDefault="00575FE7">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5350E">
        <w:trPr>
          <w:trHeight w:val="300"/>
          <w:tblCellSpacing w:w="0" w:type="dxa"/>
        </w:trPr>
        <w:tc>
          <w:tcPr>
            <w:tcW w:w="1380" w:type="dxa"/>
          </w:tcPr>
          <w:p w:rsidR="003512D9" w:rsidRDefault="00575FE7">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F5350E">
        <w:trPr>
          <w:trHeight w:val="192"/>
          <w:tblCellSpacing w:w="0" w:type="dxa"/>
        </w:trPr>
        <w:tc>
          <w:tcPr>
            <w:tcW w:w="1380" w:type="dxa"/>
          </w:tcPr>
          <w:p w:rsidR="003512D9" w:rsidRDefault="00575FE7">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3512D9" w:rsidRDefault="00575FE7">
      <w:pPr>
        <w:rPr>
          <w:rFonts w:ascii="Times New Roman" w:hAnsi="Times New Roman" w:cs="Times New Roman"/>
          <w:bCs/>
          <w:sz w:val="24"/>
          <w:szCs w:val="24"/>
        </w:rPr>
      </w:pPr>
    </w:p>
    <w:p w:rsidR="003512D9" w:rsidRDefault="00575FE7">
      <w:pPr>
        <w:pStyle w:val="Heading4"/>
      </w:pPr>
      <w:bookmarkStart w:id="7" w:name="_Toc263691851"/>
      <w:r>
        <w:t>26.5.3.3</w:t>
      </w:r>
      <w:r>
        <w:tab/>
        <w:t>Adjustment to Unsecured Credit</w:t>
      </w:r>
      <w:bookmarkEnd w:id="7"/>
    </w:p>
    <w:p w:rsidR="003512D9" w:rsidRDefault="00575FE7">
      <w:pPr>
        <w:pStyle w:val="alphapara"/>
      </w:pPr>
      <w:r>
        <w:t>(a)</w:t>
      </w:r>
      <w:r>
        <w:tab/>
        <w:t xml:space="preserve">In the event of a change in a </w:t>
      </w:r>
      <w:r>
        <w:t>Customer’s (1) Tangible Net Worth, and/or (2) agency rating, the ISO shall recalculate the Customer’s starting point and Unsecured Credit amount in accordance with Sections 26.5.3.1 and 26.5.3.2 of this Attachment K.</w:t>
      </w:r>
    </w:p>
    <w:p w:rsidR="003512D9" w:rsidRDefault="00575FE7">
      <w:pPr>
        <w:pStyle w:val="alphapara"/>
      </w:pPr>
      <w:r>
        <w:t>(b)</w:t>
      </w:r>
      <w:r>
        <w:tab/>
        <w:t>The ISO may conduct a Credit Assess</w:t>
      </w:r>
      <w:r>
        <w:t>ment of a Customer at any time and adjust the amount of Unsecured Credit granted to the Customer in accordance with the following table:</w:t>
      </w:r>
    </w:p>
    <w:p w:rsidR="003512D9" w:rsidRDefault="00575FE7">
      <w:pPr>
        <w:pStyle w:val="Tablecaption"/>
      </w:pPr>
      <w:r>
        <w:t>Unsecured Credit Adjustment</w:t>
      </w:r>
      <w:r>
        <w:b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F5350E">
        <w:trPr>
          <w:trHeight w:val="585"/>
          <w:tblCellSpacing w:w="0" w:type="dxa"/>
        </w:trPr>
        <w:tc>
          <w:tcPr>
            <w:tcW w:w="899"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3512D9" w:rsidRDefault="00575FE7">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F5350E">
        <w:trPr>
          <w:trHeight w:val="315"/>
          <w:tblCellSpacing w:w="0" w:type="dxa"/>
        </w:trPr>
        <w:tc>
          <w:tcPr>
            <w:tcW w:w="899" w:type="dxa"/>
            <w:vAlign w:val="center"/>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rsidR="003512D9" w:rsidRDefault="00575FE7">
                        <w:pPr>
                          <w:jc w:val="center"/>
                        </w:pPr>
                        <w:r>
                          <w:rPr>
                            <w:b/>
                          </w:rPr>
                          <w:t xml:space="preserve">Prior Credit Assessment </w:t>
                        </w:r>
                        <w:r>
                          <w:rPr>
                            <w:b/>
                          </w:rPr>
                          <w:t>Score Bucket</w:t>
                        </w:r>
                      </w:p>
                    </w:txbxContent>
                  </v:textbox>
                </v:shape>
              </w:pict>
            </w:r>
            <w:r>
              <w:rPr>
                <w:rFonts w:ascii="Times New Roman" w:hAnsi="Times New Roman" w:cs="Times New Roman"/>
                <w:sz w:val="24"/>
                <w:szCs w:val="24"/>
              </w:rPr>
              <w:t>1</w:t>
            </w:r>
          </w:p>
        </w:tc>
        <w:tc>
          <w:tcPr>
            <w:tcW w:w="8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8"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34"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2"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5350E">
        <w:trPr>
          <w:trHeight w:val="285"/>
          <w:tblCellSpacing w:w="0" w:type="dxa"/>
        </w:trPr>
        <w:tc>
          <w:tcPr>
            <w:tcW w:w="899" w:type="dxa"/>
            <w:vAlign w:val="center"/>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34"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2"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5350E">
        <w:trPr>
          <w:trHeight w:val="285"/>
          <w:tblCellSpacing w:w="0" w:type="dxa"/>
        </w:trPr>
        <w:tc>
          <w:tcPr>
            <w:tcW w:w="899" w:type="dxa"/>
            <w:vAlign w:val="center"/>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23"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92"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5350E">
        <w:trPr>
          <w:trHeight w:val="300"/>
          <w:tblCellSpacing w:w="0" w:type="dxa"/>
        </w:trPr>
        <w:tc>
          <w:tcPr>
            <w:tcW w:w="899" w:type="dxa"/>
            <w:vAlign w:val="center"/>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38"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23"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034"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5350E">
        <w:trPr>
          <w:trHeight w:val="192"/>
          <w:tblCellSpacing w:w="0" w:type="dxa"/>
        </w:trPr>
        <w:tc>
          <w:tcPr>
            <w:tcW w:w="899" w:type="dxa"/>
            <w:vAlign w:val="center"/>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838"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23"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034"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292" w:type="dxa"/>
          </w:tcPr>
          <w:p w:rsidR="003512D9" w:rsidRDefault="00575FE7">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r>
    </w:tbl>
    <w:p w:rsidR="003512D9" w:rsidRDefault="00575FE7">
      <w:pPr>
        <w:pStyle w:val="Bodypara"/>
      </w:pPr>
    </w:p>
    <w:p w:rsidR="003512D9" w:rsidRDefault="00575FE7">
      <w:pPr>
        <w:pStyle w:val="Heading4"/>
      </w:pPr>
      <w:bookmarkStart w:id="8" w:name="_Toc263691852"/>
      <w:r>
        <w:t>26.5.3.4</w:t>
      </w:r>
      <w:r>
        <w:tab/>
        <w:t>Restoration of Unsecured Credit</w:t>
      </w:r>
      <w:bookmarkEnd w:id="8"/>
      <w:r>
        <w:t xml:space="preserve">  </w:t>
      </w:r>
    </w:p>
    <w:p w:rsidR="003512D9" w:rsidRDefault="00575FE7">
      <w:pPr>
        <w:pStyle w:val="Bodypara"/>
      </w:pPr>
      <w:r>
        <w:t xml:space="preserve">A Customer that is subject to a 100% reduction of Unsecured Credit </w:t>
      </w:r>
      <w:r>
        <w:t>shall not be eligible for Unsecured Credit again until the Customer demonstrates two consecutive quarters of financial performance that would otherwise have qualified the Customer for Unsecured Credit in accordance with Sections 26.5.3.1 and 26.5.3.2 of th</w:t>
      </w:r>
      <w:r>
        <w:t>is Attachment K.</w:t>
      </w:r>
    </w:p>
    <w:p w:rsidR="003512D9" w:rsidRDefault="00575FE7">
      <w:pPr>
        <w:pStyle w:val="Heading4"/>
      </w:pPr>
      <w:bookmarkStart w:id="9" w:name="_Toc263691853"/>
      <w:r>
        <w:t>26.5.3.5</w:t>
      </w:r>
      <w:r>
        <w:tab/>
        <w:t>Credit Assessment</w:t>
      </w:r>
      <w:bookmarkEnd w:id="9"/>
    </w:p>
    <w:p w:rsidR="003512D9" w:rsidRDefault="00575FE7">
      <w:pPr>
        <w:pStyle w:val="alphapara"/>
      </w:pPr>
      <w:r>
        <w:t>(a)</w:t>
      </w:r>
      <w:r>
        <w:tab/>
        <w:t>In performing a Credit Assessment, the ISO shall evaluate specified indicators of credit risk pertaining to a Customer, which indicators will vary depending on whether the Customer is categorized by the ISO a</w:t>
      </w:r>
      <w:r>
        <w:t xml:space="preserve">s a </w:t>
      </w:r>
      <w:smartTag w:uri="schemas-workshare-com/workshare" w:element="confidentialinformationexposure">
        <w:smartTagPr>
          <w:attr w:name="TagType" w:val="5"/>
        </w:smartTagPr>
        <w:r>
          <w:t>private</w:t>
        </w:r>
      </w:smartTag>
      <w:r>
        <w:t xml:space="preserve"> entity or a public entity.  The ISO shall categorize a Customer as </w:t>
      </w:r>
      <w:smartTag w:uri="schemas-workshare-com/workshare" w:element="confidentialinformationexposure">
        <w:smartTagPr>
          <w:attr w:name="TagType" w:val="5"/>
        </w:smartTagPr>
        <w:r>
          <w:t>private</w:t>
        </w:r>
      </w:smartTag>
      <w: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F5350E">
        <w:trPr>
          <w:trHeight w:val="1060"/>
          <w:tblCellSpacing w:w="0" w:type="dxa"/>
        </w:trPr>
        <w:tc>
          <w:tcPr>
            <w:tcW w:w="4005" w:type="dxa"/>
            <w:tcBorders>
              <w:top w:val="single" w:sz="6" w:space="0" w:color="000000"/>
            </w:tcBorders>
            <w:vAlign w:val="center"/>
          </w:tcPr>
          <w:p w:rsidR="003512D9" w:rsidRDefault="00575FE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t>Criteria</w:t>
            </w:r>
          </w:p>
        </w:tc>
        <w:tc>
          <w:tcPr>
            <w:tcW w:w="3960" w:type="dxa"/>
            <w:tcBorders>
              <w:top w:val="single" w:sz="6" w:space="0" w:color="000000"/>
            </w:tcBorders>
            <w:vAlign w:val="center"/>
          </w:tcPr>
          <w:p w:rsidR="003512D9" w:rsidRDefault="00575FE7">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t>Criteria</w:t>
            </w:r>
          </w:p>
        </w:tc>
        <w:tc>
          <w:tcPr>
            <w:tcW w:w="1770" w:type="dxa"/>
            <w:tcBorders>
              <w:top w:val="single" w:sz="6" w:space="0" w:color="000000"/>
            </w:tcBorders>
            <w:vAlign w:val="center"/>
          </w:tcPr>
          <w:p w:rsidR="003512D9" w:rsidRDefault="00575FE7">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t>Category</w:t>
            </w:r>
          </w:p>
        </w:tc>
      </w:tr>
      <w:tr w:rsidR="00F5350E">
        <w:trPr>
          <w:trHeight w:val="432"/>
          <w:tblCellSpacing w:w="0" w:type="dxa"/>
        </w:trPr>
        <w:tc>
          <w:tcPr>
            <w:tcW w:w="4005" w:type="dxa"/>
            <w:vAlign w:val="center"/>
          </w:tcPr>
          <w:p w:rsidR="003512D9" w:rsidRDefault="00575FE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Standalone public </w:t>
            </w:r>
            <w:r>
              <w:rPr>
                <w:rFonts w:ascii="Times New Roman" w:hAnsi="Times New Roman" w:cs="Times New Roman"/>
                <w:sz w:val="24"/>
                <w:szCs w:val="24"/>
              </w:rPr>
              <w:t>trading company</w:t>
            </w:r>
          </w:p>
        </w:tc>
        <w:tc>
          <w:tcPr>
            <w:tcW w:w="3960" w:type="dxa"/>
            <w:vAlign w:val="center"/>
          </w:tcPr>
          <w:p w:rsidR="003512D9" w:rsidRDefault="00575FE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575FE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F5350E">
        <w:trPr>
          <w:trHeight w:val="445"/>
          <w:tblCellSpacing w:w="0" w:type="dxa"/>
        </w:trPr>
        <w:tc>
          <w:tcPr>
            <w:tcW w:w="4005" w:type="dxa"/>
            <w:vAlign w:val="center"/>
          </w:tcPr>
          <w:p w:rsidR="003512D9" w:rsidRDefault="00575FE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vAlign w:val="center"/>
          </w:tcPr>
          <w:p w:rsidR="003512D9" w:rsidRDefault="00575FE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575FE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F5350E">
        <w:trPr>
          <w:trHeight w:val="432"/>
          <w:tblCellSpacing w:w="0" w:type="dxa"/>
        </w:trPr>
        <w:tc>
          <w:tcPr>
            <w:tcW w:w="4005" w:type="dxa"/>
            <w:vAlign w:val="center"/>
          </w:tcPr>
          <w:p w:rsidR="003512D9" w:rsidRDefault="00575FE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575FE7">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3512D9" w:rsidRDefault="00575FE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F5350E">
        <w:trPr>
          <w:trHeight w:val="432"/>
          <w:tblCellSpacing w:w="0" w:type="dxa"/>
        </w:trPr>
        <w:tc>
          <w:tcPr>
            <w:tcW w:w="4005" w:type="dxa"/>
            <w:vAlign w:val="center"/>
          </w:tcPr>
          <w:p w:rsidR="003512D9" w:rsidRDefault="00575FE7">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575FE7">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 xml:space="preserve">Contributes 50% or more of its parent </w:t>
            </w:r>
            <w:r>
              <w:rPr>
                <w:rFonts w:ascii="Times New Roman" w:hAnsi="Times New Roman" w:cs="Times New Roman"/>
                <w:sz w:val="24"/>
                <w:szCs w:val="24"/>
              </w:rPr>
              <w:t>company’s revenues or accounts for 50% or more of its assets</w:t>
            </w:r>
          </w:p>
        </w:tc>
        <w:tc>
          <w:tcPr>
            <w:tcW w:w="1770" w:type="dxa"/>
            <w:vAlign w:val="center"/>
          </w:tcPr>
          <w:p w:rsidR="003512D9" w:rsidRDefault="00575FE7">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F5350E">
        <w:trPr>
          <w:trHeight w:val="877"/>
          <w:tblCellSpacing w:w="0" w:type="dxa"/>
        </w:trPr>
        <w:tc>
          <w:tcPr>
            <w:tcW w:w="4005" w:type="dxa"/>
            <w:vAlign w:val="center"/>
          </w:tcPr>
          <w:p w:rsidR="003512D9" w:rsidRDefault="00575FE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575FE7">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Contributes less than 50% of its parent company’s revenues or represents less than 50% of its assets</w:t>
            </w:r>
          </w:p>
        </w:tc>
        <w:tc>
          <w:tcPr>
            <w:tcW w:w="1770" w:type="dxa"/>
            <w:vAlign w:val="center"/>
          </w:tcPr>
          <w:p w:rsidR="003512D9" w:rsidRDefault="00575FE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F5350E">
        <w:trPr>
          <w:trHeight w:val="432"/>
          <w:tblCellSpacing w:w="0" w:type="dxa"/>
        </w:trPr>
        <w:tc>
          <w:tcPr>
            <w:tcW w:w="4005" w:type="dxa"/>
            <w:vAlign w:val="center"/>
          </w:tcPr>
          <w:p w:rsidR="003512D9" w:rsidRDefault="00575FE7">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3512D9" w:rsidRDefault="00575FE7">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575FE7">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3512D9" w:rsidRDefault="00575FE7">
      <w:pPr>
        <w:pStyle w:val="alphapara"/>
      </w:pPr>
    </w:p>
    <w:p w:rsidR="003512D9" w:rsidRDefault="00575FE7">
      <w:pPr>
        <w:pStyle w:val="alphapara"/>
      </w:pPr>
      <w:r>
        <w:t>(b)</w:t>
      </w:r>
      <w:r>
        <w:tab/>
        <w:t>The ISO shall determine the Credit Assessment score for a Customer based upon the market and financial indicators and weightings, as appropriate, set forth below.</w:t>
      </w:r>
    </w:p>
    <w:p w:rsidR="003512D9" w:rsidRDefault="00575FE7">
      <w:pPr>
        <w:spacing w:line="480" w:lineRule="auto"/>
        <w:ind w:left="720" w:right="-90"/>
        <w:rPr>
          <w:rFonts w:ascii="Times New Roman" w:hAnsi="Times New Roman" w:cs="Times New Roman"/>
          <w:b/>
          <w:sz w:val="24"/>
          <w:szCs w:val="24"/>
        </w:rPr>
      </w:pPr>
    </w:p>
    <w:p w:rsidR="003512D9" w:rsidRDefault="00575FE7">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Public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 xml:space="preserve">Absolute CDS </w:t>
      </w:r>
      <w:r>
        <w:rPr>
          <w:rFonts w:ascii="Times New Roman" w:hAnsi="Times New Roman" w:cs="Times New Roman"/>
          <w:sz w:val="24"/>
          <w:szCs w:val="24"/>
        </w:rPr>
        <w:t>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Size</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3512D9" w:rsidRDefault="00575FE7">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3512D9" w:rsidRDefault="00575FE7">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3512D9" w:rsidRDefault="00575FE7">
      <w:pPr>
        <w:spacing w:line="480" w:lineRule="auto"/>
        <w:ind w:left="720" w:right="-90"/>
        <w:rPr>
          <w:rFonts w:ascii="Times New Roman" w:hAnsi="Times New Roman" w:cs="Times New Roman"/>
          <w:b/>
          <w:sz w:val="24"/>
          <w:szCs w:val="24"/>
        </w:rPr>
      </w:pPr>
    </w:p>
    <w:p w:rsidR="003512D9" w:rsidRDefault="00575FE7">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3512D9" w:rsidRDefault="00575FE7">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3512D9" w:rsidRDefault="00575FE7">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575FE7">
      <w:pPr>
        <w:numPr>
          <w:ilvl w:val="2"/>
          <w:numId w:val="8"/>
        </w:numPr>
        <w:ind w:right="-86"/>
        <w:rPr>
          <w:rFonts w:ascii="Times New Roman" w:hAnsi="Times New Roman" w:cs="Times New Roman"/>
          <w:sz w:val="24"/>
          <w:szCs w:val="24"/>
        </w:rPr>
      </w:pPr>
      <w:r>
        <w:rPr>
          <w:rFonts w:ascii="Times New Roman" w:hAnsi="Times New Roman" w:cs="Times New Roman"/>
          <w:sz w:val="24"/>
          <w:szCs w:val="24"/>
        </w:rPr>
        <w:t xml:space="preserve">Profit </w:t>
      </w:r>
      <w:r>
        <w:rPr>
          <w:rFonts w:ascii="Times New Roman" w:hAnsi="Times New Roman" w:cs="Times New Roman"/>
          <w:sz w:val="24"/>
          <w:szCs w:val="24"/>
        </w:rPr>
        <w:t>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3512D9" w:rsidRDefault="00575FE7">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3512D9" w:rsidRDefault="00575FE7">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575FE7">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3512D9" w:rsidRDefault="00575FE7">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575FE7">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3512D9" w:rsidRDefault="00575FE7">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3512D9" w:rsidRDefault="00575FE7">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3512D9" w:rsidRDefault="00575FE7">
      <w:pPr>
        <w:ind w:right="-86"/>
        <w:rPr>
          <w:rFonts w:ascii="Times New Roman" w:hAnsi="Times New Roman" w:cs="Times New Roman"/>
          <w:sz w:val="24"/>
          <w:szCs w:val="24"/>
        </w:rPr>
      </w:pPr>
    </w:p>
    <w:p w:rsidR="003512D9" w:rsidRDefault="00575FE7">
      <w:pPr>
        <w:pStyle w:val="alphapara"/>
      </w:pPr>
      <w:r>
        <w:t>(c)</w:t>
      </w:r>
      <w:r>
        <w:tab/>
        <w:t xml:space="preserve">If one </w:t>
      </w:r>
      <w:r>
        <w:t xml:space="preserve">or more of the indicators listed above does not exist for a Customer, then the ISO shall, in its sole discretion, reallocate the weight attributed to that indicator either (1) to the remaining indicators proportionately, or (2) entirely to the qualitative </w:t>
      </w:r>
      <w:r>
        <w:t>assessment indicator.</w:t>
      </w:r>
    </w:p>
    <w:p w:rsidR="003512D9" w:rsidRDefault="00575FE7">
      <w:pPr>
        <w:pStyle w:val="alphapara"/>
      </w:pPr>
      <w:r>
        <w:t>(d)</w:t>
      </w:r>
      <w:r>
        <w:tab/>
        <w:t>The qualitative areas evaluated shall include, but shall not be limited to, the following (as applicable):  (1) Affiliate financial and market indicators, (2) ratemaking ability and legal right to fully recover end-user costs, (3)</w:t>
      </w:r>
      <w:r>
        <w:t xml:space="preserve"> industry characteristics, (4) risk policies and procedures, (5) management quality, (6) ability to access funding in difficult market conditions, and (7) historical relationship and payment history with the ISO.  A Transmission Owner that can recover end-</w:t>
      </w:r>
      <w:r>
        <w:t>user costs pursuant to authority granted by the PSC will receive a qualitative assessment score of no worse than five.</w:t>
      </w:r>
    </w:p>
    <w:p w:rsidR="003512D9" w:rsidRDefault="00575FE7">
      <w:pPr>
        <w:pStyle w:val="Heading4"/>
      </w:pPr>
      <w:bookmarkStart w:id="10" w:name="_Toc263691854"/>
      <w:bookmarkStart w:id="11" w:name="_DV_C39"/>
      <w:r>
        <w:t>26.5.3.6</w:t>
      </w:r>
      <w:r>
        <w:tab/>
        <w:t>Public Power Entities</w:t>
      </w:r>
      <w:bookmarkEnd w:id="10"/>
      <w:r>
        <w:t xml:space="preserve"> </w:t>
      </w:r>
    </w:p>
    <w:p w:rsidR="003512D9" w:rsidRDefault="00575FE7">
      <w:pPr>
        <w:pStyle w:val="Bodypara"/>
      </w:pPr>
      <w:r>
        <w:t>The following additional provisions shall apply to the determination of a Customer’s Unsecured Credit:</w:t>
      </w:r>
      <w:bookmarkEnd w:id="11"/>
    </w:p>
    <w:p w:rsidR="003512D9" w:rsidRDefault="00575FE7">
      <w:pPr>
        <w:pStyle w:val="alphapara"/>
      </w:pPr>
      <w:r>
        <w:t>(a</w:t>
      </w:r>
      <w:r>
        <w:t>)</w:t>
      </w:r>
      <w:r>
        <w:tab/>
        <w:t>A Public Power Entity shall qualify for one million dollars ($1M) in Unsecured Credit, without regard for its Tangible Net Worth or Credit Assessment.  Municipal electric systems that operate through a joint action agency or a similar municipal affiliati</w:t>
      </w:r>
      <w:r>
        <w:t>on agreement may aggregate their Unsecured Credit amounts of one million dollars ($1M) per member such that the joint action agency will have an Unsecured Credit amount, subject to the Market Concentration Cap, equal to the total of the Unsecured Credit am</w:t>
      </w:r>
      <w:r>
        <w:t xml:space="preserve">ounts of each individual member.  Each such agency will qualify for such aggregated Unsecured Credit treatment subject to the ISO’s review of the particular affiliation agreement and the ISO’s review of documentation submitted by the agency to demonstrate </w:t>
      </w:r>
      <w:r>
        <w:t>that it has been formed under the pertinent sections of the New York State Municipal Law.</w:t>
      </w:r>
    </w:p>
    <w:p w:rsidR="003512D9" w:rsidRDefault="00575FE7">
      <w:pPr>
        <w:pStyle w:val="alphapara"/>
      </w:pPr>
      <w:r>
        <w:t>(b)</w:t>
      </w:r>
      <w:r>
        <w:tab/>
        <w:t>In lieu of a one million dollar ($1M</w:t>
      </w:r>
      <w:r>
        <w:t xml:space="preserve">) grant of Unsecured Credit, a Public Power Entity may request Unsecured Credit based on its Tangible Net Worth and Credit Assessment.  In such case, the ISO will consider the Public Power Entity a </w:t>
      </w:r>
      <w:smartTag w:uri="schemas-workshare-com/workshare" w:element="confidentialinformationexposure">
        <w:smartTagPr>
          <w:attr w:name="TagType" w:val="5"/>
        </w:smartTagPr>
        <w:r>
          <w:t>private</w:t>
        </w:r>
      </w:smartTag>
      <w:r>
        <w:t xml:space="preserve"> entity for Credit Assessment purposes.</w:t>
      </w:r>
    </w:p>
    <w:p w:rsidR="003512D9" w:rsidRDefault="00575FE7">
      <w:pPr>
        <w:pStyle w:val="Heading3"/>
      </w:pPr>
      <w:bookmarkStart w:id="12" w:name="_Toc263691855"/>
      <w:r>
        <w:t>26.5.4</w:t>
      </w:r>
      <w:r>
        <w:tab/>
        <w:t>Affi</w:t>
      </w:r>
      <w:r>
        <w:t>liate Guarantees</w:t>
      </w:r>
      <w:bookmarkEnd w:id="12"/>
    </w:p>
    <w:p w:rsidR="003512D9" w:rsidRDefault="00575FE7">
      <w:pPr>
        <w:pStyle w:val="Heading4"/>
      </w:pPr>
      <w:r>
        <w:t>26.5.4.1</w:t>
      </w:r>
      <w:r>
        <w:tab/>
        <w:t>Eligibility</w:t>
      </w:r>
    </w:p>
    <w:p w:rsidR="003512D9" w:rsidRDefault="00575FE7">
      <w:pPr>
        <w:pStyle w:val="Bodypara"/>
      </w:pPr>
      <w:r>
        <w:t xml:space="preserve">An Affiliate guarantor shall be subject to the ISO’s financial assurance requirements as if the Affiliate guarantor were a Customer and shall be assigned a level of Unsecured Credit, if any.  </w:t>
      </w:r>
    </w:p>
    <w:p w:rsidR="003512D9" w:rsidRDefault="00575FE7">
      <w:pPr>
        <w:pStyle w:val="Heading4"/>
      </w:pPr>
      <w:r>
        <w:t>26.5.4.2</w:t>
      </w:r>
      <w:r>
        <w:tab/>
        <w:t>Use for Satisfac</w:t>
      </w:r>
      <w:r>
        <w:t>tion of Minimum Capitalization Requirements</w:t>
      </w:r>
    </w:p>
    <w:p w:rsidR="003512D9" w:rsidRDefault="00575FE7">
      <w:pPr>
        <w:pStyle w:val="Bodypara"/>
      </w:pPr>
      <w:r>
        <w:t>A Customer may use an Affiliate guarantor’s financial statements to satisfy the capitalization requirement set forth in Section 26.1.1(e) of this Attachment K if (i) no other Customer relies on the Affiliate guar</w:t>
      </w:r>
      <w:r>
        <w:t>antor’s financial statements to satisfy the capitalization requirement, and (ii) the Customer provides an unlimited Affiliate guarantee that satisfies the requirements set forth in Section 26.5.4.3 of this Attachment K.  If a Customer provides an Affiliate</w:t>
      </w:r>
      <w:r>
        <w:t xml:space="preserve"> guarantee solely to satisfy its capitalization requirement, the Affiliate guarantor, notwithstanding Section 26.5.4.1 of this Attachment K, shall not be subject to the ISO financial assurance requirements.</w:t>
      </w:r>
    </w:p>
    <w:p w:rsidR="003512D9" w:rsidRDefault="00575FE7">
      <w:pPr>
        <w:pStyle w:val="Heading4"/>
      </w:pPr>
      <w:r>
        <w:t>26.5.4.3</w:t>
      </w:r>
      <w:r>
        <w:tab/>
        <w:t>Form of Affiliate Guarantee</w:t>
      </w:r>
    </w:p>
    <w:p w:rsidR="003512D9" w:rsidRDefault="00575FE7">
      <w:pPr>
        <w:pStyle w:val="Bodypara"/>
      </w:pPr>
      <w:r>
        <w:t>An Affiliate</w:t>
      </w:r>
      <w:r>
        <w:t xml:space="preserve"> guarantee must be in a form acceptable to the ISO and issued by an Investment Grade U.S. or Canadian Affiliate.  A Customer’s failure to provide a source of collateral in an amount sufficient to (i) secure its obligations to the ISO and/or (ii) as applica</w:t>
      </w:r>
      <w:r>
        <w:t>ble, secure its capitalization requirement pursuant to Section 26.1.1(e) of this Attachment K, fifty (50) days prior to the termination of an Affiliate guarantee, which source of collateral shall be guaranteed to remain in effect for a period of not less t</w:t>
      </w:r>
      <w:r>
        <w:t>han one (1) year, shall be a condition of default enabling the ISO to immediately demand payment under the Affiliate guarantee in the amount required to meet Customer’s ISO credit requirements, and/or, as applicable, the amount required to secure Customer’</w:t>
      </w:r>
      <w:r>
        <w:t>s capitalization requirement.</w:t>
      </w:r>
    </w:p>
    <w:p w:rsidR="003512D9" w:rsidRDefault="00575FE7">
      <w:pPr>
        <w:pStyle w:val="Heading3"/>
      </w:pPr>
      <w:bookmarkStart w:id="13" w:name="_Toc263691856"/>
      <w:r>
        <w:t>26.5.5</w:t>
      </w:r>
      <w:r>
        <w:tab/>
        <w:t>Requests for Changes, Appeals</w:t>
      </w:r>
      <w:bookmarkEnd w:id="13"/>
      <w:r>
        <w:t xml:space="preserve">  </w:t>
      </w:r>
    </w:p>
    <w:p w:rsidR="003512D9" w:rsidRDefault="00575FE7">
      <w:pPr>
        <w:pStyle w:val="Bodypara"/>
      </w:pPr>
      <w:r>
        <w:t>Requests for changes to the amount of a Customer’s Unsecured Credit shall be made in writing to the ISO Credit Manager.  Appeals of any decision regarding a Customer’s Unsecured Credit sh</w:t>
      </w:r>
      <w:r>
        <w:t>all be made in writing to the ISO’s Chief Financial Officer and shall include all necessary supporting documentation.  The Chief Financial Officer shall determine all appeals within ten (10) business days.</w:t>
      </w:r>
    </w:p>
    <w:sectPr w:rsidR="003512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5FE7">
      <w:pPr>
        <w:spacing w:after="0" w:line="240" w:lineRule="auto"/>
      </w:pPr>
      <w:r>
        <w:separator/>
      </w:r>
    </w:p>
  </w:endnote>
  <w:endnote w:type="continuationSeparator" w:id="0">
    <w:p w:rsidR="00000000" w:rsidRDefault="0057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5FE7">
      <w:pPr>
        <w:spacing w:after="0" w:line="240" w:lineRule="auto"/>
      </w:pPr>
      <w:r>
        <w:separator/>
      </w:r>
    </w:p>
  </w:footnote>
  <w:footnote w:type="continuationSeparator" w:id="0">
    <w:p w:rsidR="00000000" w:rsidRDefault="0057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26 MST Attachment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E" w:rsidRDefault="00575FE7">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26 MST Attachment K - Creditworthiness Requirements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C8A61A18">
      <w:start w:val="1"/>
      <w:numFmt w:val="lowerRoman"/>
      <w:lvlText w:val="(%1)"/>
      <w:lvlJc w:val="left"/>
      <w:pPr>
        <w:tabs>
          <w:tab w:val="num" w:pos="2160"/>
        </w:tabs>
        <w:ind w:left="2160" w:hanging="720"/>
      </w:pPr>
      <w:rPr>
        <w:rFonts w:hint="default"/>
      </w:rPr>
    </w:lvl>
    <w:lvl w:ilvl="1" w:tplc="5EA8E22A" w:tentative="1">
      <w:start w:val="1"/>
      <w:numFmt w:val="lowerLetter"/>
      <w:lvlText w:val="%2."/>
      <w:lvlJc w:val="left"/>
      <w:pPr>
        <w:tabs>
          <w:tab w:val="num" w:pos="2520"/>
        </w:tabs>
        <w:ind w:left="2520" w:hanging="360"/>
      </w:pPr>
    </w:lvl>
    <w:lvl w:ilvl="2" w:tplc="F4422B0A" w:tentative="1">
      <w:start w:val="1"/>
      <w:numFmt w:val="lowerRoman"/>
      <w:lvlText w:val="%3."/>
      <w:lvlJc w:val="right"/>
      <w:pPr>
        <w:tabs>
          <w:tab w:val="num" w:pos="3240"/>
        </w:tabs>
        <w:ind w:left="3240" w:hanging="180"/>
      </w:pPr>
    </w:lvl>
    <w:lvl w:ilvl="3" w:tplc="9C88B9BE" w:tentative="1">
      <w:start w:val="1"/>
      <w:numFmt w:val="decimal"/>
      <w:lvlText w:val="%4."/>
      <w:lvlJc w:val="left"/>
      <w:pPr>
        <w:tabs>
          <w:tab w:val="num" w:pos="3960"/>
        </w:tabs>
        <w:ind w:left="3960" w:hanging="360"/>
      </w:pPr>
    </w:lvl>
    <w:lvl w:ilvl="4" w:tplc="5B80B3FC" w:tentative="1">
      <w:start w:val="1"/>
      <w:numFmt w:val="lowerLetter"/>
      <w:lvlText w:val="%5."/>
      <w:lvlJc w:val="left"/>
      <w:pPr>
        <w:tabs>
          <w:tab w:val="num" w:pos="4680"/>
        </w:tabs>
        <w:ind w:left="4680" w:hanging="360"/>
      </w:pPr>
    </w:lvl>
    <w:lvl w:ilvl="5" w:tplc="5D2CBBD6" w:tentative="1">
      <w:start w:val="1"/>
      <w:numFmt w:val="lowerRoman"/>
      <w:lvlText w:val="%6."/>
      <w:lvlJc w:val="right"/>
      <w:pPr>
        <w:tabs>
          <w:tab w:val="num" w:pos="5400"/>
        </w:tabs>
        <w:ind w:left="5400" w:hanging="180"/>
      </w:pPr>
    </w:lvl>
    <w:lvl w:ilvl="6" w:tplc="760632A2" w:tentative="1">
      <w:start w:val="1"/>
      <w:numFmt w:val="decimal"/>
      <w:lvlText w:val="%7."/>
      <w:lvlJc w:val="left"/>
      <w:pPr>
        <w:tabs>
          <w:tab w:val="num" w:pos="6120"/>
        </w:tabs>
        <w:ind w:left="6120" w:hanging="360"/>
      </w:pPr>
    </w:lvl>
    <w:lvl w:ilvl="7" w:tplc="F1700ED2" w:tentative="1">
      <w:start w:val="1"/>
      <w:numFmt w:val="lowerLetter"/>
      <w:lvlText w:val="%8."/>
      <w:lvlJc w:val="left"/>
      <w:pPr>
        <w:tabs>
          <w:tab w:val="num" w:pos="6840"/>
        </w:tabs>
        <w:ind w:left="6840" w:hanging="360"/>
      </w:pPr>
    </w:lvl>
    <w:lvl w:ilvl="8" w:tplc="ECBA3FF4"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A3D21BDA">
      <w:start w:val="1"/>
      <w:numFmt w:val="bullet"/>
      <w:pStyle w:val="Bulletpara"/>
      <w:lvlText w:val=""/>
      <w:lvlJc w:val="left"/>
      <w:pPr>
        <w:tabs>
          <w:tab w:val="num" w:pos="720"/>
        </w:tabs>
        <w:ind w:left="720" w:hanging="360"/>
      </w:pPr>
      <w:rPr>
        <w:rFonts w:ascii="Symbol" w:hAnsi="Symbol" w:hint="default"/>
      </w:rPr>
    </w:lvl>
    <w:lvl w:ilvl="1" w:tplc="C8A4F9FC" w:tentative="1">
      <w:start w:val="1"/>
      <w:numFmt w:val="bullet"/>
      <w:lvlText w:val="o"/>
      <w:lvlJc w:val="left"/>
      <w:pPr>
        <w:tabs>
          <w:tab w:val="num" w:pos="1440"/>
        </w:tabs>
        <w:ind w:left="1440" w:hanging="360"/>
      </w:pPr>
      <w:rPr>
        <w:rFonts w:ascii="Courier New" w:hAnsi="Courier New" w:cs="Courier New" w:hint="default"/>
      </w:rPr>
    </w:lvl>
    <w:lvl w:ilvl="2" w:tplc="C2A85C4E" w:tentative="1">
      <w:start w:val="1"/>
      <w:numFmt w:val="bullet"/>
      <w:lvlText w:val=""/>
      <w:lvlJc w:val="left"/>
      <w:pPr>
        <w:tabs>
          <w:tab w:val="num" w:pos="2160"/>
        </w:tabs>
        <w:ind w:left="2160" w:hanging="360"/>
      </w:pPr>
      <w:rPr>
        <w:rFonts w:ascii="Wingdings" w:hAnsi="Wingdings" w:hint="default"/>
      </w:rPr>
    </w:lvl>
    <w:lvl w:ilvl="3" w:tplc="825C7598" w:tentative="1">
      <w:start w:val="1"/>
      <w:numFmt w:val="bullet"/>
      <w:lvlText w:val=""/>
      <w:lvlJc w:val="left"/>
      <w:pPr>
        <w:tabs>
          <w:tab w:val="num" w:pos="2880"/>
        </w:tabs>
        <w:ind w:left="2880" w:hanging="360"/>
      </w:pPr>
      <w:rPr>
        <w:rFonts w:ascii="Symbol" w:hAnsi="Symbol" w:hint="default"/>
      </w:rPr>
    </w:lvl>
    <w:lvl w:ilvl="4" w:tplc="AEBE392C" w:tentative="1">
      <w:start w:val="1"/>
      <w:numFmt w:val="bullet"/>
      <w:lvlText w:val="o"/>
      <w:lvlJc w:val="left"/>
      <w:pPr>
        <w:tabs>
          <w:tab w:val="num" w:pos="3600"/>
        </w:tabs>
        <w:ind w:left="3600" w:hanging="360"/>
      </w:pPr>
      <w:rPr>
        <w:rFonts w:ascii="Courier New" w:hAnsi="Courier New" w:cs="Courier New" w:hint="default"/>
      </w:rPr>
    </w:lvl>
    <w:lvl w:ilvl="5" w:tplc="A0184B14" w:tentative="1">
      <w:start w:val="1"/>
      <w:numFmt w:val="bullet"/>
      <w:lvlText w:val=""/>
      <w:lvlJc w:val="left"/>
      <w:pPr>
        <w:tabs>
          <w:tab w:val="num" w:pos="4320"/>
        </w:tabs>
        <w:ind w:left="4320" w:hanging="360"/>
      </w:pPr>
      <w:rPr>
        <w:rFonts w:ascii="Wingdings" w:hAnsi="Wingdings" w:hint="default"/>
      </w:rPr>
    </w:lvl>
    <w:lvl w:ilvl="6" w:tplc="C44ABD4C" w:tentative="1">
      <w:start w:val="1"/>
      <w:numFmt w:val="bullet"/>
      <w:lvlText w:val=""/>
      <w:lvlJc w:val="left"/>
      <w:pPr>
        <w:tabs>
          <w:tab w:val="num" w:pos="5040"/>
        </w:tabs>
        <w:ind w:left="5040" w:hanging="360"/>
      </w:pPr>
      <w:rPr>
        <w:rFonts w:ascii="Symbol" w:hAnsi="Symbol" w:hint="default"/>
      </w:rPr>
    </w:lvl>
    <w:lvl w:ilvl="7" w:tplc="9EB03E02" w:tentative="1">
      <w:start w:val="1"/>
      <w:numFmt w:val="bullet"/>
      <w:lvlText w:val="o"/>
      <w:lvlJc w:val="left"/>
      <w:pPr>
        <w:tabs>
          <w:tab w:val="num" w:pos="5760"/>
        </w:tabs>
        <w:ind w:left="5760" w:hanging="360"/>
      </w:pPr>
      <w:rPr>
        <w:rFonts w:ascii="Courier New" w:hAnsi="Courier New" w:cs="Courier New" w:hint="default"/>
      </w:rPr>
    </w:lvl>
    <w:lvl w:ilvl="8" w:tplc="37B22AC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F4C8423A">
      <w:start w:val="3"/>
      <w:numFmt w:val="lowerRoman"/>
      <w:lvlText w:val="(%1)"/>
      <w:lvlJc w:val="left"/>
      <w:pPr>
        <w:tabs>
          <w:tab w:val="num" w:pos="1440"/>
        </w:tabs>
        <w:ind w:left="1440" w:hanging="720"/>
      </w:pPr>
      <w:rPr>
        <w:rFonts w:hint="default"/>
        <w:b/>
      </w:rPr>
    </w:lvl>
    <w:lvl w:ilvl="1" w:tplc="17F0B89C" w:tentative="1">
      <w:start w:val="1"/>
      <w:numFmt w:val="lowerLetter"/>
      <w:lvlText w:val="%2."/>
      <w:lvlJc w:val="left"/>
      <w:pPr>
        <w:tabs>
          <w:tab w:val="num" w:pos="1800"/>
        </w:tabs>
        <w:ind w:left="1800" w:hanging="360"/>
      </w:pPr>
    </w:lvl>
    <w:lvl w:ilvl="2" w:tplc="E592BDD8" w:tentative="1">
      <w:start w:val="1"/>
      <w:numFmt w:val="lowerRoman"/>
      <w:lvlText w:val="%3."/>
      <w:lvlJc w:val="right"/>
      <w:pPr>
        <w:tabs>
          <w:tab w:val="num" w:pos="2520"/>
        </w:tabs>
        <w:ind w:left="2520" w:hanging="180"/>
      </w:pPr>
    </w:lvl>
    <w:lvl w:ilvl="3" w:tplc="AF20D50C" w:tentative="1">
      <w:start w:val="1"/>
      <w:numFmt w:val="decimal"/>
      <w:lvlText w:val="%4."/>
      <w:lvlJc w:val="left"/>
      <w:pPr>
        <w:tabs>
          <w:tab w:val="num" w:pos="3240"/>
        </w:tabs>
        <w:ind w:left="3240" w:hanging="360"/>
      </w:pPr>
    </w:lvl>
    <w:lvl w:ilvl="4" w:tplc="C9068798" w:tentative="1">
      <w:start w:val="1"/>
      <w:numFmt w:val="lowerLetter"/>
      <w:lvlText w:val="%5."/>
      <w:lvlJc w:val="left"/>
      <w:pPr>
        <w:tabs>
          <w:tab w:val="num" w:pos="3960"/>
        </w:tabs>
        <w:ind w:left="3960" w:hanging="360"/>
      </w:pPr>
    </w:lvl>
    <w:lvl w:ilvl="5" w:tplc="380C9642" w:tentative="1">
      <w:start w:val="1"/>
      <w:numFmt w:val="lowerRoman"/>
      <w:lvlText w:val="%6."/>
      <w:lvlJc w:val="right"/>
      <w:pPr>
        <w:tabs>
          <w:tab w:val="num" w:pos="4680"/>
        </w:tabs>
        <w:ind w:left="4680" w:hanging="180"/>
      </w:pPr>
    </w:lvl>
    <w:lvl w:ilvl="6" w:tplc="F13C3136" w:tentative="1">
      <w:start w:val="1"/>
      <w:numFmt w:val="decimal"/>
      <w:lvlText w:val="%7."/>
      <w:lvlJc w:val="left"/>
      <w:pPr>
        <w:tabs>
          <w:tab w:val="num" w:pos="5400"/>
        </w:tabs>
        <w:ind w:left="5400" w:hanging="360"/>
      </w:pPr>
    </w:lvl>
    <w:lvl w:ilvl="7" w:tplc="56625C3E" w:tentative="1">
      <w:start w:val="1"/>
      <w:numFmt w:val="lowerLetter"/>
      <w:lvlText w:val="%8."/>
      <w:lvlJc w:val="left"/>
      <w:pPr>
        <w:tabs>
          <w:tab w:val="num" w:pos="6120"/>
        </w:tabs>
        <w:ind w:left="6120" w:hanging="360"/>
      </w:pPr>
    </w:lvl>
    <w:lvl w:ilvl="8" w:tplc="0C70A70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00589B52">
      <w:start w:val="1"/>
      <w:numFmt w:val="bullet"/>
      <w:lvlText w:val="­"/>
      <w:lvlJc w:val="left"/>
      <w:pPr>
        <w:tabs>
          <w:tab w:val="num" w:pos="720"/>
        </w:tabs>
        <w:ind w:left="720" w:hanging="360"/>
      </w:pPr>
      <w:rPr>
        <w:rFonts w:ascii="Courier New" w:hAnsi="Courier New" w:hint="default"/>
      </w:rPr>
    </w:lvl>
    <w:lvl w:ilvl="1" w:tplc="488CAEA6" w:tentative="1">
      <w:start w:val="1"/>
      <w:numFmt w:val="bullet"/>
      <w:lvlText w:val="o"/>
      <w:lvlJc w:val="left"/>
      <w:pPr>
        <w:tabs>
          <w:tab w:val="num" w:pos="1440"/>
        </w:tabs>
        <w:ind w:left="1440" w:hanging="360"/>
      </w:pPr>
      <w:rPr>
        <w:rFonts w:ascii="Courier New" w:hAnsi="Courier New" w:cs="Courier New" w:hint="default"/>
      </w:rPr>
    </w:lvl>
    <w:lvl w:ilvl="2" w:tplc="AF8C13D2" w:tentative="1">
      <w:start w:val="1"/>
      <w:numFmt w:val="bullet"/>
      <w:lvlText w:val=""/>
      <w:lvlJc w:val="left"/>
      <w:pPr>
        <w:tabs>
          <w:tab w:val="num" w:pos="2160"/>
        </w:tabs>
        <w:ind w:left="2160" w:hanging="360"/>
      </w:pPr>
      <w:rPr>
        <w:rFonts w:ascii="Wingdings" w:hAnsi="Wingdings" w:hint="default"/>
      </w:rPr>
    </w:lvl>
    <w:lvl w:ilvl="3" w:tplc="B6D20E7E" w:tentative="1">
      <w:start w:val="1"/>
      <w:numFmt w:val="bullet"/>
      <w:lvlText w:val=""/>
      <w:lvlJc w:val="left"/>
      <w:pPr>
        <w:tabs>
          <w:tab w:val="num" w:pos="2880"/>
        </w:tabs>
        <w:ind w:left="2880" w:hanging="360"/>
      </w:pPr>
      <w:rPr>
        <w:rFonts w:ascii="Symbol" w:hAnsi="Symbol" w:hint="default"/>
      </w:rPr>
    </w:lvl>
    <w:lvl w:ilvl="4" w:tplc="6E74F8C6" w:tentative="1">
      <w:start w:val="1"/>
      <w:numFmt w:val="bullet"/>
      <w:lvlText w:val="o"/>
      <w:lvlJc w:val="left"/>
      <w:pPr>
        <w:tabs>
          <w:tab w:val="num" w:pos="3600"/>
        </w:tabs>
        <w:ind w:left="3600" w:hanging="360"/>
      </w:pPr>
      <w:rPr>
        <w:rFonts w:ascii="Courier New" w:hAnsi="Courier New" w:cs="Courier New" w:hint="default"/>
      </w:rPr>
    </w:lvl>
    <w:lvl w:ilvl="5" w:tplc="516AB3A2" w:tentative="1">
      <w:start w:val="1"/>
      <w:numFmt w:val="bullet"/>
      <w:lvlText w:val=""/>
      <w:lvlJc w:val="left"/>
      <w:pPr>
        <w:tabs>
          <w:tab w:val="num" w:pos="4320"/>
        </w:tabs>
        <w:ind w:left="4320" w:hanging="360"/>
      </w:pPr>
      <w:rPr>
        <w:rFonts w:ascii="Wingdings" w:hAnsi="Wingdings" w:hint="default"/>
      </w:rPr>
    </w:lvl>
    <w:lvl w:ilvl="6" w:tplc="D60C1ACE" w:tentative="1">
      <w:start w:val="1"/>
      <w:numFmt w:val="bullet"/>
      <w:lvlText w:val=""/>
      <w:lvlJc w:val="left"/>
      <w:pPr>
        <w:tabs>
          <w:tab w:val="num" w:pos="5040"/>
        </w:tabs>
        <w:ind w:left="5040" w:hanging="360"/>
      </w:pPr>
      <w:rPr>
        <w:rFonts w:ascii="Symbol" w:hAnsi="Symbol" w:hint="default"/>
      </w:rPr>
    </w:lvl>
    <w:lvl w:ilvl="7" w:tplc="BC627E7E" w:tentative="1">
      <w:start w:val="1"/>
      <w:numFmt w:val="bullet"/>
      <w:lvlText w:val="o"/>
      <w:lvlJc w:val="left"/>
      <w:pPr>
        <w:tabs>
          <w:tab w:val="num" w:pos="5760"/>
        </w:tabs>
        <w:ind w:left="5760" w:hanging="360"/>
      </w:pPr>
      <w:rPr>
        <w:rFonts w:ascii="Courier New" w:hAnsi="Courier New" w:cs="Courier New" w:hint="default"/>
      </w:rPr>
    </w:lvl>
    <w:lvl w:ilvl="8" w:tplc="1F321A96"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0BFC16EA">
      <w:start w:val="1"/>
      <w:numFmt w:val="lowerRoman"/>
      <w:lvlText w:val="(%1)"/>
      <w:lvlJc w:val="left"/>
      <w:pPr>
        <w:tabs>
          <w:tab w:val="num" w:pos="2160"/>
        </w:tabs>
        <w:ind w:left="2160" w:hanging="720"/>
      </w:pPr>
      <w:rPr>
        <w:rFonts w:hint="default"/>
      </w:rPr>
    </w:lvl>
    <w:lvl w:ilvl="1" w:tplc="823A761A" w:tentative="1">
      <w:start w:val="1"/>
      <w:numFmt w:val="lowerLetter"/>
      <w:lvlText w:val="%2."/>
      <w:lvlJc w:val="left"/>
      <w:pPr>
        <w:tabs>
          <w:tab w:val="num" w:pos="2520"/>
        </w:tabs>
        <w:ind w:left="2520" w:hanging="360"/>
      </w:pPr>
    </w:lvl>
    <w:lvl w:ilvl="2" w:tplc="32626902" w:tentative="1">
      <w:start w:val="1"/>
      <w:numFmt w:val="lowerRoman"/>
      <w:lvlText w:val="%3."/>
      <w:lvlJc w:val="right"/>
      <w:pPr>
        <w:tabs>
          <w:tab w:val="num" w:pos="3240"/>
        </w:tabs>
        <w:ind w:left="3240" w:hanging="180"/>
      </w:pPr>
    </w:lvl>
    <w:lvl w:ilvl="3" w:tplc="06CC1C7E" w:tentative="1">
      <w:start w:val="1"/>
      <w:numFmt w:val="decimal"/>
      <w:lvlText w:val="%4."/>
      <w:lvlJc w:val="left"/>
      <w:pPr>
        <w:tabs>
          <w:tab w:val="num" w:pos="3960"/>
        </w:tabs>
        <w:ind w:left="3960" w:hanging="360"/>
      </w:pPr>
    </w:lvl>
    <w:lvl w:ilvl="4" w:tplc="6E44A264" w:tentative="1">
      <w:start w:val="1"/>
      <w:numFmt w:val="lowerLetter"/>
      <w:lvlText w:val="%5."/>
      <w:lvlJc w:val="left"/>
      <w:pPr>
        <w:tabs>
          <w:tab w:val="num" w:pos="4680"/>
        </w:tabs>
        <w:ind w:left="4680" w:hanging="360"/>
      </w:pPr>
    </w:lvl>
    <w:lvl w:ilvl="5" w:tplc="8318A92E" w:tentative="1">
      <w:start w:val="1"/>
      <w:numFmt w:val="lowerRoman"/>
      <w:lvlText w:val="%6."/>
      <w:lvlJc w:val="right"/>
      <w:pPr>
        <w:tabs>
          <w:tab w:val="num" w:pos="5400"/>
        </w:tabs>
        <w:ind w:left="5400" w:hanging="180"/>
      </w:pPr>
    </w:lvl>
    <w:lvl w:ilvl="6" w:tplc="EF66D442" w:tentative="1">
      <w:start w:val="1"/>
      <w:numFmt w:val="decimal"/>
      <w:lvlText w:val="%7."/>
      <w:lvlJc w:val="left"/>
      <w:pPr>
        <w:tabs>
          <w:tab w:val="num" w:pos="6120"/>
        </w:tabs>
        <w:ind w:left="6120" w:hanging="360"/>
      </w:pPr>
    </w:lvl>
    <w:lvl w:ilvl="7" w:tplc="949A4D12" w:tentative="1">
      <w:start w:val="1"/>
      <w:numFmt w:val="lowerLetter"/>
      <w:lvlText w:val="%8."/>
      <w:lvlJc w:val="left"/>
      <w:pPr>
        <w:tabs>
          <w:tab w:val="num" w:pos="6840"/>
        </w:tabs>
        <w:ind w:left="6840" w:hanging="360"/>
      </w:pPr>
    </w:lvl>
    <w:lvl w:ilvl="8" w:tplc="379247E2"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97A2C968">
      <w:start w:val="1"/>
      <w:numFmt w:val="bullet"/>
      <w:lvlText w:val=""/>
      <w:lvlJc w:val="left"/>
      <w:pPr>
        <w:tabs>
          <w:tab w:val="num" w:pos="720"/>
        </w:tabs>
        <w:ind w:left="720" w:hanging="360"/>
      </w:pPr>
      <w:rPr>
        <w:rFonts w:ascii="Wingdings" w:hAnsi="Wingdings" w:hint="default"/>
      </w:rPr>
    </w:lvl>
    <w:lvl w:ilvl="1" w:tplc="2A4ABAE8">
      <w:start w:val="188"/>
      <w:numFmt w:val="bullet"/>
      <w:lvlText w:val=""/>
      <w:lvlJc w:val="left"/>
      <w:pPr>
        <w:tabs>
          <w:tab w:val="num" w:pos="1440"/>
        </w:tabs>
        <w:ind w:left="1440" w:hanging="360"/>
      </w:pPr>
      <w:rPr>
        <w:rFonts w:ascii="Wingdings" w:hAnsi="Wingdings" w:hint="default"/>
        <w:u w:val="none"/>
      </w:rPr>
    </w:lvl>
    <w:lvl w:ilvl="2" w:tplc="F2BE03B8">
      <w:start w:val="188"/>
      <w:numFmt w:val="bullet"/>
      <w:lvlText w:val="•"/>
      <w:lvlJc w:val="left"/>
      <w:pPr>
        <w:tabs>
          <w:tab w:val="num" w:pos="2160"/>
        </w:tabs>
        <w:ind w:left="2160" w:hanging="360"/>
      </w:pPr>
      <w:rPr>
        <w:rFonts w:ascii="Times New Roman" w:hAnsi="Times New Roman" w:hint="default"/>
        <w:u w:val="double"/>
      </w:rPr>
    </w:lvl>
    <w:lvl w:ilvl="3" w:tplc="2AB0176E" w:tentative="1">
      <w:start w:val="1"/>
      <w:numFmt w:val="bullet"/>
      <w:lvlText w:val=""/>
      <w:lvlJc w:val="left"/>
      <w:pPr>
        <w:tabs>
          <w:tab w:val="num" w:pos="2880"/>
        </w:tabs>
        <w:ind w:left="2880" w:hanging="360"/>
      </w:pPr>
      <w:rPr>
        <w:rFonts w:ascii="Wingdings" w:hAnsi="Wingdings" w:hint="default"/>
      </w:rPr>
    </w:lvl>
    <w:lvl w:ilvl="4" w:tplc="60A6541A" w:tentative="1">
      <w:start w:val="1"/>
      <w:numFmt w:val="bullet"/>
      <w:lvlText w:val=""/>
      <w:lvlJc w:val="left"/>
      <w:pPr>
        <w:tabs>
          <w:tab w:val="num" w:pos="3600"/>
        </w:tabs>
        <w:ind w:left="3600" w:hanging="360"/>
      </w:pPr>
      <w:rPr>
        <w:rFonts w:ascii="Wingdings" w:hAnsi="Wingdings" w:hint="default"/>
      </w:rPr>
    </w:lvl>
    <w:lvl w:ilvl="5" w:tplc="E8E64A1C" w:tentative="1">
      <w:start w:val="1"/>
      <w:numFmt w:val="bullet"/>
      <w:lvlText w:val=""/>
      <w:lvlJc w:val="left"/>
      <w:pPr>
        <w:tabs>
          <w:tab w:val="num" w:pos="4320"/>
        </w:tabs>
        <w:ind w:left="4320" w:hanging="360"/>
      </w:pPr>
      <w:rPr>
        <w:rFonts w:ascii="Wingdings" w:hAnsi="Wingdings" w:hint="default"/>
      </w:rPr>
    </w:lvl>
    <w:lvl w:ilvl="6" w:tplc="94888FEC" w:tentative="1">
      <w:start w:val="1"/>
      <w:numFmt w:val="bullet"/>
      <w:lvlText w:val=""/>
      <w:lvlJc w:val="left"/>
      <w:pPr>
        <w:tabs>
          <w:tab w:val="num" w:pos="5040"/>
        </w:tabs>
        <w:ind w:left="5040" w:hanging="360"/>
      </w:pPr>
      <w:rPr>
        <w:rFonts w:ascii="Wingdings" w:hAnsi="Wingdings" w:hint="default"/>
      </w:rPr>
    </w:lvl>
    <w:lvl w:ilvl="7" w:tplc="DB16555E" w:tentative="1">
      <w:start w:val="1"/>
      <w:numFmt w:val="bullet"/>
      <w:lvlText w:val=""/>
      <w:lvlJc w:val="left"/>
      <w:pPr>
        <w:tabs>
          <w:tab w:val="num" w:pos="5760"/>
        </w:tabs>
        <w:ind w:left="5760" w:hanging="360"/>
      </w:pPr>
      <w:rPr>
        <w:rFonts w:ascii="Wingdings" w:hAnsi="Wingdings" w:hint="default"/>
      </w:rPr>
    </w:lvl>
    <w:lvl w:ilvl="8" w:tplc="75A00878"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17965414">
      <w:start w:val="1"/>
      <w:numFmt w:val="lowerRoman"/>
      <w:lvlText w:val="(%1)"/>
      <w:lvlJc w:val="left"/>
      <w:pPr>
        <w:tabs>
          <w:tab w:val="num" w:pos="2448"/>
        </w:tabs>
        <w:ind w:left="2448" w:hanging="648"/>
      </w:pPr>
      <w:rPr>
        <w:rFonts w:hint="default"/>
        <w:b w:val="0"/>
        <w:i w:val="0"/>
        <w:u w:val="none"/>
      </w:rPr>
    </w:lvl>
    <w:lvl w:ilvl="1" w:tplc="E632A784" w:tentative="1">
      <w:start w:val="1"/>
      <w:numFmt w:val="lowerLetter"/>
      <w:lvlText w:val="%2."/>
      <w:lvlJc w:val="left"/>
      <w:pPr>
        <w:tabs>
          <w:tab w:val="num" w:pos="1440"/>
        </w:tabs>
        <w:ind w:left="1440" w:hanging="360"/>
      </w:pPr>
    </w:lvl>
    <w:lvl w:ilvl="2" w:tplc="DEAC296C" w:tentative="1">
      <w:start w:val="1"/>
      <w:numFmt w:val="lowerRoman"/>
      <w:lvlText w:val="%3."/>
      <w:lvlJc w:val="right"/>
      <w:pPr>
        <w:tabs>
          <w:tab w:val="num" w:pos="2160"/>
        </w:tabs>
        <w:ind w:left="2160" w:hanging="180"/>
      </w:pPr>
    </w:lvl>
    <w:lvl w:ilvl="3" w:tplc="89888B88" w:tentative="1">
      <w:start w:val="1"/>
      <w:numFmt w:val="decimal"/>
      <w:lvlText w:val="%4."/>
      <w:lvlJc w:val="left"/>
      <w:pPr>
        <w:tabs>
          <w:tab w:val="num" w:pos="2880"/>
        </w:tabs>
        <w:ind w:left="2880" w:hanging="360"/>
      </w:pPr>
    </w:lvl>
    <w:lvl w:ilvl="4" w:tplc="87F43EAC" w:tentative="1">
      <w:start w:val="1"/>
      <w:numFmt w:val="lowerLetter"/>
      <w:lvlText w:val="%5."/>
      <w:lvlJc w:val="left"/>
      <w:pPr>
        <w:tabs>
          <w:tab w:val="num" w:pos="3600"/>
        </w:tabs>
        <w:ind w:left="3600" w:hanging="360"/>
      </w:pPr>
    </w:lvl>
    <w:lvl w:ilvl="5" w:tplc="E146FB00" w:tentative="1">
      <w:start w:val="1"/>
      <w:numFmt w:val="lowerRoman"/>
      <w:lvlText w:val="%6."/>
      <w:lvlJc w:val="right"/>
      <w:pPr>
        <w:tabs>
          <w:tab w:val="num" w:pos="4320"/>
        </w:tabs>
        <w:ind w:left="4320" w:hanging="180"/>
      </w:pPr>
    </w:lvl>
    <w:lvl w:ilvl="6" w:tplc="D328395A" w:tentative="1">
      <w:start w:val="1"/>
      <w:numFmt w:val="decimal"/>
      <w:lvlText w:val="%7."/>
      <w:lvlJc w:val="left"/>
      <w:pPr>
        <w:tabs>
          <w:tab w:val="num" w:pos="5040"/>
        </w:tabs>
        <w:ind w:left="5040" w:hanging="360"/>
      </w:pPr>
    </w:lvl>
    <w:lvl w:ilvl="7" w:tplc="AD842420" w:tentative="1">
      <w:start w:val="1"/>
      <w:numFmt w:val="lowerLetter"/>
      <w:lvlText w:val="%8."/>
      <w:lvlJc w:val="left"/>
      <w:pPr>
        <w:tabs>
          <w:tab w:val="num" w:pos="5760"/>
        </w:tabs>
        <w:ind w:left="5760" w:hanging="360"/>
      </w:pPr>
    </w:lvl>
    <w:lvl w:ilvl="8" w:tplc="4D1A6E8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07AE0118">
      <w:start w:val="1"/>
      <w:numFmt w:val="bullet"/>
      <w:lvlText w:val=""/>
      <w:lvlJc w:val="left"/>
      <w:pPr>
        <w:tabs>
          <w:tab w:val="num" w:pos="720"/>
        </w:tabs>
        <w:ind w:left="720" w:hanging="360"/>
      </w:pPr>
      <w:rPr>
        <w:rFonts w:ascii="Wingdings" w:hAnsi="Wingdings" w:hint="default"/>
      </w:rPr>
    </w:lvl>
    <w:lvl w:ilvl="1" w:tplc="571ADBAC">
      <w:start w:val="11463"/>
      <w:numFmt w:val="bullet"/>
      <w:lvlText w:val=""/>
      <w:lvlJc w:val="left"/>
      <w:pPr>
        <w:tabs>
          <w:tab w:val="num" w:pos="1440"/>
        </w:tabs>
        <w:ind w:left="1440" w:hanging="360"/>
      </w:pPr>
      <w:rPr>
        <w:rFonts w:ascii="Wingdings" w:hAnsi="Wingdings" w:hint="default"/>
        <w:u w:val="none"/>
      </w:rPr>
    </w:lvl>
    <w:lvl w:ilvl="2" w:tplc="094AD70A">
      <w:start w:val="11463"/>
      <w:numFmt w:val="bullet"/>
      <w:lvlText w:val="•"/>
      <w:lvlJc w:val="left"/>
      <w:pPr>
        <w:tabs>
          <w:tab w:val="num" w:pos="2160"/>
        </w:tabs>
        <w:ind w:left="2160" w:hanging="360"/>
      </w:pPr>
      <w:rPr>
        <w:rFonts w:ascii="Times New Roman" w:hAnsi="Times New Roman" w:hint="default"/>
      </w:rPr>
    </w:lvl>
    <w:lvl w:ilvl="3" w:tplc="55A29B5E" w:tentative="1">
      <w:start w:val="1"/>
      <w:numFmt w:val="bullet"/>
      <w:lvlText w:val=""/>
      <w:lvlJc w:val="left"/>
      <w:pPr>
        <w:tabs>
          <w:tab w:val="num" w:pos="2880"/>
        </w:tabs>
        <w:ind w:left="2880" w:hanging="360"/>
      </w:pPr>
      <w:rPr>
        <w:rFonts w:ascii="Wingdings" w:hAnsi="Wingdings" w:hint="default"/>
      </w:rPr>
    </w:lvl>
    <w:lvl w:ilvl="4" w:tplc="F74CC73E" w:tentative="1">
      <w:start w:val="1"/>
      <w:numFmt w:val="bullet"/>
      <w:lvlText w:val=""/>
      <w:lvlJc w:val="left"/>
      <w:pPr>
        <w:tabs>
          <w:tab w:val="num" w:pos="3600"/>
        </w:tabs>
        <w:ind w:left="3600" w:hanging="360"/>
      </w:pPr>
      <w:rPr>
        <w:rFonts w:ascii="Wingdings" w:hAnsi="Wingdings" w:hint="default"/>
      </w:rPr>
    </w:lvl>
    <w:lvl w:ilvl="5" w:tplc="1728BB90" w:tentative="1">
      <w:start w:val="1"/>
      <w:numFmt w:val="bullet"/>
      <w:lvlText w:val=""/>
      <w:lvlJc w:val="left"/>
      <w:pPr>
        <w:tabs>
          <w:tab w:val="num" w:pos="4320"/>
        </w:tabs>
        <w:ind w:left="4320" w:hanging="360"/>
      </w:pPr>
      <w:rPr>
        <w:rFonts w:ascii="Wingdings" w:hAnsi="Wingdings" w:hint="default"/>
      </w:rPr>
    </w:lvl>
    <w:lvl w:ilvl="6" w:tplc="0270E4C6" w:tentative="1">
      <w:start w:val="1"/>
      <w:numFmt w:val="bullet"/>
      <w:lvlText w:val=""/>
      <w:lvlJc w:val="left"/>
      <w:pPr>
        <w:tabs>
          <w:tab w:val="num" w:pos="5040"/>
        </w:tabs>
        <w:ind w:left="5040" w:hanging="360"/>
      </w:pPr>
      <w:rPr>
        <w:rFonts w:ascii="Wingdings" w:hAnsi="Wingdings" w:hint="default"/>
      </w:rPr>
    </w:lvl>
    <w:lvl w:ilvl="7" w:tplc="3BE8AC52" w:tentative="1">
      <w:start w:val="1"/>
      <w:numFmt w:val="bullet"/>
      <w:lvlText w:val=""/>
      <w:lvlJc w:val="left"/>
      <w:pPr>
        <w:tabs>
          <w:tab w:val="num" w:pos="5760"/>
        </w:tabs>
        <w:ind w:left="5760" w:hanging="360"/>
      </w:pPr>
      <w:rPr>
        <w:rFonts w:ascii="Wingdings" w:hAnsi="Wingdings" w:hint="default"/>
      </w:rPr>
    </w:lvl>
    <w:lvl w:ilvl="8" w:tplc="5B86B0BE"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56E4FE46">
      <w:start w:val="1"/>
      <w:numFmt w:val="bullet"/>
      <w:lvlText w:val=""/>
      <w:lvlJc w:val="left"/>
      <w:pPr>
        <w:tabs>
          <w:tab w:val="num" w:pos="5760"/>
        </w:tabs>
        <w:ind w:left="5760" w:hanging="360"/>
      </w:pPr>
      <w:rPr>
        <w:rFonts w:ascii="Symbol" w:hAnsi="Symbol" w:hint="default"/>
        <w:color w:val="auto"/>
        <w:u w:val="none"/>
      </w:rPr>
    </w:lvl>
    <w:lvl w:ilvl="1" w:tplc="8E24A22C" w:tentative="1">
      <w:start w:val="1"/>
      <w:numFmt w:val="bullet"/>
      <w:lvlText w:val="o"/>
      <w:lvlJc w:val="left"/>
      <w:pPr>
        <w:tabs>
          <w:tab w:val="num" w:pos="3600"/>
        </w:tabs>
        <w:ind w:left="3600" w:hanging="360"/>
      </w:pPr>
      <w:rPr>
        <w:rFonts w:ascii="Courier New" w:hAnsi="Courier New" w:hint="default"/>
      </w:rPr>
    </w:lvl>
    <w:lvl w:ilvl="2" w:tplc="F9A274FC" w:tentative="1">
      <w:start w:val="1"/>
      <w:numFmt w:val="bullet"/>
      <w:lvlText w:val=""/>
      <w:lvlJc w:val="left"/>
      <w:pPr>
        <w:tabs>
          <w:tab w:val="num" w:pos="4320"/>
        </w:tabs>
        <w:ind w:left="4320" w:hanging="360"/>
      </w:pPr>
      <w:rPr>
        <w:rFonts w:ascii="Wingdings" w:hAnsi="Wingdings" w:hint="default"/>
      </w:rPr>
    </w:lvl>
    <w:lvl w:ilvl="3" w:tplc="854C1BA8">
      <w:start w:val="1"/>
      <w:numFmt w:val="bullet"/>
      <w:lvlText w:val=""/>
      <w:lvlJc w:val="left"/>
      <w:pPr>
        <w:tabs>
          <w:tab w:val="num" w:pos="5040"/>
        </w:tabs>
        <w:ind w:left="5040" w:hanging="360"/>
      </w:pPr>
      <w:rPr>
        <w:rFonts w:ascii="Symbol" w:hAnsi="Symbol" w:hint="default"/>
      </w:rPr>
    </w:lvl>
    <w:lvl w:ilvl="4" w:tplc="7D746F28" w:tentative="1">
      <w:start w:val="1"/>
      <w:numFmt w:val="bullet"/>
      <w:lvlText w:val="o"/>
      <w:lvlJc w:val="left"/>
      <w:pPr>
        <w:tabs>
          <w:tab w:val="num" w:pos="5760"/>
        </w:tabs>
        <w:ind w:left="5760" w:hanging="360"/>
      </w:pPr>
      <w:rPr>
        <w:rFonts w:ascii="Courier New" w:hAnsi="Courier New" w:hint="default"/>
      </w:rPr>
    </w:lvl>
    <w:lvl w:ilvl="5" w:tplc="C67E42EA" w:tentative="1">
      <w:start w:val="1"/>
      <w:numFmt w:val="bullet"/>
      <w:lvlText w:val=""/>
      <w:lvlJc w:val="left"/>
      <w:pPr>
        <w:tabs>
          <w:tab w:val="num" w:pos="6480"/>
        </w:tabs>
        <w:ind w:left="6480" w:hanging="360"/>
      </w:pPr>
      <w:rPr>
        <w:rFonts w:ascii="Wingdings" w:hAnsi="Wingdings" w:hint="default"/>
      </w:rPr>
    </w:lvl>
    <w:lvl w:ilvl="6" w:tplc="718C736A" w:tentative="1">
      <w:start w:val="1"/>
      <w:numFmt w:val="bullet"/>
      <w:lvlText w:val=""/>
      <w:lvlJc w:val="left"/>
      <w:pPr>
        <w:tabs>
          <w:tab w:val="num" w:pos="7200"/>
        </w:tabs>
        <w:ind w:left="7200" w:hanging="360"/>
      </w:pPr>
      <w:rPr>
        <w:rFonts w:ascii="Symbol" w:hAnsi="Symbol" w:hint="default"/>
      </w:rPr>
    </w:lvl>
    <w:lvl w:ilvl="7" w:tplc="1856E0D2" w:tentative="1">
      <w:start w:val="1"/>
      <w:numFmt w:val="bullet"/>
      <w:lvlText w:val="o"/>
      <w:lvlJc w:val="left"/>
      <w:pPr>
        <w:tabs>
          <w:tab w:val="num" w:pos="7920"/>
        </w:tabs>
        <w:ind w:left="7920" w:hanging="360"/>
      </w:pPr>
      <w:rPr>
        <w:rFonts w:ascii="Courier New" w:hAnsi="Courier New" w:hint="default"/>
      </w:rPr>
    </w:lvl>
    <w:lvl w:ilvl="8" w:tplc="5FEAED2E"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1DE8B1DA">
      <w:start w:val="2"/>
      <w:numFmt w:val="upperLetter"/>
      <w:lvlText w:val="%1."/>
      <w:lvlJc w:val="left"/>
      <w:pPr>
        <w:tabs>
          <w:tab w:val="num" w:pos="1440"/>
        </w:tabs>
        <w:ind w:left="1440" w:hanging="720"/>
      </w:pPr>
      <w:rPr>
        <w:rFonts w:hint="default"/>
      </w:rPr>
    </w:lvl>
    <w:lvl w:ilvl="1" w:tplc="9F9A60F6">
      <w:start w:val="2"/>
      <w:numFmt w:val="lowerRoman"/>
      <w:lvlText w:val="(%2)"/>
      <w:lvlJc w:val="left"/>
      <w:pPr>
        <w:tabs>
          <w:tab w:val="num" w:pos="2160"/>
        </w:tabs>
        <w:ind w:left="2160" w:hanging="720"/>
      </w:pPr>
      <w:rPr>
        <w:rFonts w:hint="default"/>
        <w:b/>
      </w:rPr>
    </w:lvl>
    <w:lvl w:ilvl="2" w:tplc="1910F23A" w:tentative="1">
      <w:start w:val="1"/>
      <w:numFmt w:val="lowerRoman"/>
      <w:lvlText w:val="%3."/>
      <w:lvlJc w:val="right"/>
      <w:pPr>
        <w:tabs>
          <w:tab w:val="num" w:pos="2520"/>
        </w:tabs>
        <w:ind w:left="2520" w:hanging="180"/>
      </w:pPr>
    </w:lvl>
    <w:lvl w:ilvl="3" w:tplc="334C60BC" w:tentative="1">
      <w:start w:val="1"/>
      <w:numFmt w:val="decimal"/>
      <w:lvlText w:val="%4."/>
      <w:lvlJc w:val="left"/>
      <w:pPr>
        <w:tabs>
          <w:tab w:val="num" w:pos="3240"/>
        </w:tabs>
        <w:ind w:left="3240" w:hanging="360"/>
      </w:pPr>
    </w:lvl>
    <w:lvl w:ilvl="4" w:tplc="92AC4212" w:tentative="1">
      <w:start w:val="1"/>
      <w:numFmt w:val="lowerLetter"/>
      <w:lvlText w:val="%5."/>
      <w:lvlJc w:val="left"/>
      <w:pPr>
        <w:tabs>
          <w:tab w:val="num" w:pos="3960"/>
        </w:tabs>
        <w:ind w:left="3960" w:hanging="360"/>
      </w:pPr>
    </w:lvl>
    <w:lvl w:ilvl="5" w:tplc="1FD811B2" w:tentative="1">
      <w:start w:val="1"/>
      <w:numFmt w:val="lowerRoman"/>
      <w:lvlText w:val="%6."/>
      <w:lvlJc w:val="right"/>
      <w:pPr>
        <w:tabs>
          <w:tab w:val="num" w:pos="4680"/>
        </w:tabs>
        <w:ind w:left="4680" w:hanging="180"/>
      </w:pPr>
    </w:lvl>
    <w:lvl w:ilvl="6" w:tplc="47FE59B4" w:tentative="1">
      <w:start w:val="1"/>
      <w:numFmt w:val="decimal"/>
      <w:lvlText w:val="%7."/>
      <w:lvlJc w:val="left"/>
      <w:pPr>
        <w:tabs>
          <w:tab w:val="num" w:pos="5400"/>
        </w:tabs>
        <w:ind w:left="5400" w:hanging="360"/>
      </w:pPr>
    </w:lvl>
    <w:lvl w:ilvl="7" w:tplc="B43E332E" w:tentative="1">
      <w:start w:val="1"/>
      <w:numFmt w:val="lowerLetter"/>
      <w:lvlText w:val="%8."/>
      <w:lvlJc w:val="left"/>
      <w:pPr>
        <w:tabs>
          <w:tab w:val="num" w:pos="6120"/>
        </w:tabs>
        <w:ind w:left="6120" w:hanging="360"/>
      </w:pPr>
    </w:lvl>
    <w:lvl w:ilvl="8" w:tplc="E9B69CEC"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1416013A">
      <w:start w:val="1"/>
      <w:numFmt w:val="bullet"/>
      <w:lvlText w:val=""/>
      <w:lvlJc w:val="left"/>
      <w:pPr>
        <w:tabs>
          <w:tab w:val="num" w:pos="720"/>
        </w:tabs>
        <w:ind w:left="720" w:hanging="360"/>
      </w:pPr>
      <w:rPr>
        <w:rFonts w:ascii="Wingdings" w:hAnsi="Wingdings" w:hint="default"/>
      </w:rPr>
    </w:lvl>
    <w:lvl w:ilvl="1" w:tplc="6D0C05B2">
      <w:start w:val="188"/>
      <w:numFmt w:val="bullet"/>
      <w:lvlText w:val=""/>
      <w:lvlJc w:val="left"/>
      <w:pPr>
        <w:tabs>
          <w:tab w:val="num" w:pos="1440"/>
        </w:tabs>
        <w:ind w:left="1440" w:hanging="360"/>
      </w:pPr>
      <w:rPr>
        <w:rFonts w:ascii="Wingdings" w:hAnsi="Wingdings" w:hint="default"/>
        <w:u w:val="double"/>
      </w:rPr>
    </w:lvl>
    <w:lvl w:ilvl="2" w:tplc="C26098D0">
      <w:start w:val="188"/>
      <w:numFmt w:val="bullet"/>
      <w:lvlText w:val="•"/>
      <w:lvlJc w:val="left"/>
      <w:pPr>
        <w:tabs>
          <w:tab w:val="num" w:pos="2160"/>
        </w:tabs>
        <w:ind w:left="2160" w:hanging="360"/>
      </w:pPr>
      <w:rPr>
        <w:rFonts w:ascii="Times New Roman" w:hAnsi="Times New Roman" w:hint="default"/>
        <w:u w:val="double"/>
      </w:rPr>
    </w:lvl>
    <w:lvl w:ilvl="3" w:tplc="E5ACA7B8" w:tentative="1">
      <w:start w:val="1"/>
      <w:numFmt w:val="bullet"/>
      <w:lvlText w:val=""/>
      <w:lvlJc w:val="left"/>
      <w:pPr>
        <w:tabs>
          <w:tab w:val="num" w:pos="2880"/>
        </w:tabs>
        <w:ind w:left="2880" w:hanging="360"/>
      </w:pPr>
      <w:rPr>
        <w:rFonts w:ascii="Wingdings" w:hAnsi="Wingdings" w:hint="default"/>
      </w:rPr>
    </w:lvl>
    <w:lvl w:ilvl="4" w:tplc="C31C804A" w:tentative="1">
      <w:start w:val="1"/>
      <w:numFmt w:val="bullet"/>
      <w:lvlText w:val=""/>
      <w:lvlJc w:val="left"/>
      <w:pPr>
        <w:tabs>
          <w:tab w:val="num" w:pos="3600"/>
        </w:tabs>
        <w:ind w:left="3600" w:hanging="360"/>
      </w:pPr>
      <w:rPr>
        <w:rFonts w:ascii="Wingdings" w:hAnsi="Wingdings" w:hint="default"/>
      </w:rPr>
    </w:lvl>
    <w:lvl w:ilvl="5" w:tplc="FE0E00A8" w:tentative="1">
      <w:start w:val="1"/>
      <w:numFmt w:val="bullet"/>
      <w:lvlText w:val=""/>
      <w:lvlJc w:val="left"/>
      <w:pPr>
        <w:tabs>
          <w:tab w:val="num" w:pos="4320"/>
        </w:tabs>
        <w:ind w:left="4320" w:hanging="360"/>
      </w:pPr>
      <w:rPr>
        <w:rFonts w:ascii="Wingdings" w:hAnsi="Wingdings" w:hint="default"/>
      </w:rPr>
    </w:lvl>
    <w:lvl w:ilvl="6" w:tplc="AD704CC2" w:tentative="1">
      <w:start w:val="1"/>
      <w:numFmt w:val="bullet"/>
      <w:lvlText w:val=""/>
      <w:lvlJc w:val="left"/>
      <w:pPr>
        <w:tabs>
          <w:tab w:val="num" w:pos="5040"/>
        </w:tabs>
        <w:ind w:left="5040" w:hanging="360"/>
      </w:pPr>
      <w:rPr>
        <w:rFonts w:ascii="Wingdings" w:hAnsi="Wingdings" w:hint="default"/>
      </w:rPr>
    </w:lvl>
    <w:lvl w:ilvl="7" w:tplc="0E04F97E" w:tentative="1">
      <w:start w:val="1"/>
      <w:numFmt w:val="bullet"/>
      <w:lvlText w:val=""/>
      <w:lvlJc w:val="left"/>
      <w:pPr>
        <w:tabs>
          <w:tab w:val="num" w:pos="5760"/>
        </w:tabs>
        <w:ind w:left="5760" w:hanging="360"/>
      </w:pPr>
      <w:rPr>
        <w:rFonts w:ascii="Wingdings" w:hAnsi="Wingdings" w:hint="default"/>
      </w:rPr>
    </w:lvl>
    <w:lvl w:ilvl="8" w:tplc="11FC6072"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C922B7FA">
      <w:start w:val="1"/>
      <w:numFmt w:val="bullet"/>
      <w:lvlText w:val=""/>
      <w:lvlJc w:val="left"/>
      <w:pPr>
        <w:tabs>
          <w:tab w:val="num" w:pos="720"/>
        </w:tabs>
        <w:ind w:left="720" w:hanging="360"/>
      </w:pPr>
      <w:rPr>
        <w:rFonts w:ascii="Wingdings" w:hAnsi="Wingdings" w:hint="default"/>
      </w:rPr>
    </w:lvl>
    <w:lvl w:ilvl="1" w:tplc="80CCA6B4">
      <w:start w:val="11463"/>
      <w:numFmt w:val="bullet"/>
      <w:lvlText w:val=""/>
      <w:lvlJc w:val="left"/>
      <w:pPr>
        <w:tabs>
          <w:tab w:val="num" w:pos="1440"/>
        </w:tabs>
        <w:ind w:left="1440" w:hanging="360"/>
      </w:pPr>
      <w:rPr>
        <w:rFonts w:ascii="Wingdings" w:hAnsi="Wingdings" w:hint="default"/>
        <w:u w:val="double"/>
      </w:rPr>
    </w:lvl>
    <w:lvl w:ilvl="2" w:tplc="D8BC4590">
      <w:start w:val="11463"/>
      <w:numFmt w:val="bullet"/>
      <w:lvlText w:val="•"/>
      <w:lvlJc w:val="left"/>
      <w:pPr>
        <w:tabs>
          <w:tab w:val="num" w:pos="2160"/>
        </w:tabs>
        <w:ind w:left="2160" w:hanging="360"/>
      </w:pPr>
      <w:rPr>
        <w:rFonts w:ascii="Times New Roman" w:hAnsi="Times New Roman" w:hint="default"/>
      </w:rPr>
    </w:lvl>
    <w:lvl w:ilvl="3" w:tplc="0F6AAF52" w:tentative="1">
      <w:start w:val="1"/>
      <w:numFmt w:val="bullet"/>
      <w:lvlText w:val=""/>
      <w:lvlJc w:val="left"/>
      <w:pPr>
        <w:tabs>
          <w:tab w:val="num" w:pos="2880"/>
        </w:tabs>
        <w:ind w:left="2880" w:hanging="360"/>
      </w:pPr>
      <w:rPr>
        <w:rFonts w:ascii="Wingdings" w:hAnsi="Wingdings" w:hint="default"/>
      </w:rPr>
    </w:lvl>
    <w:lvl w:ilvl="4" w:tplc="8C74BF50" w:tentative="1">
      <w:start w:val="1"/>
      <w:numFmt w:val="bullet"/>
      <w:lvlText w:val=""/>
      <w:lvlJc w:val="left"/>
      <w:pPr>
        <w:tabs>
          <w:tab w:val="num" w:pos="3600"/>
        </w:tabs>
        <w:ind w:left="3600" w:hanging="360"/>
      </w:pPr>
      <w:rPr>
        <w:rFonts w:ascii="Wingdings" w:hAnsi="Wingdings" w:hint="default"/>
      </w:rPr>
    </w:lvl>
    <w:lvl w:ilvl="5" w:tplc="F13668B0" w:tentative="1">
      <w:start w:val="1"/>
      <w:numFmt w:val="bullet"/>
      <w:lvlText w:val=""/>
      <w:lvlJc w:val="left"/>
      <w:pPr>
        <w:tabs>
          <w:tab w:val="num" w:pos="4320"/>
        </w:tabs>
        <w:ind w:left="4320" w:hanging="360"/>
      </w:pPr>
      <w:rPr>
        <w:rFonts w:ascii="Wingdings" w:hAnsi="Wingdings" w:hint="default"/>
      </w:rPr>
    </w:lvl>
    <w:lvl w:ilvl="6" w:tplc="B7C6A498" w:tentative="1">
      <w:start w:val="1"/>
      <w:numFmt w:val="bullet"/>
      <w:lvlText w:val=""/>
      <w:lvlJc w:val="left"/>
      <w:pPr>
        <w:tabs>
          <w:tab w:val="num" w:pos="5040"/>
        </w:tabs>
        <w:ind w:left="5040" w:hanging="360"/>
      </w:pPr>
      <w:rPr>
        <w:rFonts w:ascii="Wingdings" w:hAnsi="Wingdings" w:hint="default"/>
      </w:rPr>
    </w:lvl>
    <w:lvl w:ilvl="7" w:tplc="EEF823FC" w:tentative="1">
      <w:start w:val="1"/>
      <w:numFmt w:val="bullet"/>
      <w:lvlText w:val=""/>
      <w:lvlJc w:val="left"/>
      <w:pPr>
        <w:tabs>
          <w:tab w:val="num" w:pos="5760"/>
        </w:tabs>
        <w:ind w:left="5760" w:hanging="360"/>
      </w:pPr>
      <w:rPr>
        <w:rFonts w:ascii="Wingdings" w:hAnsi="Wingdings" w:hint="default"/>
      </w:rPr>
    </w:lvl>
    <w:lvl w:ilvl="8" w:tplc="05944F18"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C7466632">
      <w:start w:val="1"/>
      <w:numFmt w:val="bullet"/>
      <w:lvlText w:val=""/>
      <w:lvlJc w:val="left"/>
      <w:pPr>
        <w:tabs>
          <w:tab w:val="num" w:pos="720"/>
        </w:tabs>
        <w:ind w:left="720" w:hanging="360"/>
      </w:pPr>
      <w:rPr>
        <w:rFonts w:ascii="Wingdings" w:hAnsi="Wingdings" w:hint="default"/>
      </w:rPr>
    </w:lvl>
    <w:lvl w:ilvl="1" w:tplc="EBEE9870">
      <w:start w:val="188"/>
      <w:numFmt w:val="bullet"/>
      <w:lvlText w:val=""/>
      <w:lvlJc w:val="left"/>
      <w:pPr>
        <w:tabs>
          <w:tab w:val="num" w:pos="1440"/>
        </w:tabs>
        <w:ind w:left="1440" w:hanging="360"/>
      </w:pPr>
      <w:rPr>
        <w:rFonts w:ascii="Wingdings" w:hAnsi="Wingdings" w:hint="default"/>
        <w:u w:val="double"/>
      </w:rPr>
    </w:lvl>
    <w:lvl w:ilvl="2" w:tplc="971A4516">
      <w:start w:val="188"/>
      <w:numFmt w:val="bullet"/>
      <w:lvlText w:val="•"/>
      <w:lvlJc w:val="left"/>
      <w:pPr>
        <w:tabs>
          <w:tab w:val="num" w:pos="2160"/>
        </w:tabs>
        <w:ind w:left="2160" w:hanging="360"/>
      </w:pPr>
      <w:rPr>
        <w:rFonts w:ascii="Times New Roman" w:hAnsi="Times New Roman" w:hint="default"/>
        <w:u w:val="none"/>
      </w:rPr>
    </w:lvl>
    <w:lvl w:ilvl="3" w:tplc="CE9A90AE" w:tentative="1">
      <w:start w:val="1"/>
      <w:numFmt w:val="bullet"/>
      <w:lvlText w:val=""/>
      <w:lvlJc w:val="left"/>
      <w:pPr>
        <w:tabs>
          <w:tab w:val="num" w:pos="2880"/>
        </w:tabs>
        <w:ind w:left="2880" w:hanging="360"/>
      </w:pPr>
      <w:rPr>
        <w:rFonts w:ascii="Wingdings" w:hAnsi="Wingdings" w:hint="default"/>
      </w:rPr>
    </w:lvl>
    <w:lvl w:ilvl="4" w:tplc="E018B2D8" w:tentative="1">
      <w:start w:val="1"/>
      <w:numFmt w:val="bullet"/>
      <w:lvlText w:val=""/>
      <w:lvlJc w:val="left"/>
      <w:pPr>
        <w:tabs>
          <w:tab w:val="num" w:pos="3600"/>
        </w:tabs>
        <w:ind w:left="3600" w:hanging="360"/>
      </w:pPr>
      <w:rPr>
        <w:rFonts w:ascii="Wingdings" w:hAnsi="Wingdings" w:hint="default"/>
      </w:rPr>
    </w:lvl>
    <w:lvl w:ilvl="5" w:tplc="BB402310" w:tentative="1">
      <w:start w:val="1"/>
      <w:numFmt w:val="bullet"/>
      <w:lvlText w:val=""/>
      <w:lvlJc w:val="left"/>
      <w:pPr>
        <w:tabs>
          <w:tab w:val="num" w:pos="4320"/>
        </w:tabs>
        <w:ind w:left="4320" w:hanging="360"/>
      </w:pPr>
      <w:rPr>
        <w:rFonts w:ascii="Wingdings" w:hAnsi="Wingdings" w:hint="default"/>
      </w:rPr>
    </w:lvl>
    <w:lvl w:ilvl="6" w:tplc="5DE24348" w:tentative="1">
      <w:start w:val="1"/>
      <w:numFmt w:val="bullet"/>
      <w:lvlText w:val=""/>
      <w:lvlJc w:val="left"/>
      <w:pPr>
        <w:tabs>
          <w:tab w:val="num" w:pos="5040"/>
        </w:tabs>
        <w:ind w:left="5040" w:hanging="360"/>
      </w:pPr>
      <w:rPr>
        <w:rFonts w:ascii="Wingdings" w:hAnsi="Wingdings" w:hint="default"/>
      </w:rPr>
    </w:lvl>
    <w:lvl w:ilvl="7" w:tplc="924261E4" w:tentative="1">
      <w:start w:val="1"/>
      <w:numFmt w:val="bullet"/>
      <w:lvlText w:val=""/>
      <w:lvlJc w:val="left"/>
      <w:pPr>
        <w:tabs>
          <w:tab w:val="num" w:pos="5760"/>
        </w:tabs>
        <w:ind w:left="5760" w:hanging="360"/>
      </w:pPr>
      <w:rPr>
        <w:rFonts w:ascii="Wingdings" w:hAnsi="Wingdings" w:hint="default"/>
      </w:rPr>
    </w:lvl>
    <w:lvl w:ilvl="8" w:tplc="EB14DB8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5350E"/>
    <w:rsid w:val="00575FE7"/>
    <w:rsid w:val="00F5350E"/>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9579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2020-12-18T22:35:00Z</dcterms:created>
  <dcterms:modified xsi:type="dcterms:W3CDTF">2020-12-18T22:35:00Z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