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048BE">
      <w:pPr>
        <w:pStyle w:val="Heading2"/>
      </w:pPr>
      <w:bookmarkStart w:id="0" w:name="_Toc263691816"/>
      <w:bookmarkStart w:id="1" w:name="_GoBack"/>
      <w:bookmarkEnd w:id="1"/>
      <w:r>
        <w:t>26.2</w:t>
      </w:r>
      <w:r>
        <w:tab/>
        <w:t>Reporting Requirements</w:t>
      </w:r>
      <w:bookmarkEnd w:id="0"/>
    </w:p>
    <w:p w:rsidR="003048BE">
      <w:pPr>
        <w:pStyle w:val="Heading3"/>
      </w:pPr>
      <w:bookmarkStart w:id="2" w:name="_Toc263691817"/>
      <w:r>
        <w:t>26.2.1</w:t>
      </w:r>
      <w:r>
        <w:tab/>
        <w:t>All Customers shall be required to comply with the reporting requirements in this Section 26.2.1</w:t>
      </w:r>
      <w:bookmarkEnd w:id="2"/>
    </w:p>
    <w:p w:rsidR="003048BE">
      <w:pPr>
        <w:pStyle w:val="Heading4"/>
      </w:pPr>
      <w:bookmarkStart w:id="3" w:name="_Toc263691818"/>
      <w:r>
        <w:t xml:space="preserve">26.2.1.1  </w:t>
      </w:r>
      <w:r>
        <w:rPr>
          <w:bCs/>
        </w:rPr>
        <w:tab/>
      </w:r>
      <w:r>
        <w:t>References</w:t>
      </w:r>
      <w:bookmarkEnd w:id="3"/>
      <w:r>
        <w:t xml:space="preserve">  </w:t>
      </w:r>
    </w:p>
    <w:p w:rsidR="003048BE">
      <w:pPr>
        <w:pStyle w:val="Bodypara"/>
      </w:pPr>
      <w:r>
        <w:rPr>
          <w:bCs/>
        </w:rPr>
        <w:t xml:space="preserve">The ISO may require </w:t>
      </w:r>
      <w:r>
        <w:t xml:space="preserve">a Customer to provide references from one (1) bank and up to three </w:t>
      </w:r>
      <w:r>
        <w:rPr>
          <w:rStyle w:val="romannumeralparaChar"/>
        </w:rPr>
        <w:t>(</w:t>
      </w:r>
      <w:r>
        <w:t xml:space="preserve">3) </w:t>
      </w:r>
      <w:r>
        <w:t xml:space="preserve">utilities.  A Customer that does not have utility </w:t>
      </w:r>
      <w:r>
        <w:t>references,</w:t>
      </w:r>
      <w:r>
        <w:t xml:space="preserve"> may substitute trade payable vendor references.</w:t>
      </w:r>
    </w:p>
    <w:p w:rsidR="003048BE">
      <w:pPr>
        <w:pStyle w:val="Heading4"/>
      </w:pPr>
      <w:bookmarkStart w:id="4" w:name="_Toc263691819"/>
      <w:r>
        <w:t>26.2.1.2</w:t>
      </w:r>
      <w:r>
        <w:tab/>
        <w:t>Prior Bankruptcy or Default</w:t>
      </w:r>
      <w:bookmarkEnd w:id="4"/>
    </w:p>
    <w:p w:rsidR="003048BE">
      <w:pPr>
        <w:pStyle w:val="Bodypara"/>
      </w:pPr>
      <w:r>
        <w:t xml:space="preserve">A Customer shall </w:t>
      </w:r>
      <w:r>
        <w:rPr>
          <w:bCs/>
        </w:rPr>
        <w:t>inform</w:t>
      </w:r>
      <w:r>
        <w:t xml:space="preserve"> the ISO of any prior bankruptcy </w:t>
      </w:r>
      <w:r>
        <w:rPr>
          <w:rStyle w:val="romannumeralparaChar"/>
        </w:rPr>
        <w:t>declarations</w:t>
      </w:r>
      <w:r>
        <w:t xml:space="preserve"> or material defaults by the Customer or </w:t>
      </w:r>
      <w:r>
        <w:t xml:space="preserve">its </w:t>
      </w:r>
      <w:r>
        <w:rPr>
          <w:rStyle w:val="romannumeralparaChar"/>
        </w:rPr>
        <w:t>predecessors</w:t>
      </w:r>
      <w:r>
        <w:t xml:space="preserve">, </w:t>
      </w:r>
      <w:r>
        <w:rPr>
          <w:rStyle w:val="romannumeralparaChar"/>
        </w:rPr>
        <w:t>subsidiaries</w:t>
      </w:r>
      <w:r>
        <w:t xml:space="preserve">, or Affiliates occurring within the previous five (5) years.  </w:t>
      </w:r>
    </w:p>
    <w:p w:rsidR="003048BE">
      <w:pPr>
        <w:pStyle w:val="Heading4"/>
      </w:pPr>
      <w:bookmarkStart w:id="5" w:name="_Toc263691820"/>
      <w:r>
        <w:t>26.2.1.3</w:t>
      </w:r>
      <w:r>
        <w:tab/>
        <w:t>Investigations</w:t>
      </w:r>
      <w:bookmarkEnd w:id="5"/>
    </w:p>
    <w:p w:rsidR="003048BE">
      <w:pPr>
        <w:pStyle w:val="Bodypara"/>
        <w:rPr>
          <w:bCs/>
        </w:rPr>
      </w:pPr>
      <w:r>
        <w:rPr>
          <w:szCs w:val="28"/>
        </w:rPr>
        <w:t xml:space="preserve"> Unless prohibited by law,</w:t>
      </w:r>
      <w:r>
        <w:rPr>
          <w:bCs/>
        </w:rPr>
        <w:t xml:space="preserve"> a</w:t>
      </w:r>
      <w:r>
        <w:rPr>
          <w:bCs/>
        </w:rPr>
        <w:t xml:space="preserve"> Customer shall inform the ISO of the existence of any ongoing investigations of which the Customer is aware </w:t>
      </w:r>
      <w:r>
        <w:rPr>
          <w:bCs/>
        </w:rPr>
        <w:t xml:space="preserve">by the Securities and Exchange Commission, the </w:t>
      </w:r>
      <w:r>
        <w:t>Department</w:t>
      </w:r>
      <w:r>
        <w:rPr>
          <w:bCs/>
        </w:rPr>
        <w:t xml:space="preserve"> of Justice, the Federal Energy Regulatory Commission, or the New York Public Service Commission which could have a material </w:t>
      </w:r>
      <w:r>
        <w:t>impact</w:t>
      </w:r>
      <w:r>
        <w:rPr>
          <w:bCs/>
        </w:rPr>
        <w:t xml:space="preserve"> on the Customer’s financial condition.</w:t>
      </w:r>
      <w:r>
        <w:rPr>
          <w:bCs/>
        </w:rPr>
        <w:t xml:space="preserve">  </w:t>
      </w:r>
      <w:r>
        <w:rPr>
          <w:szCs w:val="28"/>
        </w:rPr>
        <w:t>Customer must take reasonab</w:t>
      </w:r>
      <w:r>
        <w:rPr>
          <w:szCs w:val="28"/>
        </w:rPr>
        <w:t>le measures to obtain permission to disclose information related to a non-public investigation.</w:t>
      </w:r>
    </w:p>
    <w:p w:rsidR="003048BE">
      <w:pPr>
        <w:pStyle w:val="Heading4"/>
      </w:pPr>
      <w:bookmarkStart w:id="6" w:name="_Toc263691821"/>
      <w:r>
        <w:t>26.2.1.4</w:t>
      </w:r>
      <w:r>
        <w:tab/>
        <w:t>Material Change in Financial Status</w:t>
      </w:r>
      <w:bookmarkEnd w:id="6"/>
      <w:r>
        <w:t xml:space="preserve">  </w:t>
      </w:r>
    </w:p>
    <w:p w:rsidR="003048BE">
      <w:pPr>
        <w:pStyle w:val="Bodypara"/>
      </w:pPr>
      <w:r>
        <w:rPr>
          <w:bCs/>
        </w:rPr>
        <w:t>A Customer shall inform the ISO of any material change in its financial status within five (5) business days, inc</w:t>
      </w:r>
      <w:r>
        <w:rPr>
          <w:bCs/>
        </w:rPr>
        <w:t>luding but not limited to: (a) a downgrade of a long- or short-term debt rating by any ISO-approved rating agency; (b) placement on a negative credit watch by any ISO-</w:t>
      </w:r>
      <w:r>
        <w:rPr>
          <w:bCs/>
        </w:rPr>
        <w:t xml:space="preserve">approved rating </w:t>
      </w:r>
      <w:r>
        <w:t>agency</w:t>
      </w:r>
      <w:r>
        <w:rPr>
          <w:bCs/>
        </w:rPr>
        <w:t>; (c) a bankruptcy filing, insolvency, or a default under any</w:t>
      </w:r>
      <w:r>
        <w:t xml:space="preserve"> </w:t>
      </w:r>
      <w:r>
        <w:rPr>
          <w:bCs/>
        </w:rPr>
        <w:t>finan</w:t>
      </w:r>
      <w:r>
        <w:rPr>
          <w:bCs/>
        </w:rPr>
        <w:t>cing agreement; (d) resignation or termination of a key officer; (e) initiation of a lawsuit that could materially and adversely impact current or future financial performance; or (f) restatement of prior financial statements.</w:t>
      </w:r>
    </w:p>
    <w:p w:rsidR="003048BE">
      <w:pPr>
        <w:pStyle w:val="Heading4"/>
      </w:pPr>
      <w:bookmarkStart w:id="7" w:name="_Toc263691822"/>
      <w:r>
        <w:t>26.2.1.5</w:t>
      </w:r>
      <w:r>
        <w:tab/>
        <w:t>Change in Peak Load</w:t>
      </w:r>
      <w:bookmarkEnd w:id="7"/>
      <w:r>
        <w:t xml:space="preserve"> </w:t>
      </w:r>
      <w:r>
        <w:t xml:space="preserve"> </w:t>
      </w:r>
    </w:p>
    <w:p w:rsidR="003048BE">
      <w:pPr>
        <w:pStyle w:val="Bodypara"/>
        <w:rPr>
          <w:bCs/>
        </w:rPr>
      </w:pPr>
      <w:r>
        <w:rPr>
          <w:bCs/>
        </w:rPr>
        <w:t xml:space="preserve">A Load Serving Entity shall inform the ISO as soon as practicable if it expects its peak Load to increase by fifteen percent (15%) or more above its </w:t>
      </w:r>
      <w:r>
        <w:t>peak</w:t>
      </w:r>
      <w:r>
        <w:rPr>
          <w:bCs/>
        </w:rPr>
        <w:t xml:space="preserve"> Load during the Prior Equivalent Capability Period.</w:t>
      </w:r>
    </w:p>
    <w:p w:rsidR="003048BE">
      <w:pPr>
        <w:pStyle w:val="Heading4"/>
      </w:pPr>
      <w:r>
        <w:rPr>
          <w:szCs w:val="24"/>
        </w:rPr>
        <w:t xml:space="preserve">26.2.1.6 </w:t>
      </w:r>
      <w:r>
        <w:rPr>
          <w:szCs w:val="24"/>
        </w:rPr>
        <w:tab/>
      </w:r>
      <w:r>
        <w:t>Financial</w:t>
      </w:r>
      <w:r>
        <w:rPr>
          <w:szCs w:val="24"/>
        </w:rPr>
        <w:t xml:space="preserve"> Statements</w:t>
      </w:r>
    </w:p>
    <w:p w:rsidR="003048BE">
      <w:pPr>
        <w:pStyle w:val="Bodypara"/>
        <w:rPr>
          <w:szCs w:val="24"/>
        </w:rPr>
      </w:pPr>
      <w:r>
        <w:rPr>
          <w:szCs w:val="24"/>
        </w:rPr>
        <w:t>Customer shall ke</w:t>
      </w:r>
      <w:r>
        <w:rPr>
          <w:szCs w:val="24"/>
        </w:rPr>
        <w:t xml:space="preserve">ep on file with </w:t>
      </w:r>
      <w:r>
        <w:rPr>
          <w:bCs/>
        </w:rPr>
        <w:t>the</w:t>
      </w:r>
      <w:r>
        <w:rPr>
          <w:szCs w:val="24"/>
        </w:rPr>
        <w:t xml:space="preserve"> ISO its most recent annual financial statements (including, but not limited to, balance sheet and income statement), which shall be submitted to the ISO annually within ten (10) days of such statements becoming available and within nine</w:t>
      </w:r>
      <w:r>
        <w:rPr>
          <w:szCs w:val="24"/>
        </w:rPr>
        <w:t xml:space="preserve">ty (90) days of the end of the fiscal year of such Customer. If such financial statements are not audited, Customer shall submit with the financial statements a certification from an officer of the Customer, in a form acceptable to the ISO, certifying the </w:t>
      </w:r>
      <w:r>
        <w:rPr>
          <w:szCs w:val="24"/>
        </w:rPr>
        <w:t xml:space="preserve">accuracy of the financial statements. </w:t>
      </w:r>
    </w:p>
    <w:p w:rsidR="003048BE">
      <w:pPr>
        <w:pStyle w:val="Bodypara"/>
        <w:rPr>
          <w:szCs w:val="24"/>
        </w:rPr>
      </w:pPr>
      <w:r>
        <w:rPr>
          <w:szCs w:val="24"/>
        </w:rPr>
        <w:t xml:space="preserve">If a </w:t>
      </w:r>
      <w:r>
        <w:rPr>
          <w:bCs/>
        </w:rPr>
        <w:t>Customer</w:t>
      </w:r>
      <w:r>
        <w:rPr>
          <w:szCs w:val="24"/>
        </w:rPr>
        <w:t xml:space="preserve"> does not routinely prepare financial statements, Customer shall submit equivalent financial information annually, as required in the paragraph above, with a certification from an officer of the Customer </w:t>
      </w:r>
      <w:r>
        <w:rPr>
          <w:szCs w:val="24"/>
        </w:rPr>
        <w:t>certifying the accuracy of the financial information submitted, in forms acceptable to the ISO.</w:t>
      </w:r>
    </w:p>
    <w:p w:rsidR="003048BE">
      <w:pPr>
        <w:pStyle w:val="Bodypara"/>
        <w:rPr>
          <w:szCs w:val="24"/>
        </w:rPr>
      </w:pPr>
      <w:r>
        <w:rPr>
          <w:szCs w:val="24"/>
        </w:rPr>
        <w:t xml:space="preserve">The ISO </w:t>
      </w:r>
      <w:r>
        <w:rPr>
          <w:bCs/>
        </w:rPr>
        <w:t>may</w:t>
      </w:r>
      <w:r>
        <w:rPr>
          <w:szCs w:val="24"/>
        </w:rPr>
        <w:t xml:space="preserve"> grant an extension for the provision of the required financial information under this Section 26.2.1.6 upon a showing of good cause.</w:t>
      </w:r>
    </w:p>
    <w:p w:rsidR="003048BE">
      <w:pPr>
        <w:pStyle w:val="Heading3"/>
        <w:rPr>
          <w:bCs/>
        </w:rPr>
      </w:pPr>
      <w:bookmarkStart w:id="8" w:name="_Toc263691823"/>
      <w:r>
        <w:t>26.2.2</w:t>
      </w:r>
      <w:r>
        <w:tab/>
        <w:t>Customer</w:t>
      </w:r>
      <w:r>
        <w:t>s Requesting Unsecured Credit</w:t>
      </w:r>
      <w:bookmarkEnd w:id="8"/>
      <w:r>
        <w:rPr>
          <w:bCs/>
        </w:rPr>
        <w:t xml:space="preserve">  </w:t>
      </w:r>
    </w:p>
    <w:p w:rsidR="003048BE">
      <w:pPr>
        <w:pStyle w:val="Bodypara"/>
        <w:rPr>
          <w:bCs/>
        </w:rPr>
      </w:pPr>
      <w:r>
        <w:rPr>
          <w:bCs/>
        </w:rPr>
        <w:t xml:space="preserve">In addition to the reporting requirements in Section </w:t>
      </w:r>
      <w:r>
        <w:t>26.2.1</w:t>
      </w:r>
      <w:r>
        <w:rPr>
          <w:bCs/>
        </w:rPr>
        <w:t xml:space="preserve">., above, a Customer requesting Unsecured Credit, including a request for an Equivalency </w:t>
      </w:r>
      <w:r>
        <w:t>Rating</w:t>
      </w:r>
      <w:r>
        <w:rPr>
          <w:bCs/>
        </w:rPr>
        <w:t xml:space="preserve">, shall be required to comply with the reporting requirements of this </w:t>
      </w:r>
      <w:r>
        <w:rPr>
          <w:bCs/>
        </w:rPr>
        <w:t xml:space="preserve">Section </w:t>
      </w:r>
      <w:r>
        <w:t>26.2.2</w:t>
      </w:r>
      <w:r>
        <w:rPr>
          <w:bCs/>
        </w:rPr>
        <w:t xml:space="preserve">. </w:t>
      </w:r>
    </w:p>
    <w:p w:rsidR="003048BE">
      <w:pPr>
        <w:pStyle w:val="Heading4"/>
      </w:pPr>
      <w:bookmarkStart w:id="9" w:name="_Toc263691824"/>
      <w:r>
        <w:t>26.2.2.1</w:t>
      </w:r>
      <w:r>
        <w:tab/>
        <w:t>Financial Statements</w:t>
      </w:r>
      <w:bookmarkEnd w:id="9"/>
      <w:r>
        <w:t xml:space="preserve"> </w:t>
      </w:r>
    </w:p>
    <w:p w:rsidR="003048BE">
      <w:pPr>
        <w:pStyle w:val="Bodypara"/>
      </w:pPr>
      <w:r>
        <w:rPr>
          <w:bCs/>
        </w:rPr>
        <w:t xml:space="preserve">A Customer requesting Unsecured Credit shall provide to the ISO audited annual financial statements from the most recent three (3) years and its recent </w:t>
      </w:r>
      <w:r>
        <w:t>quarterly</w:t>
      </w:r>
      <w:r>
        <w:rPr>
          <w:bCs/>
        </w:rPr>
        <w:t xml:space="preserve"> financial statement.  Thereafter, the Customer shall provide audited annual financial statements to the ISO </w:t>
      </w:r>
      <w:r>
        <w:t xml:space="preserve">within ten (10) days of such statements becoming available and </w:t>
      </w:r>
      <w:r>
        <w:rPr>
          <w:bCs/>
        </w:rPr>
        <w:t>within ninety (90) days of the end of each fiscal year and shall provide quarterly f</w:t>
      </w:r>
      <w:r>
        <w:rPr>
          <w:bCs/>
        </w:rPr>
        <w:t xml:space="preserve">inancial statements to the ISO within sixty (60) days of the end of each quarter.  The ISO may grant an extension for the provision of quarterly and annual financial statements upon a </w:t>
      </w:r>
      <w:r>
        <w:t>showing</w:t>
      </w:r>
      <w:r>
        <w:rPr>
          <w:bCs/>
        </w:rPr>
        <w:t xml:space="preserve"> of good cause.</w:t>
      </w:r>
      <w:r>
        <w:t xml:space="preserve">  </w:t>
      </w:r>
    </w:p>
    <w:p w:rsidR="003048BE">
      <w:pPr>
        <w:pStyle w:val="Heading4"/>
      </w:pPr>
      <w:bookmarkStart w:id="10" w:name="_Toc263691825"/>
      <w:r>
        <w:t>26.2.2.2</w:t>
      </w:r>
      <w:r>
        <w:tab/>
        <w:t>Publicly-Traded Customer</w:t>
      </w:r>
      <w:bookmarkEnd w:id="10"/>
      <w:r>
        <w:t xml:space="preserve"> </w:t>
      </w:r>
    </w:p>
    <w:p w:rsidR="003048BE">
      <w:pPr>
        <w:pStyle w:val="Bodypara"/>
        <w:rPr>
          <w:bCs/>
        </w:rPr>
      </w:pPr>
      <w:r>
        <w:rPr>
          <w:bCs/>
        </w:rPr>
        <w:t>A publicly-t</w:t>
      </w:r>
      <w:r>
        <w:rPr>
          <w:bCs/>
        </w:rPr>
        <w:t xml:space="preserve">raded Customer shall provide financial statements on </w:t>
      </w:r>
      <w:r>
        <w:t>Form</w:t>
      </w:r>
      <w:r>
        <w:rPr>
          <w:bCs/>
        </w:rPr>
        <w:t xml:space="preserve"> 10-K and 10-Q, respectively.  A publicly-traded Customer shall also provide Form 8-K reports within five (5) business days of their issuance.  Information available on EDGAR shall be deemed provided</w:t>
      </w:r>
      <w:r>
        <w:rPr>
          <w:bCs/>
        </w:rPr>
        <w:t xml:space="preserve"> by a Customer that directs the ISO to obtain it there.</w:t>
      </w:r>
    </w:p>
    <w:p w:rsidR="003048BE">
      <w:pPr>
        <w:pStyle w:val="Heading4"/>
      </w:pPr>
      <w:bookmarkStart w:id="11" w:name="_Toc263691826"/>
      <w:r>
        <w:t>26.2.2.3</w:t>
      </w:r>
      <w:r>
        <w:tab/>
        <w:t>Privately-Held Customer</w:t>
      </w:r>
      <w:bookmarkEnd w:id="11"/>
      <w:r>
        <w:t xml:space="preserve"> </w:t>
      </w:r>
    </w:p>
    <w:p w:rsidR="003048BE">
      <w:pPr>
        <w:pStyle w:val="Bodypara"/>
        <w:rPr>
          <w:bCs/>
        </w:rPr>
      </w:pPr>
      <w:r>
        <w:rPr>
          <w:bCs/>
        </w:rPr>
        <w:t xml:space="preserve">A Customer that is not publicly-traded shall provide financial statements that include a balance sheet including a statement of stockholders’ </w:t>
      </w:r>
      <w:r>
        <w:t>equity</w:t>
      </w:r>
      <w:r>
        <w:rPr>
          <w:bCs/>
        </w:rPr>
        <w:t>, an income statem</w:t>
      </w:r>
      <w:r>
        <w:rPr>
          <w:bCs/>
        </w:rPr>
        <w:t>ent, a statement of cash flow, notes to the financial statement, and an unqualified auditor’s opinion.</w:t>
      </w:r>
    </w:p>
    <w:p w:rsidR="003048BE">
      <w:pPr>
        <w:pStyle w:val="Heading4"/>
      </w:pPr>
      <w:bookmarkStart w:id="12" w:name="_Toc263691827"/>
      <w:r>
        <w:t>26.2.2.4</w:t>
      </w:r>
      <w:r>
        <w:tab/>
        <w:t>Government Entities</w:t>
      </w:r>
      <w:bookmarkEnd w:id="12"/>
    </w:p>
    <w:p w:rsidR="003048BE">
      <w:pPr>
        <w:pStyle w:val="Bodypara"/>
        <w:rPr>
          <w:bCs/>
        </w:rPr>
      </w:pPr>
      <w:r>
        <w:rPr>
          <w:bCs/>
        </w:rPr>
        <w:t xml:space="preserve">Notwithstanding Section </w:t>
      </w:r>
      <w:r>
        <w:t>26.2.2.1</w:t>
      </w:r>
      <w:r>
        <w:rPr>
          <w:bCs/>
        </w:rPr>
        <w:t xml:space="preserve"> of this Attachment K, government entities that do not normally prepare quarterly financial </w:t>
      </w:r>
      <w:r>
        <w:rPr>
          <w:bCs/>
        </w:rPr>
        <w:t>statements shall not be required to provide them to qualify for Unsecured Credit.</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1/27/2020 - Docket #: ER20-483-000 -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1/27/2020 - Docket #: ER20-483-000 -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1/27/2020 - Docket #: ER20-483-000 -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28431DF"/>
    <w:multiLevelType w:val="hybridMultilevel"/>
    <w:tmpl w:val="07DE4ED0"/>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7D7417"/>
    <w:multiLevelType w:val="hybridMultilevel"/>
    <w:tmpl w:val="214CA428"/>
    <w:lvl w:ilvl="0">
      <w:start w:val="1"/>
      <w:numFmt w:val="lowerLetter"/>
      <w:lvlText w:val="(%1)."/>
      <w:lvlJc w:val="left"/>
      <w:pPr>
        <w:tabs>
          <w:tab w:val="num" w:pos="1440"/>
        </w:tabs>
        <w:ind w:left="1440" w:hanging="720"/>
      </w:pPr>
      <w:rPr>
        <w:rFonts w:cs="Symbol" w:hint="default"/>
        <w:b w:val="0"/>
      </w:rPr>
    </w:lvl>
    <w:lvl w:ilvl="1">
      <w:start w:val="1"/>
      <w:numFmt w:val="lowerRoman"/>
      <w:lvlText w:val="%2."/>
      <w:lvlJc w:val="left"/>
      <w:pPr>
        <w:tabs>
          <w:tab w:val="num" w:pos="2160"/>
        </w:tabs>
        <w:ind w:left="2160" w:hanging="720"/>
      </w:pPr>
      <w:rPr>
        <w:rFonts w:ascii="Times New Roman" w:hAnsi="Times New Roman" w:cs="Helv" w:hint="default"/>
        <w:b w:val="0"/>
        <w:i w:val="0"/>
        <w:sz w:val="24"/>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Wingdings" w:hAnsi="Wingdings" w:hint="default"/>
      </w:rPr>
    </w:lvl>
    <w:lvl w:ilvl="4" w:tentative="1">
      <w:start w:val="1"/>
      <w:numFmt w:val="bullet"/>
      <w:lvlText w:val=""/>
      <w:lvlJc w:val="left"/>
      <w:pPr>
        <w:tabs>
          <w:tab w:val="num" w:pos="3240"/>
        </w:tabs>
        <w:ind w:left="3240" w:hanging="360"/>
      </w:pPr>
      <w:rPr>
        <w:rFonts w:ascii="Wingdings" w:hAnsi="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Wingdings" w:hAnsi="Wingdings" w:hint="default"/>
      </w:rPr>
    </w:lvl>
    <w:lvl w:ilvl="7" w:tentative="1">
      <w:start w:val="1"/>
      <w:numFmt w:val="bullet"/>
      <w:lvlText w:val=""/>
      <w:lvlJc w:val="left"/>
      <w:pPr>
        <w:tabs>
          <w:tab w:val="num" w:pos="5400"/>
        </w:tabs>
        <w:ind w:left="5400" w:hanging="360"/>
      </w:pPr>
      <w:rPr>
        <w:rFonts w:ascii="Wingdings" w:hAnsi="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B827D5D"/>
    <w:multiLevelType w:val="hybridMultilevel"/>
    <w:tmpl w:val="DF00B32A"/>
    <w:lvl w:ilvl="0">
      <w:start w:val="3"/>
      <w:numFmt w:val="lowerRoman"/>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6775B9"/>
    <w:multiLevelType w:val="hybridMultilevel"/>
    <w:tmpl w:val="96305652"/>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31DB63D5"/>
    <w:multiLevelType w:val="hybridMultilevel"/>
    <w:tmpl w:val="3A9A70CC"/>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none"/>
      </w:rPr>
    </w:lvl>
    <w:lvl w:ilvl="2">
      <w:start w:val="188"/>
      <w:numFmt w:val="bullet"/>
      <w:lvlText w:val="•"/>
      <w:lvlJc w:val="left"/>
      <w:pPr>
        <w:tabs>
          <w:tab w:val="num" w:pos="2160"/>
        </w:tabs>
        <w:ind w:left="2160" w:hanging="360"/>
      </w:pPr>
      <w:rPr>
        <w:rFonts w:ascii="Times New Roman" w:hAnsi="Times New Roman" w:hint="default"/>
        <w:u w:val="doubl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E247C3"/>
    <w:multiLevelType w:val="hybridMultilevel"/>
    <w:tmpl w:val="746CEA3E"/>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none"/>
      </w:rPr>
    </w:lvl>
    <w:lvl w:ilvl="2">
      <w:start w:val="11463"/>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03A3D15"/>
    <w:multiLevelType w:val="hybridMultilevel"/>
    <w:tmpl w:val="4C608DF0"/>
    <w:lvl w:ilvl="0">
      <w:start w:val="2"/>
      <w:numFmt w:val="upperLetter"/>
      <w:lvlText w:val="%1."/>
      <w:lvlJc w:val="left"/>
      <w:pPr>
        <w:tabs>
          <w:tab w:val="num" w:pos="1440"/>
        </w:tabs>
        <w:ind w:left="1440" w:hanging="720"/>
      </w:pPr>
      <w:rPr>
        <w:rFonts w:hint="default"/>
      </w:rPr>
    </w:lvl>
    <w:lvl w:ilvl="1">
      <w:start w:val="2"/>
      <w:numFmt w:val="lowerRoman"/>
      <w:lvlText w:val="(%2)"/>
      <w:lvlJc w:val="left"/>
      <w:pPr>
        <w:tabs>
          <w:tab w:val="num" w:pos="2160"/>
        </w:tabs>
        <w:ind w:left="2160" w:hanging="720"/>
      </w:pPr>
      <w:rPr>
        <w:rFonts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5">
    <w:nsid w:val="76364F45"/>
    <w:multiLevelType w:val="hybrid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B9E242E"/>
    <w:multiLevelType w:val="hybrid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BC32DC4"/>
    <w:multiLevelType w:val="hybridMultilevel"/>
    <w:tmpl w:val="FED87228"/>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non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9"/>
  </w:num>
  <w:num w:numId="4">
    <w:abstractNumId w:val="2"/>
  </w:num>
  <w:num w:numId="5">
    <w:abstractNumId w:val="23"/>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7"/>
  </w:num>
  <w:num w:numId="10">
    <w:abstractNumId w:val="19"/>
  </w:num>
  <w:num w:numId="11">
    <w:abstractNumId w:val="18"/>
  </w:num>
  <w:num w:numId="12">
    <w:abstractNumId w:val="10"/>
  </w:num>
  <w:num w:numId="13">
    <w:abstractNumId w:val="4"/>
  </w:num>
  <w:num w:numId="14">
    <w:abstractNumId w:val="27"/>
  </w:num>
  <w:num w:numId="15">
    <w:abstractNumId w:val="24"/>
  </w:num>
  <w:num w:numId="16">
    <w:abstractNumId w:val="13"/>
  </w:num>
  <w:num w:numId="17">
    <w:abstractNumId w:val="14"/>
  </w:num>
  <w:num w:numId="18">
    <w:abstractNumId w:val="21"/>
  </w:num>
  <w:num w:numId="19">
    <w:abstractNumId w:val="12"/>
  </w:num>
  <w:num w:numId="20">
    <w:abstractNumId w:val="22"/>
  </w:num>
  <w:num w:numId="21">
    <w:abstractNumId w:val="17"/>
  </w:num>
  <w:num w:numId="22">
    <w:abstractNumId w:val="16"/>
  </w:num>
  <w:num w:numId="23">
    <w:abstractNumId w:val="15"/>
  </w:num>
  <w:num w:numId="24">
    <w:abstractNumId w:val="3"/>
  </w:num>
  <w:num w:numId="25">
    <w:abstractNumId w:val="11"/>
  </w:num>
  <w:num w:numId="26">
    <w:abstractNumId w:val="20"/>
  </w:num>
  <w:num w:numId="27">
    <w:abstractNumId w:val="5"/>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rawingGridHorizontalSpacing w:val="120"/>
  <w:drawingGridVerticalSpacing w:val="187"/>
  <w:displayHorizontalDrawingGridEvery w:val="0"/>
  <w:displayVerticalDrawingGridEvery w:val="0"/>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E"/>
    <w:rsid w:val="003048BE"/>
    <w:rsid w:val="00831558"/>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widowControl/>
      <w:tabs>
        <w:tab w:val="center" w:pos="4680"/>
        <w:tab w:val="right" w:pos="9360"/>
      </w:tabs>
    </w:pPr>
    <w:rPr>
      <w:snapToGrid/>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widowControl/>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link w:val="Bodypara"/>
    <w:rPr>
      <w:snapToGrid w:val="0"/>
      <w:sz w:val="24"/>
    </w:rPr>
  </w:style>
  <w:style w:type="character" w:customStyle="1" w:styleId="Heading1Char">
    <w:name w:val="Heading 1 Char"/>
    <w:link w:val="Heading1"/>
    <w:rPr>
      <w:b/>
      <w:snapToGrid w:val="0"/>
      <w:sz w:val="24"/>
    </w:rPr>
  </w:style>
  <w:style w:type="character" w:customStyle="1" w:styleId="Heading3Char">
    <w:name w:val="Heading 3 Char"/>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napToGrid w:val="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revision>1</cp:revision>
  <cp:lastPrinted>2010-06-07T21:34:00Z</cp:lastPrinted>
  <dcterms:created xsi:type="dcterms:W3CDTF">2020-01-27T12:43:00Z</dcterms:created>
  <dcterms:modified xsi:type="dcterms:W3CDTF">2020-01-27T12:43:00Z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