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B4A82" w14:paraId="4AF11D28" w14:textId="77777777">
      <w:pPr>
        <w:pStyle w:val="Heading1"/>
      </w:pPr>
      <w:bookmarkStart w:id="0" w:name="_Toc261252297"/>
      <w:r>
        <w:t>25</w:t>
      </w:r>
      <w:r>
        <w:tab/>
        <w:t>Attachment J – Determination of</w:t>
      </w:r>
      <w:r>
        <w:rPr>
          <w:i/>
          <w:iCs/>
        </w:rPr>
        <w:t xml:space="preserve"> </w:t>
      </w:r>
      <w:r>
        <w:t>Day-Ahead Margin Assurance Payments</w:t>
      </w:r>
      <w:bookmarkEnd w:id="0"/>
      <w:r>
        <w:t xml:space="preserve"> and Import Curtailment Guarantee Payments</w:t>
      </w:r>
    </w:p>
    <w:p w:rsidR="008B4A82" w14:paraId="1EF86B0A" w14:textId="77777777">
      <w:pPr>
        <w:pStyle w:val="Heading2"/>
      </w:pPr>
      <w:bookmarkStart w:id="1" w:name="_Toc261252298"/>
      <w:r>
        <w:t>25.1</w:t>
      </w:r>
      <w:r>
        <w:tab/>
      </w:r>
      <w:bookmarkEnd w:id="1"/>
      <w:r>
        <w:t>Introduction</w:t>
      </w:r>
    </w:p>
    <w:p w:rsidR="008B4A82" w14:paraId="3B2F3181" w14:textId="77777777">
      <w:pPr>
        <w:pStyle w:val="Bodypara"/>
        <w:rPr>
          <w:iCs/>
          <w:strike/>
        </w:rPr>
      </w:pPr>
      <w:r>
        <w:t>If a Supplier that is eligible pursuant to Section 25.2 of this Attachment J buys out of a Day-Ahead Energy, Regulation Service or Operating Reserve schedule in a manner that reduces its Day-Ahead Margin it shall receive a Day-Ahead Margin Assurance Payment, except as noted in Sections 25.2, 25.3, 25.4, and 25.5 of this Attachment J.  The purpose of such payments is to protect Suppliers’ Day-Ahead Margins associated with real-time reductions after accounting for: (i) any real-time profits associated with offsetting increases in real-time Energy, Regulation Service, or Operating Reserve schedules; and (ii) any Supplier-requested real-time de-rate granted by the ISO.</w:t>
      </w:r>
      <w:r>
        <w:rPr>
          <w:iCs/>
        </w:rPr>
        <w:t xml:space="preserve"> </w:t>
      </w:r>
    </w:p>
    <w:p w:rsidR="008B4A82" w14:paraId="1C8AF7A9" w14:textId="77777777">
      <w:pPr>
        <w:pStyle w:val="Bodypara"/>
        <w:rPr>
          <w:iCs/>
        </w:rPr>
      </w:pPr>
      <w:r>
        <w:rPr>
          <w:iCs/>
        </w:rPr>
        <w:t xml:space="preserve">In addition, a Supplier may be eligible to receive an Import Curtailment Guarantee Payment if its Import is curtailed at the request of the ISO as determined pursuant to Section </w:t>
      </w:r>
      <w:r>
        <w:t>25.6</w:t>
      </w:r>
      <w:r>
        <w:rPr>
          <w:iCs/>
        </w:rPr>
        <w:t xml:space="preserve"> of this Attachment J.</w:t>
      </w:r>
    </w:p>
    <w:p w:rsidR="008B4A82" w14:paraId="1A4BC10C" w14:textId="77777777">
      <w:pPr>
        <w:pStyle w:val="Heading2"/>
      </w:pPr>
      <w:bookmarkStart w:id="2" w:name="_Toc261252299"/>
      <w:r>
        <w:t>25.2</w:t>
      </w:r>
      <w:r>
        <w:tab/>
        <w:t>Eligibility for Receiving Day-Ahead Margin Assurance Payments</w:t>
      </w:r>
      <w:bookmarkEnd w:id="2"/>
    </w:p>
    <w:p w:rsidR="008B4A82" w14:paraId="6739BB1B" w14:textId="77777777">
      <w:pPr>
        <w:pStyle w:val="Heading3"/>
      </w:pPr>
      <w:r>
        <w:t>25.2.1</w:t>
      </w:r>
      <w:r>
        <w:tab/>
        <w:t>General Eligibility Requirements for Suppliers to Receive Day-Ahead Margin Assurance Payments</w:t>
      </w:r>
    </w:p>
    <w:p w:rsidR="006014AF" w14:paraId="736855C3" w14:textId="77777777">
      <w:pPr>
        <w:pStyle w:val="Bodypara"/>
      </w:pPr>
      <w:r>
        <w:t xml:space="preserve">Subject to Section 25.2.2 of this Attachment J, the following categories of Resources bid by Suppliers shall be eligible to receive Day-Ahead Margin Assurance Payments: </w:t>
      </w:r>
    </w:p>
    <w:p w:rsidR="006014AF" w:rsidP="006014AF" w14:paraId="45212C4E" w14:textId="20B8CE98">
      <w:pPr>
        <w:pStyle w:val="Bodypara"/>
        <w:numPr>
          <w:ilvl w:val="0"/>
          <w:numId w:val="40"/>
        </w:numPr>
        <w:ind w:hanging="720"/>
      </w:pPr>
      <w:r>
        <w:t>all Self-Committed Flexible and ISO-Committed Flexible Generators, other than Energy Storage Resources</w:t>
      </w:r>
      <w:r>
        <w:t xml:space="preserve"> and Aggregations</w:t>
      </w:r>
      <w:r>
        <w:t xml:space="preserve">, that are either online and dispatched by RTD or available for commitment by </w:t>
      </w:r>
      <w:r>
        <w:t>RTC;</w:t>
      </w:r>
      <w:r>
        <w:t xml:space="preserve"> </w:t>
      </w:r>
    </w:p>
    <w:p w:rsidR="006014AF" w:rsidP="006014AF" w14:paraId="0C816CE4" w14:textId="59963DA9">
      <w:pPr>
        <w:pStyle w:val="Bodypara"/>
        <w:numPr>
          <w:ilvl w:val="0"/>
          <w:numId w:val="40"/>
        </w:numPr>
        <w:ind w:hanging="720"/>
      </w:pPr>
      <w:r>
        <w:t>any Resource, including an Energy Storage Resource</w:t>
      </w:r>
      <w:r>
        <w:t xml:space="preserve"> or an Aggregation</w:t>
      </w:r>
      <w:r>
        <w:t xml:space="preserve">, that is scheduled </w:t>
      </w:r>
      <w:r w:rsidR="00907E62">
        <w:t>O</w:t>
      </w:r>
      <w:r>
        <w:t xml:space="preserve">ut of </w:t>
      </w:r>
      <w:r w:rsidR="00907E62">
        <w:t>M</w:t>
      </w:r>
      <w:r>
        <w:t xml:space="preserve">erit by the ISO in response to an ISO or Transmission Owner system security need or to permit the ISO to procure additional Operating </w:t>
      </w:r>
      <w:r>
        <w:t>Reserves;</w:t>
      </w:r>
      <w:r>
        <w:t xml:space="preserve"> </w:t>
      </w:r>
    </w:p>
    <w:p w:rsidR="006014AF" w:rsidP="006014AF" w14:paraId="63EA7581" w14:textId="5D97B246">
      <w:pPr>
        <w:pStyle w:val="Bodypara"/>
        <w:numPr>
          <w:ilvl w:val="0"/>
          <w:numId w:val="40"/>
        </w:numPr>
        <w:ind w:hanging="720"/>
      </w:pPr>
      <w:r>
        <w:t xml:space="preserve">any Resource, including </w:t>
      </w:r>
      <w:r>
        <w:t xml:space="preserve">an </w:t>
      </w:r>
      <w:r>
        <w:t>Energy Storage Resource</w:t>
      </w:r>
      <w:r>
        <w:t xml:space="preserve"> or an Aggregation</w:t>
      </w:r>
      <w:r>
        <w:t xml:space="preserve">, internal to the NYCA that is derated or decommitted by the ISO in response to an ISO or Transmission Owner system security need or to permit the ISO to procure additional Operating </w:t>
      </w:r>
      <w:r>
        <w:t>Reserves;</w:t>
      </w:r>
      <w:r>
        <w:t xml:space="preserve"> </w:t>
      </w:r>
    </w:p>
    <w:p w:rsidR="006014AF" w:rsidP="006014AF" w14:paraId="15927E4F" w14:textId="1F9F0744">
      <w:pPr>
        <w:pStyle w:val="Bodypara"/>
        <w:numPr>
          <w:ilvl w:val="0"/>
          <w:numId w:val="40"/>
        </w:numPr>
        <w:ind w:hanging="720"/>
      </w:pPr>
      <w:r>
        <w:t xml:space="preserve">Energy Limited Resources </w:t>
      </w:r>
      <w:r>
        <w:t xml:space="preserve">or an Aggregation comprised entirely of Energy Limited Resources </w:t>
      </w:r>
      <w:r>
        <w:t>with an ISO-approved real-time reduction in scheduled output from its Day-Ahead schedule</w:t>
      </w:r>
      <w:r>
        <w:t>; and</w:t>
      </w:r>
    </w:p>
    <w:p w:rsidR="008B4A82" w:rsidP="006014AF" w14:paraId="2CCBDB2B" w14:textId="7C60F141">
      <w:pPr>
        <w:pStyle w:val="Bodypara"/>
        <w:numPr>
          <w:ilvl w:val="0"/>
          <w:numId w:val="40"/>
        </w:numPr>
        <w:ind w:hanging="720"/>
      </w:pPr>
      <w:r>
        <w:t xml:space="preserve">Limited Energy Storage Resources and Aggregations comprised entirely of Limited Energy Storage Resources scheduled to provide Regulation Service, </w:t>
      </w:r>
      <w:r w:rsidR="006F29DC">
        <w:t>as described in Section 25.3.2 of this ISO Services Tariff</w:t>
      </w:r>
      <w:r w:rsidR="008C1BC8">
        <w:t>.</w:t>
      </w:r>
    </w:p>
    <w:p w:rsidR="008B4A82" w14:paraId="23A3CABA" w14:textId="77777777">
      <w:pPr>
        <w:pStyle w:val="Heading3"/>
      </w:pPr>
      <w:r>
        <w:t>25.2.2</w:t>
      </w:r>
      <w:r>
        <w:tab/>
        <w:t>Exceptions</w:t>
      </w:r>
    </w:p>
    <w:p w:rsidR="008B4A82" w14:paraId="5DA50DB2" w14:textId="77777777">
      <w:pPr>
        <w:pStyle w:val="Bodypara"/>
      </w:pPr>
      <w:r>
        <w:t>Notwithstanding Section 25.2.1 of this Attachment J, no Day-Ahead Margin Assurance Payment shall be paid to:</w:t>
      </w:r>
    </w:p>
    <w:p w:rsidR="008B4A82" w14:paraId="200B547C" w14:textId="77777777">
      <w:pPr>
        <w:pStyle w:val="alphapara"/>
        <w:rPr>
          <w:color w:val="000000"/>
        </w:rPr>
      </w:pPr>
      <w:r>
        <w:t>25.2.2.1</w:t>
      </w:r>
      <w:r>
        <w:tab/>
        <w:t>a Resource, otherwise eligible for a Day-Ahead Margin Assurance Payment, in hours in which the NYISO has increased the Resource’s real-time minimum operating level above the Resource’s Day-Ahead Market Energy schedule either: (i) at the Resource’s request including through an adjustment to the Resource’s self-commitment schedule; or (ii) in order to reconcile the ISO’s dispatch with the Resource’s actual output or to address reliability concerns that arise because the Resource is not following Base Point Signals; or (</w:t>
      </w:r>
      <w:r>
        <w:rPr>
          <w:color w:val="000000"/>
        </w:rPr>
        <w:t xml:space="preserve">iii)  an </w:t>
      </w:r>
      <w:r>
        <w:t>Intermittent</w:t>
      </w:r>
      <w:r>
        <w:rPr>
          <w:color w:val="000000"/>
        </w:rPr>
        <w:t xml:space="preserve"> Power Resource that depends on wind </w:t>
      </w:r>
      <w:r>
        <w:t xml:space="preserve">or solar energy </w:t>
      </w:r>
      <w:r>
        <w:rPr>
          <w:color w:val="000000"/>
        </w:rPr>
        <w:t>as its fuel.</w:t>
      </w:r>
    </w:p>
    <w:p w:rsidR="008B4A82" w14:paraId="6DB4E552" w14:textId="77777777">
      <w:pPr>
        <w:pStyle w:val="alphapara"/>
      </w:pPr>
      <w:r>
        <w:t>25.2.2.2</w:t>
      </w:r>
      <w:r>
        <w:tab/>
        <w:t xml:space="preserve">a Resource, otherwise eligible for Day-Ahead Margin Assurance Payments, in hours in which the NYISO has increased the Resource’s real-time minimum operating level at the Resource’s request, including through an adjustment to the Resource’s self-commitment schedule, above the MW level determined by subtracting the Resource’s Day-Ahead Market Regulation Service schedule from its Day-Ahead Market Energy schedule. </w:t>
      </w:r>
    </w:p>
    <w:p w:rsidR="008B4A82" w14:paraId="4FCE778B" w14:textId="77777777">
      <w:pPr>
        <w:pStyle w:val="alphapara"/>
      </w:pPr>
      <w:r>
        <w:t xml:space="preserve">25.2.2.3 </w:t>
      </w:r>
      <w:r>
        <w:tab/>
        <w:t xml:space="preserve">a Resource, otherwise eligible for Day-Ahead Margin Assurance Payments, in hours </w:t>
      </w:r>
      <w:r>
        <w:t>in</w:t>
      </w:r>
      <w:r>
        <w:t xml:space="preserve"> which the Resource reduces the MW quantity specified in its real-time Regulation Capacity Bid below its Day-Ahead Market Regulation Service schedule.</w:t>
      </w:r>
    </w:p>
    <w:p w:rsidR="008B4A82" w14:paraId="3ECCF9F8" w14:textId="77777777">
      <w:pPr>
        <w:pStyle w:val="alphapara"/>
        <w:rPr>
          <w:color w:val="000000"/>
        </w:rPr>
      </w:pPr>
      <w:bookmarkStart w:id="3" w:name="_Toc261252300"/>
      <w:r>
        <w:t>25.2.2.4</w:t>
      </w:r>
      <w:r>
        <w:tab/>
        <w:t xml:space="preserve">a Generator, otherwise eligible for Day-Ahead Margin Assurance Payments, for (i) any hour in which the Incremental Energy Bids submitted in the Real-Time Market for that Generator exceed the Incremental Energy Bids </w:t>
      </w:r>
      <w:r>
        <w:t>submitted in the Day-Ahead Market, or the mitigated Day-Ahead Incremental Energy Bids where appropriate, for the portion of that Generator’s Capacity that was scheduled in the Day-Ahead Market; and (ii) the two hours immediately preceding and the two hours immediately following the hour(s) in which the Incremental Energy Bids submitted in the Real-Time Market for that Generator exceed the Incremental Energy Bids submitted in the Day-Ahead Market, or the mitigated Day-Ahead Incremental Energy Bids where appropriate, for the portion of that Generator’s Capacity that was scheduled in the Day-Ahead Market.</w:t>
      </w:r>
    </w:p>
    <w:p w:rsidR="008B4A82" w14:paraId="589E7D34" w14:textId="77777777">
      <w:pPr>
        <w:pStyle w:val="alphapara"/>
        <w:rPr>
          <w:szCs w:val="24"/>
        </w:rPr>
      </w:pPr>
      <w:r>
        <w:rPr>
          <w:szCs w:val="24"/>
        </w:rPr>
        <w:t>25.2.2.5</w:t>
      </w:r>
      <w:r>
        <w:rPr>
          <w:szCs w:val="24"/>
        </w:rPr>
        <w:tab/>
        <w:t xml:space="preserve">A Generator that is </w:t>
      </w:r>
      <w:r>
        <w:t>available for commitment by RTC</w:t>
      </w:r>
      <w:r>
        <w:rPr>
          <w:szCs w:val="24"/>
        </w:rPr>
        <w:t xml:space="preserve"> and otherwise eligible for Day-Ahead Margin Assurance Payments, for (i) any hour in which the Start-Up Bids submitted in the Real-Time Market for that Generator exceed the Start-Up Bids submitted in the Day-Ahead Market, or the mitigated Day-Ahead Start-Up Bids where appropriate, and that Generator was scheduled for Energy in that hour in the Day-Ahead Market; and (ii) the two hours immediately preceding and the two hours immediately following the hour(s) in which the Start-Up Bids submitted in the Real-Time Market for that Generator exceed the Start-Up Bids submitted  in the Day-Ahead Market, or the mitigated Day-Ahead Start-Up Bids where appropriate, and that Generator was scheduled for Energy or Regulation Service in that hour in the Day-Ahead Market.</w:t>
      </w:r>
    </w:p>
    <w:p w:rsidR="008B4A82" w14:paraId="53361320" w14:textId="77777777">
      <w:pPr>
        <w:pStyle w:val="alphapara"/>
      </w:pPr>
      <w:r>
        <w:t>25.2.2.6</w:t>
      </w:r>
      <w:r>
        <w:tab/>
        <w:t xml:space="preserve">A Generator that is available for commitment by RTC and otherwise eligible for Day-Ahead Margin Assurance Payments, for (i) any hour in which the dollar component of the Minimum Generation Bids submitted in the Real-Time Market for that Generator exceed the dollar component of the Minimum </w:t>
      </w:r>
      <w:r>
        <w:t>Generation Bids submitted in the Day-Ahead Market, or the dollar component of the mitigated Day-Ahead Minimum Generation Bids where appropriate, and that Generator was scheduled for Energy in that hour in the Day-Ahead Market; and (ii) the two hours immediately preceding and the two hours immediately following the hour(s) in which the dollar component of the Minimum Generation Bids submitted in the Real-Time Market for that Generator exceed the dollar component of the Minimum Generation Bids submitted in the Day-Ahead Market, or the dollar component of the mitigated Day-Ahead Minimum Generation Bids where appropriate, and that Generator was scheduled for Energy in that hour in the Day-Ahead Market.</w:t>
      </w:r>
    </w:p>
    <w:p w:rsidR="00907E62" w:rsidP="00907E62" w14:paraId="6F3D53BF" w14:textId="4186358A">
      <w:pPr>
        <w:pStyle w:val="alphapara"/>
        <w:rPr>
          <w:szCs w:val="24"/>
        </w:rPr>
      </w:pPr>
      <w:r w:rsidRPr="006E08CF">
        <w:t>25.2.2.7</w:t>
      </w:r>
      <w:r w:rsidRPr="006E08CF">
        <w:tab/>
        <w:t xml:space="preserve">An Energy Storage </w:t>
      </w:r>
      <w:r w:rsidRPr="006E08CF">
        <w:rPr>
          <w:szCs w:val="24"/>
        </w:rPr>
        <w:t xml:space="preserve">Resource that: (1) is interconnected to a </w:t>
      </w:r>
      <w:r w:rsidRPr="006E08CF">
        <w:rPr>
          <w:rStyle w:val="ui-provider"/>
          <w:szCs w:val="24"/>
        </w:rPr>
        <w:t>Local Area Transmission System Facility or a Transmission Facility Requiring ISO Notification that is not identified as ISO Secure or BMS Secure in ISO Procedures</w:t>
      </w:r>
      <w:r w:rsidRPr="006E08CF">
        <w:rPr>
          <w:szCs w:val="24"/>
        </w:rPr>
        <w:t>; (2) had its output limited</w:t>
      </w:r>
      <w:r w:rsidRPr="006E08CF">
        <w:t xml:space="preserve"> in an ISO interconnection study completed after April 4, 2024 to address one or more specifically identified constraints</w:t>
      </w:r>
      <w:r w:rsidRPr="006E08CF">
        <w:rPr>
          <w:szCs w:val="24"/>
        </w:rPr>
        <w:t>; and (3)  is scheduled or dispatched Out-of-Merit by the ISO to inject or</w:t>
      </w:r>
      <w:r w:rsidRPr="006E08CF">
        <w:t xml:space="preserve"> withdraw less Energy than its real-time Energy schedule, ISO-issued economic dispatch instruction, or its current injections or withdrawals, in response to an ISO or Transmission Owner request to relieve a constraint on a Local Area Transmission System Facility that was identified as limiting in the Energy Storage Resource’s interconnection study. </w:t>
      </w:r>
    </w:p>
    <w:p w:rsidR="008B4A82" w14:paraId="5C88874B" w14:textId="77777777">
      <w:pPr>
        <w:pStyle w:val="Heading3"/>
      </w:pPr>
      <w:r>
        <w:t>25.3</w:t>
      </w:r>
      <w:r>
        <w:tab/>
        <w:t>Calculation of Day-Ahead Margin Assurance Payments</w:t>
      </w:r>
      <w:bookmarkEnd w:id="3"/>
    </w:p>
    <w:p w:rsidR="008B4A82" w14:paraId="7CBB2BD3" w14:textId="2CB9B4C5">
      <w:pPr>
        <w:pStyle w:val="Heading3"/>
      </w:pPr>
      <w:bookmarkStart w:id="4" w:name="_Toc261252301"/>
      <w:r>
        <w:t>25.3.1</w:t>
      </w:r>
      <w:bookmarkEnd w:id="4"/>
      <w:r>
        <w:t xml:space="preserve">  </w:t>
      </w:r>
      <w:r>
        <w:tab/>
      </w:r>
      <w:r>
        <w:t>Formula for Day-Ahead Margin Assurance Payments for Generators</w:t>
      </w:r>
      <w:r w:rsidR="006F29DC">
        <w:t xml:space="preserve"> and Aggregations</w:t>
      </w:r>
      <w:r>
        <w:t>, Except for Limited Energy Storage Resources</w:t>
      </w:r>
      <w:r w:rsidR="006F29DC">
        <w:t xml:space="preserve"> and Aggregations comprised entirely of Limited Energy Storage Resources</w:t>
      </w:r>
    </w:p>
    <w:p w:rsidR="008B4A82" w14:paraId="338D26DA" w14:textId="76E05F36">
      <w:pPr>
        <w:pStyle w:val="Bodypara"/>
      </w:pPr>
      <w:r>
        <w:t>Subject to Sections 25.4 and 25.5 of this Attachment J, Day-Ahead Margin Assurance Payments for Generators</w:t>
      </w:r>
      <w:r w:rsidR="006F29DC">
        <w:t xml:space="preserve"> and Aggregations</w:t>
      </w:r>
      <w:r>
        <w:t>, except for Limited Energy Storage Resources</w:t>
      </w:r>
      <w:r w:rsidR="006F29DC">
        <w:t xml:space="preserve"> and Aggregations comprised entirely of Limited Energy Storage Resources</w:t>
      </w:r>
      <w:r>
        <w:t>,</w:t>
      </w:r>
      <w:r>
        <w:rPr>
          <w:i/>
          <w:iCs/>
        </w:rPr>
        <w:t xml:space="preserve"> </w:t>
      </w:r>
      <w:r>
        <w:t>shall be determined by applying</w:t>
      </w:r>
      <w:r>
        <w:rPr>
          <w:i/>
          <w:iCs/>
        </w:rPr>
        <w:t xml:space="preserve"> </w:t>
      </w:r>
      <w:r>
        <w:t xml:space="preserve">the following equations to each individual Generator </w:t>
      </w:r>
      <w:r w:rsidR="006F29DC">
        <w:t xml:space="preserve">or Aggregation </w:t>
      </w:r>
      <w:r>
        <w:t>using the terms as defined in Section 25.3.</w:t>
      </w:r>
      <w:r w:rsidR="00EE4C9E">
        <w:t>3</w:t>
      </w:r>
      <w:r>
        <w:t>:</w:t>
      </w:r>
    </w:p>
    <w:p w:rsidR="008B4A82" w14:paraId="491853EF"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DMAP</m:t>
              </m:r>
            </m:e>
            <m:sub>
              <m:r>
                <w:rPr>
                  <w:rFonts w:ascii="Cambria Math" w:hAnsi="Cambria Math"/>
                </w:rPr>
                <m:t>hu</m:t>
              </m:r>
            </m:sub>
          </m:sSub>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i∈h</m:t>
                  </m:r>
                </m:sub>
                <m:sup/>
                <m:e>
                  <m:sSub>
                    <m:sSubPr>
                      <m:ctrlPr>
                        <w:rPr>
                          <w:rFonts w:ascii="Cambria Math" w:hAnsi="Cambria Math"/>
                          <w:i/>
                        </w:rPr>
                      </m:ctrlPr>
                    </m:sSubPr>
                    <m:e>
                      <m:r>
                        <w:rPr>
                          <w:rFonts w:ascii="Cambria Math" w:hAnsi="Cambria Math"/>
                        </w:rPr>
                        <m:t>CDMAP</m:t>
                      </m:r>
                    </m:e>
                    <m:sub>
                      <m:r>
                        <w:rPr>
                          <w:rFonts w:ascii="Cambria Math" w:hAnsi="Cambria Math"/>
                        </w:rPr>
                        <m:t>iu</m:t>
                      </m:r>
                    </m:sub>
                  </m:sSub>
                </m:e>
              </m:nary>
            </m:e>
          </m:d>
        </m:oMath>
      </m:oMathPara>
    </w:p>
    <w:p w:rsidR="008B4A82" w14:paraId="4558D064" w14:textId="77777777">
      <w:pPr>
        <w:pStyle w:val="equationtext"/>
        <w:tabs>
          <w:tab w:val="left" w:pos="1421"/>
          <w:tab w:val="clear" w:pos="1800"/>
        </w:tabs>
      </w:pPr>
      <w:r>
        <w:t>where:</w:t>
      </w:r>
      <w:r>
        <w:tab/>
      </w:r>
    </w:p>
    <w:p w:rsidR="008B4A82" w14:paraId="7B3F5AA0" w14:textId="77777777">
      <w:pPr>
        <w:pStyle w:val="equationtext"/>
        <w:tabs>
          <w:tab w:val="left" w:pos="1421"/>
          <w:tab w:val="clear" w:pos="1800"/>
        </w:tabs>
        <w:ind w:left="0" w:firstLine="0"/>
      </w:pPr>
      <m:oMathPara>
        <m:oMathParaPr>
          <m:jc m:val="center"/>
        </m:oMathParaPr>
        <m:oMath>
          <m:sSub>
            <m:sSubPr>
              <m:ctrlPr>
                <w:rPr>
                  <w:rFonts w:ascii="Cambria Math" w:hAnsi="Cambria Math"/>
                  <w:i/>
                </w:rPr>
              </m:ctrlPr>
            </m:sSubPr>
            <m:e>
              <m:r>
                <w:rPr>
                  <w:rFonts w:ascii="Cambria Math" w:hAnsi="Cambria Math"/>
                </w:rPr>
                <m:t>CDMAP</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nary>
            <m:naryPr>
              <m:chr m:val="∑"/>
              <m:limLoc m:val="undOvr"/>
              <m:supHide/>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CDMAPreg</m:t>
                  </m:r>
                </m:e>
                <m:sub>
                  <m:r>
                    <w:rPr>
                      <w:rFonts w:ascii="Cambria Math" w:hAnsi="Cambria Math"/>
                    </w:rPr>
                    <m:t>iu</m:t>
                  </m:r>
                </m:sub>
              </m:sSub>
            </m:e>
          </m:nary>
        </m:oMath>
      </m:oMathPara>
    </w:p>
    <w:p w:rsidR="008B4A82" w14:paraId="4884A535" w14:textId="77777777">
      <w:pPr>
        <w:pStyle w:val="Bodypara"/>
        <w:rPr>
          <w:b/>
        </w:rPr>
      </w:pPr>
      <w:r>
        <w:rPr>
          <w:b/>
        </w:rPr>
        <w:t xml:space="preserve">25.3.1.1  </w:t>
      </w:r>
      <w:r>
        <w:rPr>
          <w:b/>
        </w:rPr>
        <w:tab/>
      </w:r>
      <w:r>
        <w:rPr>
          <w:b/>
        </w:rPr>
        <w:t>Energy Contribution for Day-Ahead Margin Assurance Payments</w:t>
      </w:r>
    </w:p>
    <w:p w:rsidR="008B4A82" w14:paraId="23C2D07A" w14:textId="110EFB67">
      <w:pPr>
        <w:pStyle w:val="Bodypara"/>
      </w:pPr>
      <w:r>
        <w:t xml:space="preserve">If the Generator’s </w:t>
      </w:r>
      <w:r w:rsidR="00F7748D">
        <w:t xml:space="preserve">or Aggregation’s </w:t>
      </w:r>
      <w:r>
        <w:t>(i) Day-Ahead schedule is to inject Energy (</w:t>
      </w:r>
      <w:r>
        <w:rPr>
          <w:i/>
        </w:rPr>
        <w:t>i.e.</w:t>
      </w:r>
      <w:r>
        <w:t>, greater than zero MW) and its real-time Energy schedule is lower than its Day-Ahead Energy schedule; or (ii) Day-Ahead schedule is to withdraw Energy (</w:t>
      </w:r>
      <w:r>
        <w:rPr>
          <w:i/>
        </w:rPr>
        <w:t>i.e.</w:t>
      </w:r>
      <w:r>
        <w:t>, less than zero MW) and its real-time Energy schedule is greater than its Day-Ahead Energy schedule, then:</w:t>
      </w:r>
    </w:p>
    <w:p w:rsidR="008B4A82" w14:paraId="03C49338" w14:textId="77777777">
      <w:pPr>
        <w:pStyle w:val="Bodypara"/>
        <w:ind w:firstLine="0"/>
      </w:pPr>
      <m:oMathPara>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LL</m:t>
                      </m:r>
                    </m:e>
                    <m:sub>
                      <m:r>
                        <w:rPr>
                          <w:rFonts w:ascii="Cambria Math" w:hAnsi="Cambria Math"/>
                        </w:rPr>
                        <m:t>iu</m:t>
                      </m:r>
                    </m:sub>
                  </m:sSub>
                </m:e>
              </m:d>
              <m:r>
                <w:rPr>
                  <w:rFonts w:ascii="Cambria Math" w:hAnsi="Cambria Math"/>
                </w:rPr>
                <m:t xml:space="preserve">* </m:t>
              </m:r>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LL</m:t>
                      </m:r>
                    </m:e>
                    <m:sub>
                      <m:r>
                        <w:rPr>
                          <w:rFonts w:ascii="Cambria Math" w:hAnsi="Cambria Math"/>
                        </w:rPr>
                        <m:t>iu</m:t>
                      </m:r>
                    </m:sub>
                  </m:sSub>
                </m:sub>
                <m:sup>
                  <m:sSub>
                    <m:sSubPr>
                      <m:ctrlPr>
                        <w:rPr>
                          <w:rFonts w:ascii="Cambria Math" w:hAnsi="Cambria Math"/>
                          <w:i/>
                        </w:rPr>
                      </m:ctrlPr>
                    </m:sSubPr>
                    <m:e>
                      <m:r>
                        <w:rPr>
                          <w:rFonts w:ascii="Cambria Math" w:hAnsi="Cambria Math"/>
                        </w:rPr>
                        <m:t>DASen</m:t>
                      </m:r>
                    </m:e>
                    <m:sub>
                      <m:r>
                        <w:rPr>
                          <w:rFonts w:ascii="Cambria Math" w:hAnsi="Cambria Math"/>
                        </w:rPr>
                        <m:t>hu</m:t>
                      </m:r>
                    </m:sub>
                  </m:sSub>
                </m:sup>
                <m:e>
                  <m:sSub>
                    <m:sSubPr>
                      <m:ctrlPr>
                        <w:rPr>
                          <w:rFonts w:ascii="Cambria Math" w:hAnsi="Cambria Math"/>
                          <w:i/>
                        </w:rPr>
                      </m:ctrlPr>
                    </m:sSubPr>
                    <m:e>
                      <m:r>
                        <w:rPr>
                          <w:rFonts w:ascii="Cambria Math" w:hAnsi="Cambria Math"/>
                        </w:rPr>
                        <m:t>DABen</m:t>
                      </m:r>
                    </m:e>
                    <m:sub>
                      <m:r>
                        <w:rPr>
                          <w:rFonts w:ascii="Cambria Math" w:hAnsi="Cambria Math"/>
                        </w:rPr>
                        <m:t>hu</m:t>
                      </m:r>
                    </m:sub>
                  </m:sSub>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275075FB" w14:textId="112CFD01">
      <w:pPr>
        <w:pStyle w:val="Bodypara"/>
      </w:pPr>
      <w:r>
        <w:t>If the Generator’s</w:t>
      </w:r>
      <w:r w:rsidR="00F7748D">
        <w:t xml:space="preserve"> or Aggregation’s</w:t>
      </w:r>
      <w:r>
        <w:t xml:space="preserve"> (i) Day-Ahead Energy schedule is to inject Energy (</w:t>
      </w:r>
      <w:r>
        <w:rPr>
          <w:i/>
        </w:rPr>
        <w:t>i.e.</w:t>
      </w:r>
      <w:r>
        <w:t>, greater than zero MW) and its real-time Energy schedule is greater than or equal to its Day-Ahead Energy schedule; or (ii) Day-Ahead Energy schedule is to withdraw Energy (</w:t>
      </w:r>
      <w:r>
        <w:rPr>
          <w:i/>
        </w:rPr>
        <w:t>i.e.</w:t>
      </w:r>
      <w:r>
        <w:t xml:space="preserve">, less than </w:t>
      </w:r>
      <w:r>
        <w:t>zero MW), and its real-time Energy schedule is less than or equal to its Day-Ahead Energy schedule; or (iii) Day-Ahead Energy schedule is for zero MW, then:</w:t>
      </w:r>
    </w:p>
    <w:p w:rsidR="008B4A82" w14:paraId="54CADF38"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UL</m:t>
                          </m:r>
                        </m:e>
                        <m:sub>
                          <m:r>
                            <w:rPr>
                              <w:rFonts w:ascii="Cambria Math" w:hAnsi="Cambria Math"/>
                            </w:rPr>
                            <m:t>iu</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DASen</m:t>
                              </m:r>
                            </m:e>
                            <m:sub>
                              <m:r>
                                <w:rPr>
                                  <w:rFonts w:ascii="Cambria Math" w:hAnsi="Cambria Math"/>
                                </w:rPr>
                                <m:t>hu</m:t>
                              </m:r>
                            </m:sub>
                          </m:sSub>
                        </m:sub>
                        <m:sup>
                          <m:sSub>
                            <m:sSubPr>
                              <m:ctrlPr>
                                <w:rPr>
                                  <w:rFonts w:ascii="Cambria Math" w:hAnsi="Cambria Math"/>
                                  <w:i/>
                                </w:rPr>
                              </m:ctrlPr>
                            </m:sSubPr>
                            <m:e>
                              <m:r>
                                <w:rPr>
                                  <w:rFonts w:ascii="Cambria Math" w:hAnsi="Cambria Math"/>
                                </w:rPr>
                                <m:t>UL</m:t>
                              </m:r>
                            </m:e>
                            <m:sub>
                              <m:r>
                                <w:rPr>
                                  <w:rFonts w:ascii="Cambria Math" w:hAnsi="Cambria Math"/>
                                </w:rPr>
                                <m:t>iu</m:t>
                              </m:r>
                            </m:sub>
                          </m:sSub>
                        </m:sup>
                        <m:e>
                          <m:sSub>
                            <m:sSubPr>
                              <m:ctrlPr>
                                <w:rPr>
                                  <w:rFonts w:ascii="Cambria Math" w:hAnsi="Cambria Math"/>
                                  <w:i/>
                                </w:rPr>
                              </m:ctrlPr>
                            </m:sSubPr>
                            <m:e>
                              <m:r>
                                <w:rPr>
                                  <w:rFonts w:ascii="Cambria Math" w:hAnsi="Cambria Math"/>
                                </w:rPr>
                                <m:t>RTBen</m:t>
                              </m:r>
                            </m:e>
                            <m:sub>
                              <m:r>
                                <w:rPr>
                                  <w:rFonts w:ascii="Cambria Math" w:hAnsi="Cambria Math"/>
                                </w:rPr>
                                <m:t>iu</m:t>
                              </m:r>
                            </m:sub>
                          </m:sSub>
                        </m:e>
                      </m:nary>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0</m:t>
              </m:r>
            </m:e>
          </m:d>
        </m:oMath>
      </m:oMathPara>
    </w:p>
    <w:p w:rsidR="008B4A82" w14:paraId="05E25AAA" w14:textId="77777777">
      <w:pPr>
        <w:pStyle w:val="Bodypara"/>
        <w:spacing w:line="240" w:lineRule="auto"/>
        <w:ind w:left="2160" w:hanging="1440"/>
      </w:pPr>
      <w:r>
        <w:rPr>
          <w:b/>
        </w:rPr>
        <w:t>25.3.1.2</w:t>
      </w:r>
      <w:r>
        <w:rPr>
          <w:b/>
        </w:rPr>
        <w:tab/>
        <w:t>Operating Reserve Contribution for Day-Ahead Margin Assurance Payments</w:t>
      </w:r>
      <w:r>
        <w:t xml:space="preserve"> </w:t>
      </w:r>
    </w:p>
    <w:p w:rsidR="008B4A82" w14:paraId="57BCCDC6" w14:textId="77777777">
      <w:pPr>
        <w:pStyle w:val="Bodypara"/>
      </w:pPr>
    </w:p>
    <w:p w:rsidR="008B4A82" w14:paraId="012F109B" w14:textId="4856F161">
      <w:pPr>
        <w:pStyle w:val="Bodypara"/>
      </w:pPr>
      <w:r>
        <w:t>If the Generator’s</w:t>
      </w:r>
      <w:r w:rsidR="00F7748D">
        <w:t xml:space="preserve"> or Aggregation’s</w:t>
      </w:r>
      <w:r>
        <w:t xml:space="preserve"> real-time schedule for a given Operating Reserve product, p, is lower than its Day-Ahead Operating Reserve schedule for that product then:</w:t>
      </w:r>
    </w:p>
    <w:p w:rsidR="008B4A82" w14:paraId="059CBE7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DABres</m:t>
                      </m:r>
                    </m:e>
                    <m:sub>
                      <m:r>
                        <w:rPr>
                          <w:rFonts w:ascii="Cambria Math" w:hAnsi="Cambria Math"/>
                        </w:rPr>
                        <m:t>hup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69437887" w14:textId="294F3402">
      <w:pPr>
        <w:pStyle w:val="Bodypara"/>
      </w:pPr>
      <w:r>
        <w:t>If the Generator’s</w:t>
      </w:r>
      <w:r w:rsidR="00F7748D">
        <w:t xml:space="preserve"> or Aggregation’s</w:t>
      </w:r>
      <w:r>
        <w:t xml:space="preserve"> real-time schedule for a given Operating Reserve product, p, is greater than or equal to its Day-Ahead Operating Reserve schedule for that product then:</w:t>
      </w:r>
    </w:p>
    <w:p w:rsidR="008B4A82" w14:paraId="5C73B93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5E94D887" w14:textId="77777777">
      <w:pPr>
        <w:pStyle w:val="Bodypara"/>
        <w:ind w:firstLine="0"/>
      </w:pPr>
    </w:p>
    <w:p w:rsidR="008B4A82" w14:paraId="0F43AEAE" w14:textId="77777777">
      <w:pPr>
        <w:pStyle w:val="Bodypara"/>
        <w:spacing w:line="240" w:lineRule="auto"/>
        <w:ind w:left="2160" w:hanging="1440"/>
      </w:pPr>
      <w:r>
        <w:rPr>
          <w:b/>
        </w:rPr>
        <w:t>25.3.1.3</w:t>
      </w:r>
      <w:r>
        <w:rPr>
          <w:b/>
        </w:rPr>
        <w:tab/>
        <w:t>Regulation Service Contribution for Day-Ahead Margin Assurance Payments</w:t>
      </w:r>
      <w:r>
        <w:t xml:space="preserve"> </w:t>
      </w:r>
    </w:p>
    <w:p w:rsidR="008B4A82" w14:paraId="3290F173" w14:textId="77777777">
      <w:pPr>
        <w:pStyle w:val="Bodypara"/>
      </w:pPr>
    </w:p>
    <w:p w:rsidR="008B4A82" w14:paraId="7D8B9101" w14:textId="4E630C6D">
      <w:pPr>
        <w:pStyle w:val="Bodypara"/>
      </w:pPr>
      <w:r>
        <w:t xml:space="preserve">If the Generator’s </w:t>
      </w:r>
      <w:r w:rsidR="00F7748D">
        <w:t xml:space="preserve">or Aggregation’s </w:t>
      </w:r>
      <w:r>
        <w:t>real-time Regulation Service schedule is less than its Day-Ahead</w:t>
      </w:r>
      <w:r>
        <w:rPr>
          <w:i/>
          <w:iCs/>
        </w:rPr>
        <w:t xml:space="preserve"> </w:t>
      </w:r>
      <w:r>
        <w:t xml:space="preserve">Regulation Service </w:t>
      </w:r>
      <w:r>
        <w:t>schedule</w:t>
      </w:r>
      <w:r>
        <w:t xml:space="preserve"> then:</w:t>
      </w:r>
    </w:p>
    <w:p w:rsidR="008B4A82" w14:paraId="6E46D77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8B4A82" w14:paraId="2EC4ACB3" w14:textId="77777777">
      <w:pPr>
        <w:pStyle w:val="Bodypara"/>
      </w:pPr>
    </w:p>
    <w:p w:rsidR="008B4A82" w14:paraId="4A2218FB" w14:textId="20905B0F">
      <w:pPr>
        <w:pStyle w:val="Bodypara"/>
      </w:pPr>
      <w:r>
        <w:t xml:space="preserve">If the Generator’s </w:t>
      </w:r>
      <w:r w:rsidR="00F7748D">
        <w:t xml:space="preserve">or Aggregation’s </w:t>
      </w:r>
      <w:r>
        <w:t xml:space="preserve">real-time Regulation Schedule is greater than or equal to the Day-Ahead Regulation Service </w:t>
      </w:r>
      <w:r>
        <w:t>schedule</w:t>
      </w:r>
      <w:r>
        <w:t xml:space="preserve"> then:</w:t>
      </w:r>
    </w:p>
    <w:p w:rsidR="008B4A82" w14:paraId="192539BD" w14:textId="77777777">
      <w:pPr>
        <w:pStyle w:val="equationtext"/>
        <w:tabs>
          <w:tab w:val="clear" w:pos="1800"/>
        </w:tabs>
        <w:ind w:left="0" w:firstLine="0"/>
        <w:rPr>
          <w:noProof/>
          <w:position w:val="-24"/>
          <w:sz w:val="22"/>
        </w:rPr>
      </w:pPr>
      <m:oMathPara>
        <m:oMath>
          <m:sSub>
            <m:sSubPr>
              <m:ctrlPr>
                <w:rPr>
                  <w:rFonts w:ascii="Cambria Math" w:hAnsi="Cambria Math"/>
                  <w:i/>
                  <w:sz w:val="22"/>
                </w:rPr>
              </m:ctrlPr>
            </m:sSubPr>
            <m:e>
              <m:r>
                <w:rPr>
                  <w:rFonts w:ascii="Cambria Math" w:hAnsi="Cambria Math"/>
                  <w:sz w:val="22"/>
                </w:rPr>
                <m:t>CDMAPreg</m:t>
              </m:r>
            </m:e>
            <m:sub>
              <m:r>
                <w:rPr>
                  <w:rFonts w:ascii="Cambria Math" w:hAnsi="Cambria Math"/>
                  <w:sz w:val="22"/>
                </w:rPr>
                <m:t>iu</m:t>
              </m:r>
            </m:sub>
          </m:sSub>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DASreg</m:t>
                      </m:r>
                    </m:e>
                    <m:sub>
                      <m:r>
                        <w:rPr>
                          <w:rFonts w:ascii="Cambria Math" w:hAnsi="Cambria Math"/>
                          <w:sz w:val="22"/>
                        </w:rPr>
                        <m:t>hu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RTSreg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RTPreg</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t>
                          </m:r>
                        </m:e>
                        <m:sub>
                          <m:r>
                            <w:rPr>
                              <w:rFonts w:ascii="Cambria Math" w:hAnsi="Cambria Math"/>
                              <w:sz w:val="22"/>
                            </w:rPr>
                            <m:t>iu</m:t>
                          </m:r>
                        </m:sub>
                      </m:sSub>
                    </m:e>
                  </m:d>
                  <m:r>
                    <w:rPr>
                      <w:rFonts w:ascii="Cambria Math" w:hAnsi="Cambria Math"/>
                      <w:sz w:val="22"/>
                    </w:rPr>
                    <m:t>, 0</m:t>
                  </m:r>
                </m:e>
              </m:d>
            </m:e>
          </m:d>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Seconds</m:t>
                  </m:r>
                </m:e>
                <m:sub>
                  <m:r>
                    <w:rPr>
                      <w:rFonts w:ascii="Cambria Math" w:hAnsi="Cambria Math"/>
                      <w:sz w:val="22"/>
                    </w:rPr>
                    <m:t>i</m:t>
                  </m:r>
                </m:sub>
              </m:sSub>
            </m:num>
            <m:den>
              <m:r>
                <w:rPr>
                  <w:rFonts w:ascii="Cambria Math" w:hAnsi="Cambria Math"/>
                  <w:sz w:val="22"/>
                </w:rPr>
                <m:t>3600</m:t>
              </m:r>
            </m:den>
          </m:f>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rPr>
                    <m:t>-1*</m:t>
                  </m:r>
                  <m:sSub>
                    <m:sSubPr>
                      <m:ctrlPr>
                        <w:rPr>
                          <w:rFonts w:ascii="Cambria Math" w:hAnsi="Cambria Math"/>
                          <w:i/>
                          <w:sz w:val="22"/>
                        </w:rPr>
                      </m:ctrlPr>
                    </m:sSubPr>
                    <m:e>
                      <m:r>
                        <w:rPr>
                          <w:rFonts w:ascii="Cambria Math" w:hAnsi="Cambria Math"/>
                          <w:sz w:val="22"/>
                        </w:rPr>
                        <m:t>RTMreg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r>
                    <w:rPr>
                      <w:rFonts w:ascii="Cambria Math" w:hAnsi="Cambria Math"/>
                      <w:sz w:val="22"/>
                    </w:rPr>
                    <m:t xml:space="preserve">0, </m:t>
                  </m:r>
                  <m:sSub>
                    <m:sSubPr>
                      <m:ctrlPr>
                        <w:rPr>
                          <w:rFonts w:ascii="Cambria Math" w:hAnsi="Cambria Math"/>
                          <w:i/>
                          <w:sz w:val="22"/>
                        </w:rPr>
                      </m:ctrlPr>
                    </m:sSubPr>
                    <m:e>
                      <m:r>
                        <w:rPr>
                          <w:rFonts w:ascii="Cambria Math" w:hAnsi="Cambria Math"/>
                          <w:sz w:val="22"/>
                        </w:rPr>
                        <m:t>RTPregm</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m:t>
                      </m:r>
                    </m:e>
                    <m:sub>
                      <m:r>
                        <w:rPr>
                          <w:rFonts w:ascii="Cambria Math" w:hAnsi="Cambria Math"/>
                          <w:sz w:val="22"/>
                        </w:rPr>
                        <m:t>iu</m:t>
                      </m:r>
                    </m:sub>
                  </m:sSub>
                </m:e>
              </m:d>
            </m:e>
          </m:d>
        </m:oMath>
      </m:oMathPara>
    </w:p>
    <w:p w:rsidR="008B4A82" w14:paraId="4424D85C" w14:textId="77777777">
      <w:pPr>
        <w:pStyle w:val="equationtext"/>
      </w:pPr>
      <w:r>
        <w:t xml:space="preserve">            </w:t>
      </w:r>
    </w:p>
    <w:p w:rsidR="008B4A82" w:rsidP="00EE4C9E" w14:paraId="548D0CF3" w14:textId="587BA188">
      <w:pPr>
        <w:pStyle w:val="Heading3"/>
      </w:pPr>
      <w:r>
        <w:tab/>
      </w:r>
    </w:p>
    <w:p w:rsidR="008B4A82" w:rsidP="00A8582E" w14:paraId="4236A3B7" w14:textId="461AB50E">
      <w:pPr>
        <w:pStyle w:val="Heading4"/>
      </w:pPr>
      <w:r>
        <w:t xml:space="preserve"> </w:t>
      </w:r>
    </w:p>
    <w:p w:rsidR="008B4A82" w14:paraId="4FCF033E" w14:textId="77777777">
      <w:bookmarkStart w:id="5" w:name="_Toc261252303"/>
    </w:p>
    <w:p w:rsidR="008B4A82" w14:paraId="53BC3B36" w14:textId="16783875">
      <w:pPr>
        <w:pStyle w:val="Heading3"/>
      </w:pPr>
      <w:r>
        <w:t>25.3.</w:t>
      </w:r>
      <w:r w:rsidR="00EE4C9E">
        <w:t>2</w:t>
      </w:r>
      <w:r>
        <w:tab/>
        <w:t>Formula for Day-Ahead Margin Assurance Payments for Limited Energy Storage Resources</w:t>
      </w:r>
      <w:r w:rsidR="008D5777">
        <w:t xml:space="preserve"> and Aggregations comprised entirely of Limited Energy Storage R</w:t>
      </w:r>
      <w:r w:rsidR="00F7748D">
        <w:t>e</w:t>
      </w:r>
      <w:r w:rsidR="008D5777">
        <w:t>sources</w:t>
      </w:r>
    </w:p>
    <w:p w:rsidR="008B4A82" w14:paraId="773870B6" w14:textId="1D1A9C00">
      <w:pPr>
        <w:pStyle w:val="Bodypara"/>
      </w:pPr>
      <w:r>
        <w:t xml:space="preserve">Day-Ahead Margin Assurance Payments for Limited Energy Storage Resources </w:t>
      </w:r>
      <w:r w:rsidR="008D5777">
        <w:t xml:space="preserve">and Aggregations comprised entirely of Limited Energy Storage Resources (“Aggregation of LESR”) </w:t>
      </w:r>
      <w:r>
        <w:t>scheduled to provide Regulation Service shall be determined by applying</w:t>
      </w:r>
      <w:r>
        <w:rPr>
          <w:i/>
          <w:iCs/>
        </w:rPr>
        <w:t xml:space="preserve"> </w:t>
      </w:r>
      <w:r>
        <w:t>the following equations to each Resource using the terms as defined in Section 25.3.</w:t>
      </w:r>
      <w:r w:rsidR="00EE4C9E">
        <w:t>3</w:t>
      </w:r>
      <w:r>
        <w:t xml:space="preserve">; </w:t>
      </w:r>
      <w:r>
        <w:rPr>
          <w:i/>
        </w:rPr>
        <w:t>provided, however</w:t>
      </w:r>
      <w:r>
        <w:t xml:space="preserve">, that a Day-Ahead Margin Assurance Payment is  payable only for intervals in which the NYISO has reduced the real-time Regulation Service offer (in MWs) of a Limited Energy Storage Resource </w:t>
      </w:r>
      <w:r w:rsidR="00660020">
        <w:t xml:space="preserve">or an Aggregation of LESR </w:t>
      </w:r>
      <w:r>
        <w:t>and the NYISO is not pursuing LESR Energy Management for such Resource for such interval, pursuant to ISO Procedures:</w:t>
      </w:r>
    </w:p>
    <w:p w:rsidR="008B4A82" w14:paraId="4B48FE1D" w14:textId="70723C43">
      <w:pPr>
        <w:pStyle w:val="Bodypara"/>
      </w:pPr>
      <w:r>
        <w:t xml:space="preserve">If the LESR’s </w:t>
      </w:r>
      <w:r w:rsidR="00660020">
        <w:t xml:space="preserve">or Aggregation of LESR’s </w:t>
      </w:r>
      <w:r>
        <w:t xml:space="preserve">real-time Regulation Service schedule is less than its Day-Ahead Regulation Service schedule and the real-time Regulation Capacity Market Price is greater than the Day-Ahead Regulation Capacity Bid </w:t>
      </w:r>
      <w:r>
        <w:t>price</w:t>
      </w:r>
      <w:r>
        <w:t xml:space="preserve"> then:</w:t>
      </w:r>
    </w:p>
    <w:p w:rsidR="008B4A82" w14:paraId="4A496C1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8B4A82" w14:paraId="7DC461C1" w14:textId="7F1518F1">
      <w:pPr>
        <w:pStyle w:val="Bodypara"/>
      </w:pPr>
      <w:r>
        <w:t>If the LESR’s</w:t>
      </w:r>
      <w:r w:rsidR="00660020">
        <w:t xml:space="preserve"> or Aggregation of LESR’s</w:t>
      </w:r>
      <w:r>
        <w:t xml:space="preserve"> real-time Regulation Service schedule is less than its Day-Ahead Regulation Service schedule and the real-time Regulation Capacity Market price is less than or equal to the Day-Ahead Regulation Capacity Bid </w:t>
      </w:r>
      <w:r>
        <w:t>price</w:t>
      </w:r>
      <w:r>
        <w:t xml:space="preserve"> then:</w:t>
      </w:r>
    </w:p>
    <w:p w:rsidR="008B4A82" w14:paraId="71E71A2D" w14:textId="77777777">
      <w:pPr>
        <w:pStyle w:val="Bodypara"/>
        <w:spacing w:before="120" w:after="120" w:line="240" w:lineRule="auto"/>
        <w:rPr>
          <w:iCs/>
        </w:rPr>
      </w:pPr>
      <m:oMathPara>
        <m:oMath>
          <m:sSub>
            <m:sSubPr>
              <m:ctrlPr>
                <w:rPr>
                  <w:rFonts w:ascii="Cambria Math" w:hAnsi="Cambria Math"/>
                  <w:i/>
                  <w:iCs/>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iCs/>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r>
                    <w:rPr>
                      <w:rFonts w:ascii="Cambria Math" w:hAnsi="Cambria Math"/>
                    </w:rPr>
                    <m:t xml:space="preserve">-1* </m:t>
                  </m:r>
                  <m:sSub>
                    <m:sSubPr>
                      <m:ctrlPr>
                        <w:rPr>
                          <w:rFonts w:ascii="Cambria Math" w:hAnsi="Cambria Math"/>
                          <w:i/>
                          <w:iCs/>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iCs/>
                    </w:rPr>
                  </m:ctrlPr>
                </m:dPr>
                <m:e>
                  <m:r>
                    <w:rPr>
                      <w:rFonts w:ascii="Cambria Math" w:hAnsi="Cambria Math"/>
                    </w:rPr>
                    <m:t xml:space="preserve">0, </m:t>
                  </m:r>
                  <m:sSub>
                    <m:sSubPr>
                      <m:ctrlPr>
                        <w:rPr>
                          <w:rFonts w:ascii="Cambria Math" w:hAnsi="Cambria Math"/>
                          <w:i/>
                          <w:iCs/>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RTBregm</m:t>
                      </m:r>
                    </m:e>
                    <m:sub>
                      <m:r>
                        <w:rPr>
                          <w:rFonts w:ascii="Cambria Math" w:hAnsi="Cambria Math"/>
                        </w:rPr>
                        <m:t>iu</m:t>
                      </m:r>
                    </m:sub>
                  </m:sSub>
                </m:e>
              </m:d>
            </m:e>
          </m:d>
        </m:oMath>
      </m:oMathPara>
    </w:p>
    <w:p w:rsidR="008B4A82" w14:paraId="49E4344C" w14:textId="77777777">
      <w:pPr>
        <w:pStyle w:val="Bodypara"/>
      </w:pPr>
    </w:p>
    <w:p w:rsidR="008B4A82" w14:paraId="52B71C81" w14:textId="636E479B">
      <w:pPr>
        <w:pStyle w:val="Bodypara"/>
        <w:rPr>
          <w:noProof/>
        </w:rPr>
      </w:pPr>
      <w:r>
        <w:t xml:space="preserve">If the LESR’s </w:t>
      </w:r>
      <w:r w:rsidR="00660020">
        <w:t xml:space="preserve">or Aggregation of LESR’s </w:t>
      </w:r>
      <w:r>
        <w:t xml:space="preserve">real-time Regulation Service schedule is greater than or equal to the Day-Ahead Regulation Service </w:t>
      </w:r>
      <w:r>
        <w:t>schedule</w:t>
      </w:r>
      <w:r>
        <w:t xml:space="preserve"> then:</w:t>
      </w:r>
    </w:p>
    <w:p w:rsidR="008B4A82" w14:paraId="55CD52FC" w14:textId="77777777">
      <w:pPr>
        <w:pStyle w:val="equationtext"/>
        <w:tabs>
          <w:tab w:val="clear" w:pos="1800"/>
        </w:tabs>
        <w:spacing w:after="240"/>
        <w:ind w:left="0" w:firstLine="0"/>
      </w:pPr>
      <m:oMathPara>
        <m:oMath>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CDMAPreg</m:t>
              </m:r>
            </m:e>
            <m:sub>
              <m:r>
                <w:rPr>
                  <w:rFonts w:ascii="Cambria Math" w:hAnsi="Cambria Math"/>
                  <w:sz w:val="20"/>
                </w:rPr>
                <m:t>iu</m:t>
              </m:r>
            </m:sub>
          </m:sSub>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DASreg</m:t>
                      </m:r>
                    </m:e>
                    <m:sub>
                      <m:r>
                        <w:rPr>
                          <w:rFonts w:ascii="Cambria Math" w:hAnsi="Cambria Math"/>
                          <w:sz w:val="20"/>
                        </w:rPr>
                        <m:t>hu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RTSreg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RTPreg</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t>
                          </m:r>
                        </m:e>
                        <m:sub>
                          <m:r>
                            <w:rPr>
                              <w:rFonts w:ascii="Cambria Math" w:hAnsi="Cambria Math"/>
                              <w:sz w:val="20"/>
                            </w:rPr>
                            <m:t>iu</m:t>
                          </m:r>
                        </m:sub>
                      </m:sSub>
                    </m:e>
                  </m:d>
                  <m:r>
                    <w:rPr>
                      <w:rFonts w:ascii="Cambria Math" w:hAnsi="Cambria Math"/>
                      <w:sz w:val="20"/>
                    </w:rPr>
                    <m:t>,0</m:t>
                  </m:r>
                </m:e>
              </m:d>
            </m:e>
          </m:d>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Seconds</m:t>
                  </m:r>
                </m:e>
                <m:sub>
                  <m:r>
                    <w:rPr>
                      <w:rFonts w:ascii="Cambria Math" w:hAnsi="Cambria Math"/>
                      <w:sz w:val="20"/>
                    </w:rPr>
                    <m:t>i</m:t>
                  </m:r>
                </m:sub>
              </m:sSub>
            </m:num>
            <m:den>
              <m:r>
                <w:rPr>
                  <w:rFonts w:ascii="Cambria Math" w:hAnsi="Cambria Math"/>
                  <w:sz w:val="20"/>
                </w:rPr>
                <m:t>3600</m:t>
              </m:r>
            </m:den>
          </m:f>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r>
                    <w:rPr>
                      <w:rFonts w:ascii="Cambria Math" w:hAnsi="Cambria Math"/>
                      <w:sz w:val="20"/>
                    </w:rPr>
                    <m:t xml:space="preserve">-1* </m:t>
                  </m:r>
                  <m:sSub>
                    <m:sSubPr>
                      <m:ctrlPr>
                        <w:rPr>
                          <w:rFonts w:ascii="Cambria Math" w:hAnsi="Cambria Math"/>
                          <w:i/>
                          <w:sz w:val="20"/>
                        </w:rPr>
                      </m:ctrlPr>
                    </m:sSubPr>
                    <m:e>
                      <m:r>
                        <w:rPr>
                          <w:rFonts w:ascii="Cambria Math" w:hAnsi="Cambria Math"/>
                          <w:sz w:val="20"/>
                        </w:rPr>
                        <m:t>RTMreg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r>
                    <w:rPr>
                      <w:rFonts w:ascii="Cambria Math" w:hAnsi="Cambria Math"/>
                      <w:sz w:val="20"/>
                    </w:rPr>
                    <m:t xml:space="preserve">0, </m:t>
                  </m:r>
                  <m:sSub>
                    <m:sSubPr>
                      <m:ctrlPr>
                        <w:rPr>
                          <w:rFonts w:ascii="Cambria Math" w:hAnsi="Cambria Math"/>
                          <w:i/>
                          <w:sz w:val="20"/>
                        </w:rPr>
                      </m:ctrlPr>
                    </m:sSubPr>
                    <m:e>
                      <m:r>
                        <w:rPr>
                          <w:rFonts w:ascii="Cambria Math" w:hAnsi="Cambria Math"/>
                          <w:sz w:val="20"/>
                        </w:rPr>
                        <m:t>RTPregm</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m:t>
                      </m:r>
                    </m:e>
                    <m:sub>
                      <m:r>
                        <w:rPr>
                          <w:rFonts w:ascii="Cambria Math" w:hAnsi="Cambria Math"/>
                          <w:sz w:val="20"/>
                        </w:rPr>
                        <m:t>iu</m:t>
                      </m:r>
                    </m:sub>
                  </m:sSub>
                </m:e>
              </m:d>
            </m:e>
          </m:d>
        </m:oMath>
      </m:oMathPara>
    </w:p>
    <w:p w:rsidR="008B4A82" w14:paraId="40F56A62" w14:textId="77777777">
      <w:pPr>
        <w:pStyle w:val="equationtext"/>
        <w:tabs>
          <w:tab w:val="clear" w:pos="1800"/>
        </w:tabs>
        <w:spacing w:after="240"/>
        <w:ind w:left="0" w:firstLine="0"/>
        <w:rPr>
          <w:noProof/>
        </w:rPr>
      </w:pPr>
    </w:p>
    <w:p w:rsidR="008B4A82" w14:paraId="21FF0D77" w14:textId="20DF6805">
      <w:pPr>
        <w:pStyle w:val="Heading3"/>
      </w:pPr>
      <w:r>
        <w:t>25.3.</w:t>
      </w:r>
      <w:r w:rsidR="00EE4C9E">
        <w:t>3</w:t>
      </w:r>
      <w:r>
        <w:tab/>
        <w:t>Terms Used in this Attachment J</w:t>
      </w:r>
      <w:bookmarkEnd w:id="5"/>
    </w:p>
    <w:p w:rsidR="008B4A82" w14:paraId="50B45C3B" w14:textId="77777777">
      <w:pPr>
        <w:pStyle w:val="Bodypara"/>
        <w:rPr>
          <w:iCs/>
        </w:rPr>
      </w:pPr>
      <w:r>
        <w:rPr>
          <w:iCs/>
        </w:rPr>
        <w:t xml:space="preserve"> The terms used in the formulas in this Attachment J shall be defined as follows:</w:t>
      </w:r>
    </w:p>
    <w:p w:rsidR="008B4A82" w14:paraId="324320A5" w14:textId="77777777">
      <w:pPr>
        <w:pStyle w:val="Bodypara"/>
      </w:pPr>
      <w:r>
        <w:rPr>
          <w:i/>
          <w:iCs/>
        </w:rPr>
        <w:t>h</w:t>
      </w:r>
      <w:r>
        <w:t xml:space="preserve"> is the hour that includes interval </w:t>
      </w:r>
      <w:r>
        <w:rPr>
          <w:i/>
          <w:iCs/>
        </w:rPr>
        <w:t>i</w:t>
      </w:r>
      <w:r>
        <w:t>;</w:t>
      </w:r>
    </w:p>
    <w:tbl>
      <w:tblPr>
        <w:tblStyle w:val="TableGrid"/>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gridCol w:w="8820"/>
        <w:gridCol w:w="8820"/>
      </w:tblGrid>
      <w:tr w14:paraId="2FEC3A87" w14:textId="77777777">
        <w:tblPrEx>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7640" w:type="dxa"/>
        </w:trPr>
        <w:tc>
          <w:tcPr>
            <w:tcW w:w="1440" w:type="dxa"/>
          </w:tcPr>
          <w:p w:rsidR="008B4A82" w14:paraId="5448324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DMAP</m:t>
                    </m:r>
                  </m:e>
                  <m:sub>
                    <m:r>
                      <w:rPr>
                        <w:rFonts w:ascii="Cambria Math" w:hAnsi="Cambria Math"/>
                        <w:sz w:val="20"/>
                        <w:szCs w:val="20"/>
                      </w:rPr>
                      <m:t>hu</m:t>
                    </m:r>
                  </m:sub>
                </m:sSub>
              </m:oMath>
            </m:oMathPara>
          </w:p>
        </w:tc>
        <w:tc>
          <w:tcPr>
            <w:tcW w:w="270" w:type="dxa"/>
          </w:tcPr>
          <w:p w:rsidR="008B4A82" w14:paraId="70BDD3E9" w14:textId="77777777">
            <w:pPr>
              <w:pStyle w:val="equationtext"/>
              <w:tabs>
                <w:tab w:val="clear" w:pos="1800"/>
              </w:tabs>
              <w:ind w:left="-108" w:right="-108" w:firstLine="0"/>
              <w:jc w:val="center"/>
            </w:pPr>
            <w:r>
              <w:t>=</w:t>
            </w:r>
          </w:p>
        </w:tc>
        <w:tc>
          <w:tcPr>
            <w:tcW w:w="8820" w:type="dxa"/>
          </w:tcPr>
          <w:p w:rsidR="008B4A82" w14:paraId="3D779718" w14:textId="77777777">
            <w:pPr>
              <w:pStyle w:val="equationtext"/>
              <w:tabs>
                <w:tab w:val="clear" w:pos="1800"/>
              </w:tabs>
              <w:ind w:left="0" w:firstLine="0"/>
              <w:rPr>
                <w:sz w:val="20"/>
                <w:szCs w:val="20"/>
              </w:rPr>
            </w:pPr>
            <w:r>
              <w:rPr>
                <w:sz w:val="20"/>
                <w:szCs w:val="20"/>
              </w:rPr>
              <w:t xml:space="preserve">the Day-Ahead Margin Assurance Payment attributable in any hour </w:t>
            </w:r>
            <w:r>
              <w:rPr>
                <w:i/>
                <w:sz w:val="20"/>
                <w:szCs w:val="20"/>
              </w:rPr>
              <w:t>h</w:t>
            </w:r>
            <w:r>
              <w:rPr>
                <w:sz w:val="20"/>
                <w:szCs w:val="20"/>
              </w:rPr>
              <w:t xml:space="preserve"> to any Supplier </w:t>
            </w:r>
            <w:r>
              <w:rPr>
                <w:i/>
                <w:sz w:val="20"/>
                <w:szCs w:val="20"/>
              </w:rPr>
              <w:t>u</w:t>
            </w:r>
            <w:r>
              <w:rPr>
                <w:sz w:val="20"/>
                <w:szCs w:val="20"/>
              </w:rPr>
              <w:t>;</w:t>
            </w:r>
          </w:p>
        </w:tc>
      </w:tr>
      <w:tr w14:paraId="213E79B9" w14:textId="77777777">
        <w:tblPrEx>
          <w:tblW w:w="28170" w:type="dxa"/>
          <w:tblInd w:w="-162" w:type="dxa"/>
          <w:tblLayout w:type="fixed"/>
          <w:tblLook w:val="04A0"/>
        </w:tblPrEx>
        <w:trPr>
          <w:gridAfter w:val="2"/>
          <w:wAfter w:w="17640" w:type="dxa"/>
        </w:trPr>
        <w:tc>
          <w:tcPr>
            <w:tcW w:w="1440" w:type="dxa"/>
          </w:tcPr>
          <w:p w:rsidR="008B4A82" w14:paraId="148E1979"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m:t>
                    </m:r>
                  </m:e>
                  <m:sub>
                    <m:r>
                      <w:rPr>
                        <w:rFonts w:ascii="Cambria Math" w:hAnsi="Cambria Math"/>
                        <w:sz w:val="20"/>
                        <w:szCs w:val="20"/>
                      </w:rPr>
                      <m:t>iu</m:t>
                    </m:r>
                  </m:sub>
                </m:sSub>
              </m:oMath>
            </m:oMathPara>
          </w:p>
        </w:tc>
        <w:tc>
          <w:tcPr>
            <w:tcW w:w="270" w:type="dxa"/>
          </w:tcPr>
          <w:p w:rsidR="008B4A82" w14:paraId="2A73F4ED" w14:textId="77777777">
            <w:pPr>
              <w:pStyle w:val="equationtext"/>
              <w:tabs>
                <w:tab w:val="clear" w:pos="1800"/>
              </w:tabs>
              <w:ind w:left="-108" w:right="-108" w:firstLine="0"/>
              <w:jc w:val="center"/>
            </w:pPr>
            <w:r>
              <w:t>=</w:t>
            </w:r>
          </w:p>
        </w:tc>
        <w:tc>
          <w:tcPr>
            <w:tcW w:w="8820" w:type="dxa"/>
          </w:tcPr>
          <w:p w:rsidR="008B4A82" w14:paraId="3D87E3E4" w14:textId="77777777">
            <w:pPr>
              <w:pStyle w:val="equationtext"/>
              <w:tabs>
                <w:tab w:val="clear" w:pos="1800"/>
              </w:tabs>
              <w:ind w:left="0" w:firstLine="0"/>
              <w:rPr>
                <w:iCs w:val="0"/>
                <w:sz w:val="20"/>
                <w:szCs w:val="20"/>
              </w:rPr>
            </w:pPr>
            <w:r>
              <w:rPr>
                <w:sz w:val="20"/>
                <w:szCs w:val="20"/>
              </w:rPr>
              <w:t xml:space="preserve">the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0EA612A9" w14:textId="77777777">
        <w:tblPrEx>
          <w:tblW w:w="28170" w:type="dxa"/>
          <w:tblInd w:w="-162" w:type="dxa"/>
          <w:tblLayout w:type="fixed"/>
          <w:tblLook w:val="04A0"/>
        </w:tblPrEx>
        <w:trPr>
          <w:gridAfter w:val="2"/>
          <w:wAfter w:w="17640" w:type="dxa"/>
        </w:trPr>
        <w:tc>
          <w:tcPr>
            <w:tcW w:w="1440" w:type="dxa"/>
          </w:tcPr>
          <w:p w:rsidR="008B4A82" w14:paraId="74D0642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CDMAPen</m:t>
                    </m:r>
                  </m:e>
                  <m:sub>
                    <m:r>
                      <w:rPr>
                        <w:rFonts w:ascii="Cambria Math" w:hAnsi="Cambria Math"/>
                        <w:sz w:val="20"/>
                        <w:szCs w:val="20"/>
                      </w:rPr>
                      <m:t>iu</m:t>
                    </m:r>
                  </m:sub>
                </m:sSub>
              </m:oMath>
            </m:oMathPara>
          </w:p>
        </w:tc>
        <w:tc>
          <w:tcPr>
            <w:tcW w:w="270" w:type="dxa"/>
          </w:tcPr>
          <w:p w:rsidR="008B4A82" w14:paraId="799F23FA" w14:textId="77777777">
            <w:pPr>
              <w:pStyle w:val="equationtext"/>
              <w:tabs>
                <w:tab w:val="clear" w:pos="1800"/>
              </w:tabs>
              <w:ind w:left="-108" w:right="-108" w:firstLine="0"/>
              <w:jc w:val="center"/>
            </w:pPr>
            <w:r>
              <w:t>=</w:t>
            </w:r>
          </w:p>
        </w:tc>
        <w:tc>
          <w:tcPr>
            <w:tcW w:w="8820" w:type="dxa"/>
          </w:tcPr>
          <w:p w:rsidR="008B4A82" w14:paraId="693418BE" w14:textId="77777777">
            <w:pPr>
              <w:pStyle w:val="equationtext"/>
              <w:tabs>
                <w:tab w:val="clear" w:pos="1800"/>
              </w:tabs>
              <w:ind w:left="0" w:firstLine="0"/>
              <w:rPr>
                <w:iCs w:val="0"/>
                <w:sz w:val="20"/>
                <w:szCs w:val="20"/>
              </w:rPr>
            </w:pPr>
            <w:r>
              <w:rPr>
                <w:sz w:val="20"/>
                <w:szCs w:val="20"/>
              </w:rPr>
              <w:t xml:space="preserve">the Energy contribution of </w:t>
            </w:r>
            <w:r>
              <w:rPr>
                <w:sz w:val="20"/>
                <w:szCs w:val="20"/>
              </w:rPr>
              <w:t>RTD</w:t>
            </w:r>
            <w:r>
              <w:rPr>
                <w:sz w:val="20"/>
                <w:szCs w:val="20"/>
              </w:rPr>
              <w:t xml:space="preserve">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17B99680" w14:textId="77777777">
        <w:tblPrEx>
          <w:tblW w:w="28170" w:type="dxa"/>
          <w:tblInd w:w="-162" w:type="dxa"/>
          <w:tblLayout w:type="fixed"/>
          <w:tblLook w:val="04A0"/>
        </w:tblPrEx>
        <w:trPr>
          <w:gridAfter w:val="2"/>
          <w:wAfter w:w="17640" w:type="dxa"/>
        </w:trPr>
        <w:tc>
          <w:tcPr>
            <w:tcW w:w="1440" w:type="dxa"/>
          </w:tcPr>
          <w:p w:rsidR="008B4A82" w14:paraId="1426848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CDMAPreg</m:t>
                    </m:r>
                  </m:e>
                  <m:sub>
                    <m:r>
                      <w:rPr>
                        <w:rFonts w:ascii="Cambria Math" w:hAnsi="Cambria Math"/>
                        <w:sz w:val="20"/>
                        <w:szCs w:val="20"/>
                      </w:rPr>
                      <m:t>iu</m:t>
                    </m:r>
                  </m:sub>
                </m:sSub>
              </m:oMath>
            </m:oMathPara>
          </w:p>
        </w:tc>
        <w:tc>
          <w:tcPr>
            <w:tcW w:w="270" w:type="dxa"/>
          </w:tcPr>
          <w:p w:rsidR="008B4A82" w14:paraId="24B64206" w14:textId="77777777">
            <w:pPr>
              <w:pStyle w:val="equationtext"/>
              <w:tabs>
                <w:tab w:val="clear" w:pos="1800"/>
              </w:tabs>
              <w:ind w:left="-108" w:right="-108" w:firstLine="0"/>
              <w:jc w:val="center"/>
            </w:pPr>
            <w:r>
              <w:t>=</w:t>
            </w:r>
          </w:p>
        </w:tc>
        <w:tc>
          <w:tcPr>
            <w:tcW w:w="8820" w:type="dxa"/>
          </w:tcPr>
          <w:p w:rsidR="008B4A82" w14:paraId="7F0FAF00" w14:textId="77777777">
            <w:pPr>
              <w:pStyle w:val="equationtext"/>
              <w:tabs>
                <w:tab w:val="clear" w:pos="1800"/>
              </w:tabs>
              <w:ind w:left="0" w:firstLine="0"/>
              <w:rPr>
                <w:iCs w:val="0"/>
                <w:sz w:val="20"/>
                <w:szCs w:val="20"/>
              </w:rPr>
            </w:pPr>
            <w:r>
              <w:rPr>
                <w:sz w:val="20"/>
                <w:szCs w:val="20"/>
              </w:rPr>
              <w:t xml:space="preserve">the Regulation Service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3080BC97" w14:textId="77777777">
        <w:tblPrEx>
          <w:tblW w:w="28170" w:type="dxa"/>
          <w:tblInd w:w="-162" w:type="dxa"/>
          <w:tblLayout w:type="fixed"/>
          <w:tblLook w:val="04A0"/>
        </w:tblPrEx>
        <w:trPr>
          <w:gridAfter w:val="2"/>
          <w:wAfter w:w="17640" w:type="dxa"/>
        </w:trPr>
        <w:tc>
          <w:tcPr>
            <w:tcW w:w="1440" w:type="dxa"/>
          </w:tcPr>
          <w:p w:rsidR="008B4A82" w14:paraId="45CF7DF2" w14:textId="77777777">
            <w:pPr>
              <w:pStyle w:val="equationtext"/>
              <w:tabs>
                <w:tab w:val="clear" w:pos="1800"/>
              </w:tabs>
              <w:ind w:left="0" w:firstLine="0"/>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CDMAPres</m:t>
                    </m:r>
                  </m:e>
                  <m:sub>
                    <m:r>
                      <w:rPr>
                        <w:rFonts w:ascii="Cambria Math" w:hAnsi="Cambria Math"/>
                        <w:sz w:val="20"/>
                        <w:szCs w:val="20"/>
                      </w:rPr>
                      <m:t>iup</m:t>
                    </m:r>
                  </m:sub>
                </m:sSub>
              </m:oMath>
            </m:oMathPara>
          </w:p>
        </w:tc>
        <w:tc>
          <w:tcPr>
            <w:tcW w:w="270" w:type="dxa"/>
          </w:tcPr>
          <w:p w:rsidR="008B4A82" w14:paraId="441F97C3" w14:textId="77777777">
            <w:pPr>
              <w:pStyle w:val="equationtext"/>
              <w:tabs>
                <w:tab w:val="clear" w:pos="1800"/>
              </w:tabs>
              <w:ind w:left="-108" w:right="-108" w:firstLine="0"/>
              <w:jc w:val="center"/>
            </w:pPr>
            <w:r>
              <w:t>=</w:t>
            </w:r>
          </w:p>
        </w:tc>
        <w:tc>
          <w:tcPr>
            <w:tcW w:w="8820" w:type="dxa"/>
          </w:tcPr>
          <w:p w:rsidR="008B4A82" w14:paraId="0B0DEE6F" w14:textId="77777777">
            <w:pPr>
              <w:pStyle w:val="equationtext"/>
              <w:tabs>
                <w:tab w:val="clear" w:pos="1800"/>
              </w:tabs>
              <w:ind w:left="0" w:firstLine="0"/>
              <w:rPr>
                <w:sz w:val="20"/>
                <w:szCs w:val="20"/>
              </w:rPr>
            </w:pPr>
            <w:r>
              <w:rPr>
                <w:sz w:val="20"/>
                <w:szCs w:val="20"/>
              </w:rPr>
              <w:t xml:space="preserve">the Operating Reserve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 xml:space="preserve"> determined separately for each Operating Reserve product </w:t>
            </w:r>
            <w:r>
              <w:rPr>
                <w:i/>
                <w:sz w:val="20"/>
                <w:szCs w:val="20"/>
              </w:rPr>
              <w:t>p</w:t>
            </w:r>
            <w:r>
              <w:rPr>
                <w:sz w:val="20"/>
                <w:szCs w:val="20"/>
              </w:rPr>
              <w:t>;</w:t>
            </w:r>
          </w:p>
        </w:tc>
      </w:tr>
      <w:tr w14:paraId="620F6427" w14:textId="77777777">
        <w:tblPrEx>
          <w:tblW w:w="28170" w:type="dxa"/>
          <w:tblInd w:w="-162" w:type="dxa"/>
          <w:tblLayout w:type="fixed"/>
          <w:tblLook w:val="04A0"/>
        </w:tblPrEx>
        <w:trPr>
          <w:gridAfter w:val="2"/>
          <w:wAfter w:w="17640" w:type="dxa"/>
        </w:trPr>
        <w:tc>
          <w:tcPr>
            <w:tcW w:w="1440" w:type="dxa"/>
          </w:tcPr>
          <w:p w:rsidR="008B4A82" w14:paraId="55CFC366"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oMath>
            </m:oMathPara>
          </w:p>
        </w:tc>
        <w:tc>
          <w:tcPr>
            <w:tcW w:w="270" w:type="dxa"/>
          </w:tcPr>
          <w:p w:rsidR="008B4A82" w14:paraId="1E87F207" w14:textId="77777777">
            <w:pPr>
              <w:pStyle w:val="equationtext"/>
              <w:tabs>
                <w:tab w:val="clear" w:pos="1800"/>
              </w:tabs>
              <w:ind w:left="-108" w:right="-108" w:firstLine="0"/>
              <w:jc w:val="center"/>
            </w:pPr>
            <w:r>
              <w:t>=</w:t>
            </w:r>
          </w:p>
        </w:tc>
        <w:tc>
          <w:tcPr>
            <w:tcW w:w="8820" w:type="dxa"/>
          </w:tcPr>
          <w:p w:rsidR="008B4A82" w14:paraId="605CC571" w14:textId="77777777">
            <w:pPr>
              <w:pStyle w:val="equationtext"/>
              <w:tabs>
                <w:tab w:val="clear" w:pos="1800"/>
              </w:tabs>
              <w:ind w:left="0" w:firstLine="0"/>
              <w:rPr>
                <w:sz w:val="20"/>
                <w:szCs w:val="20"/>
              </w:rPr>
            </w:pPr>
            <w:r>
              <w:rPr>
                <w:sz w:val="20"/>
                <w:szCs w:val="20"/>
              </w:rPr>
              <w:t xml:space="preserve">Day-Ahead Energy schedule for Supplier </w:t>
            </w:r>
            <w:r>
              <w:rPr>
                <w:i/>
                <w:sz w:val="20"/>
                <w:szCs w:val="20"/>
              </w:rPr>
              <w:t>u</w:t>
            </w:r>
            <w:r>
              <w:rPr>
                <w:sz w:val="20"/>
                <w:szCs w:val="20"/>
              </w:rPr>
              <w:t xml:space="preserve"> in hour </w:t>
            </w:r>
            <w:r>
              <w:rPr>
                <w:i/>
                <w:sz w:val="20"/>
                <w:szCs w:val="20"/>
              </w:rPr>
              <w:t>h</w:t>
            </w:r>
            <w:r>
              <w:rPr>
                <w:sz w:val="20"/>
                <w:szCs w:val="20"/>
              </w:rPr>
              <w:t>;</w:t>
            </w:r>
          </w:p>
        </w:tc>
      </w:tr>
      <w:tr w14:paraId="769AAF63" w14:textId="77777777">
        <w:tblPrEx>
          <w:tblW w:w="28170" w:type="dxa"/>
          <w:tblInd w:w="-162" w:type="dxa"/>
          <w:tblLayout w:type="fixed"/>
          <w:tblLook w:val="04A0"/>
        </w:tblPrEx>
        <w:trPr>
          <w:gridAfter w:val="2"/>
          <w:wAfter w:w="17640" w:type="dxa"/>
        </w:trPr>
        <w:tc>
          <w:tcPr>
            <w:tcW w:w="1440" w:type="dxa"/>
          </w:tcPr>
          <w:p w:rsidR="008B4A82" w14:paraId="03821FC9"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DASreg</m:t>
                    </m:r>
                  </m:e>
                  <m:sub>
                    <m:r>
                      <w:rPr>
                        <w:rFonts w:ascii="Cambria Math" w:hAnsi="Cambria Math"/>
                        <w:sz w:val="20"/>
                        <w:szCs w:val="20"/>
                      </w:rPr>
                      <m:t>hu</m:t>
                    </m:r>
                  </m:sub>
                </m:sSub>
              </m:oMath>
            </m:oMathPara>
          </w:p>
        </w:tc>
        <w:tc>
          <w:tcPr>
            <w:tcW w:w="270" w:type="dxa"/>
          </w:tcPr>
          <w:p w:rsidR="008B4A82" w14:paraId="320A1FE9" w14:textId="77777777">
            <w:pPr>
              <w:pStyle w:val="equationtext"/>
              <w:tabs>
                <w:tab w:val="clear" w:pos="1800"/>
              </w:tabs>
              <w:ind w:left="-108" w:right="-108" w:firstLine="0"/>
              <w:jc w:val="center"/>
            </w:pPr>
            <w:r>
              <w:t>=</w:t>
            </w:r>
          </w:p>
        </w:tc>
        <w:tc>
          <w:tcPr>
            <w:tcW w:w="8820" w:type="dxa"/>
          </w:tcPr>
          <w:p w:rsidR="008B4A82" w14:paraId="497708D5" w14:textId="77777777">
            <w:pPr>
              <w:pStyle w:val="equationtext"/>
              <w:tabs>
                <w:tab w:val="clear" w:pos="1800"/>
              </w:tabs>
              <w:ind w:left="0" w:firstLine="0"/>
              <w:rPr>
                <w:iCs w:val="0"/>
                <w:sz w:val="20"/>
                <w:szCs w:val="20"/>
              </w:rPr>
            </w:pPr>
            <w:r>
              <w:rPr>
                <w:sz w:val="20"/>
                <w:szCs w:val="20"/>
              </w:rPr>
              <w:t xml:space="preserve">Day-Ahead schedule for Regulation Service for Supplier </w:t>
            </w:r>
            <w:r>
              <w:rPr>
                <w:i/>
                <w:sz w:val="20"/>
                <w:szCs w:val="20"/>
              </w:rPr>
              <w:t>u</w:t>
            </w:r>
            <w:r>
              <w:rPr>
                <w:sz w:val="20"/>
                <w:szCs w:val="20"/>
              </w:rPr>
              <w:t xml:space="preserve"> in hour </w:t>
            </w:r>
            <w:r>
              <w:rPr>
                <w:i/>
                <w:sz w:val="20"/>
                <w:szCs w:val="20"/>
              </w:rPr>
              <w:t>h</w:t>
            </w:r>
            <w:r>
              <w:rPr>
                <w:sz w:val="20"/>
                <w:szCs w:val="20"/>
              </w:rPr>
              <w:t>;</w:t>
            </w:r>
          </w:p>
        </w:tc>
      </w:tr>
      <w:tr w14:paraId="61CC1128" w14:textId="77777777">
        <w:tblPrEx>
          <w:tblW w:w="28170" w:type="dxa"/>
          <w:tblInd w:w="-162" w:type="dxa"/>
          <w:tblLayout w:type="fixed"/>
          <w:tblLook w:val="04A0"/>
        </w:tblPrEx>
        <w:trPr>
          <w:gridAfter w:val="2"/>
          <w:wAfter w:w="17640" w:type="dxa"/>
        </w:trPr>
        <w:tc>
          <w:tcPr>
            <w:tcW w:w="1440" w:type="dxa"/>
          </w:tcPr>
          <w:p w:rsidR="008B4A82" w14:paraId="27476B4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DASres</m:t>
                    </m:r>
                  </m:e>
                  <m:sub>
                    <m:r>
                      <w:rPr>
                        <w:rFonts w:ascii="Cambria Math" w:hAnsi="Cambria Math"/>
                        <w:sz w:val="20"/>
                        <w:szCs w:val="20"/>
                      </w:rPr>
                      <m:t>hup</m:t>
                    </m:r>
                  </m:sub>
                </m:sSub>
              </m:oMath>
            </m:oMathPara>
          </w:p>
        </w:tc>
        <w:tc>
          <w:tcPr>
            <w:tcW w:w="270" w:type="dxa"/>
          </w:tcPr>
          <w:p w:rsidR="008B4A82" w14:paraId="79EAE4BE" w14:textId="77777777">
            <w:pPr>
              <w:pStyle w:val="equationtext"/>
              <w:tabs>
                <w:tab w:val="clear" w:pos="1800"/>
              </w:tabs>
              <w:ind w:left="-108" w:right="-108" w:firstLine="0"/>
              <w:jc w:val="center"/>
            </w:pPr>
            <w:r>
              <w:t>=</w:t>
            </w:r>
          </w:p>
        </w:tc>
        <w:tc>
          <w:tcPr>
            <w:tcW w:w="8820" w:type="dxa"/>
          </w:tcPr>
          <w:p w:rsidR="008B4A82" w14:paraId="43565372" w14:textId="77777777">
            <w:pPr>
              <w:pStyle w:val="equationtext"/>
              <w:tabs>
                <w:tab w:val="clear" w:pos="1800"/>
              </w:tabs>
              <w:ind w:left="0" w:firstLine="0"/>
              <w:rPr>
                <w:iCs w:val="0"/>
                <w:sz w:val="20"/>
                <w:szCs w:val="20"/>
              </w:rPr>
            </w:pPr>
            <w:r>
              <w:rPr>
                <w:sz w:val="20"/>
                <w:szCs w:val="20"/>
              </w:rPr>
              <w:t xml:space="preserve">Day-Ahead schedule for Operating Reserve product p, for Supplier </w:t>
            </w:r>
            <w:r>
              <w:rPr>
                <w:i/>
                <w:sz w:val="20"/>
                <w:szCs w:val="20"/>
              </w:rPr>
              <w:t>u</w:t>
            </w:r>
            <w:r>
              <w:rPr>
                <w:sz w:val="20"/>
                <w:szCs w:val="20"/>
              </w:rPr>
              <w:t xml:space="preserve"> in hour </w:t>
            </w:r>
            <w:r>
              <w:rPr>
                <w:i/>
                <w:sz w:val="20"/>
                <w:szCs w:val="20"/>
              </w:rPr>
              <w:t>h</w:t>
            </w:r>
            <w:r>
              <w:rPr>
                <w:sz w:val="20"/>
                <w:szCs w:val="20"/>
              </w:rPr>
              <w:t>;</w:t>
            </w:r>
          </w:p>
        </w:tc>
      </w:tr>
      <w:tr w14:paraId="52D04B8B" w14:textId="77777777">
        <w:tblPrEx>
          <w:tblW w:w="28170" w:type="dxa"/>
          <w:tblInd w:w="-162" w:type="dxa"/>
          <w:tblLayout w:type="fixed"/>
          <w:tblLook w:val="04A0"/>
        </w:tblPrEx>
        <w:trPr>
          <w:gridAfter w:val="2"/>
          <w:wAfter w:w="17640" w:type="dxa"/>
        </w:trPr>
        <w:tc>
          <w:tcPr>
            <w:tcW w:w="1440" w:type="dxa"/>
          </w:tcPr>
          <w:p w:rsidR="008B4A82" w14:paraId="6CBB161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DABen</m:t>
                    </m:r>
                  </m:e>
                  <m:sub>
                    <m:r>
                      <w:rPr>
                        <w:rFonts w:ascii="Cambria Math" w:hAnsi="Cambria Math"/>
                        <w:sz w:val="20"/>
                        <w:szCs w:val="20"/>
                      </w:rPr>
                      <m:t>hu</m:t>
                    </m:r>
                  </m:sub>
                </m:sSub>
              </m:oMath>
            </m:oMathPara>
          </w:p>
        </w:tc>
        <w:tc>
          <w:tcPr>
            <w:tcW w:w="270" w:type="dxa"/>
          </w:tcPr>
          <w:p w:rsidR="008B4A82" w14:paraId="604AE258" w14:textId="77777777">
            <w:pPr>
              <w:pStyle w:val="equationtext"/>
              <w:tabs>
                <w:tab w:val="clear" w:pos="1800"/>
              </w:tabs>
              <w:ind w:left="-108" w:right="-108" w:firstLine="0"/>
              <w:jc w:val="center"/>
            </w:pPr>
            <w:r>
              <w:t>=</w:t>
            </w:r>
          </w:p>
        </w:tc>
        <w:tc>
          <w:tcPr>
            <w:tcW w:w="8820" w:type="dxa"/>
          </w:tcPr>
          <w:p w:rsidR="008B4A82" w14:paraId="33DA2528" w14:textId="77777777">
            <w:pPr>
              <w:pStyle w:val="equationtext"/>
              <w:tabs>
                <w:tab w:val="clear" w:pos="1800"/>
              </w:tabs>
              <w:ind w:left="0" w:firstLine="0"/>
              <w:rPr>
                <w:iCs w:val="0"/>
                <w:sz w:val="20"/>
                <w:szCs w:val="20"/>
              </w:rPr>
            </w:pPr>
            <w:r>
              <w:rPr>
                <w:sz w:val="20"/>
                <w:szCs w:val="20"/>
              </w:rPr>
              <w:t xml:space="preserve">Day-Ahead Energy Bid cost for Supplier </w:t>
            </w:r>
            <w:r>
              <w:rPr>
                <w:i/>
                <w:sz w:val="20"/>
                <w:szCs w:val="20"/>
              </w:rPr>
              <w:t>u</w:t>
            </w:r>
            <w:r>
              <w:rPr>
                <w:sz w:val="20"/>
                <w:szCs w:val="20"/>
              </w:rPr>
              <w:t xml:space="preserve"> in hour </w:t>
            </w:r>
            <w:r>
              <w:rPr>
                <w:i/>
                <w:sz w:val="20"/>
                <w:szCs w:val="20"/>
              </w:rPr>
              <w:t>h</w:t>
            </w:r>
            <w:r>
              <w:rPr>
                <w:sz w:val="20"/>
                <w:szCs w:val="20"/>
              </w:rPr>
              <w:t xml:space="preserve">, including the Minimum Generation Bid and </w:t>
            </w:r>
            <w:r>
              <w:rPr>
                <w:sz w:val="20"/>
                <w:szCs w:val="20"/>
              </w:rPr>
              <w:t>Incremental Energy Bids;</w:t>
            </w:r>
          </w:p>
        </w:tc>
      </w:tr>
      <w:tr w14:paraId="0D7DD3F6" w14:textId="77777777">
        <w:tblPrEx>
          <w:tblW w:w="28170" w:type="dxa"/>
          <w:tblInd w:w="-162" w:type="dxa"/>
          <w:tblLayout w:type="fixed"/>
          <w:tblLook w:val="04A0"/>
        </w:tblPrEx>
        <w:trPr>
          <w:gridAfter w:val="2"/>
          <w:wAfter w:w="17640" w:type="dxa"/>
        </w:trPr>
        <w:tc>
          <w:tcPr>
            <w:tcW w:w="1440" w:type="dxa"/>
          </w:tcPr>
          <w:p w:rsidR="008B4A82" w14:paraId="1BEEEF70"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DABreg</m:t>
                    </m:r>
                  </m:e>
                  <m:sub>
                    <m:r>
                      <w:rPr>
                        <w:rFonts w:ascii="Cambria Math" w:hAnsi="Cambria Math"/>
                        <w:sz w:val="20"/>
                        <w:szCs w:val="20"/>
                      </w:rPr>
                      <m:t>hu</m:t>
                    </m:r>
                  </m:sub>
                </m:sSub>
              </m:oMath>
            </m:oMathPara>
          </w:p>
        </w:tc>
        <w:tc>
          <w:tcPr>
            <w:tcW w:w="270" w:type="dxa"/>
          </w:tcPr>
          <w:p w:rsidR="008B4A82" w14:paraId="38644A4B" w14:textId="77777777">
            <w:pPr>
              <w:pStyle w:val="equationtext"/>
              <w:tabs>
                <w:tab w:val="clear" w:pos="1800"/>
              </w:tabs>
              <w:ind w:left="-108" w:right="-108" w:firstLine="0"/>
              <w:jc w:val="center"/>
            </w:pPr>
            <w:r>
              <w:t>=</w:t>
            </w:r>
          </w:p>
        </w:tc>
        <w:tc>
          <w:tcPr>
            <w:tcW w:w="8820" w:type="dxa"/>
          </w:tcPr>
          <w:p w:rsidR="008B4A82" w14:paraId="7A82F855" w14:textId="77777777">
            <w:pPr>
              <w:pStyle w:val="equationtext"/>
              <w:tabs>
                <w:tab w:val="clear" w:pos="1800"/>
              </w:tabs>
              <w:ind w:left="0" w:firstLine="0"/>
              <w:rPr>
                <w:iCs w:val="0"/>
                <w:sz w:val="20"/>
                <w:szCs w:val="20"/>
              </w:rPr>
            </w:pPr>
            <w:r>
              <w:rPr>
                <w:sz w:val="20"/>
                <w:szCs w:val="20"/>
              </w:rPr>
              <w:t xml:space="preserve">Day-Ahead Regulation Capacity Bid price for Supplier </w:t>
            </w:r>
            <w:r>
              <w:rPr>
                <w:i/>
                <w:sz w:val="20"/>
                <w:szCs w:val="20"/>
              </w:rPr>
              <w:t>u</w:t>
            </w:r>
            <w:r>
              <w:rPr>
                <w:sz w:val="20"/>
                <w:szCs w:val="20"/>
              </w:rPr>
              <w:t xml:space="preserve"> in hour </w:t>
            </w:r>
            <w:r>
              <w:rPr>
                <w:i/>
                <w:sz w:val="20"/>
                <w:szCs w:val="20"/>
              </w:rPr>
              <w:t>h</w:t>
            </w:r>
            <w:r>
              <w:rPr>
                <w:sz w:val="20"/>
                <w:szCs w:val="20"/>
              </w:rPr>
              <w:t>;</w:t>
            </w:r>
          </w:p>
        </w:tc>
      </w:tr>
      <w:tr w14:paraId="067E1950" w14:textId="77777777">
        <w:tblPrEx>
          <w:tblW w:w="28170" w:type="dxa"/>
          <w:tblInd w:w="-162" w:type="dxa"/>
          <w:tblLayout w:type="fixed"/>
          <w:tblLook w:val="04A0"/>
        </w:tblPrEx>
        <w:trPr>
          <w:gridAfter w:val="2"/>
          <w:wAfter w:w="17640" w:type="dxa"/>
        </w:trPr>
        <w:tc>
          <w:tcPr>
            <w:tcW w:w="1440" w:type="dxa"/>
          </w:tcPr>
          <w:p w:rsidR="008B4A82" w14:paraId="2F393A3E"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DABres</m:t>
                    </m:r>
                  </m:e>
                  <m:sub>
                    <m:r>
                      <w:rPr>
                        <w:rFonts w:ascii="Cambria Math" w:hAnsi="Cambria Math"/>
                        <w:sz w:val="20"/>
                        <w:szCs w:val="20"/>
                      </w:rPr>
                      <m:t>hup</m:t>
                    </m:r>
                  </m:sub>
                </m:sSub>
              </m:oMath>
            </m:oMathPara>
          </w:p>
        </w:tc>
        <w:tc>
          <w:tcPr>
            <w:tcW w:w="270" w:type="dxa"/>
          </w:tcPr>
          <w:p w:rsidR="008B4A82" w14:paraId="417C2701" w14:textId="77777777">
            <w:pPr>
              <w:pStyle w:val="equationtext"/>
              <w:tabs>
                <w:tab w:val="clear" w:pos="1800"/>
              </w:tabs>
              <w:ind w:left="-108" w:right="-108" w:firstLine="0"/>
              <w:jc w:val="center"/>
            </w:pPr>
            <w:r>
              <w:t>=</w:t>
            </w:r>
          </w:p>
        </w:tc>
        <w:tc>
          <w:tcPr>
            <w:tcW w:w="8820" w:type="dxa"/>
          </w:tcPr>
          <w:p w:rsidR="008B4A82" w14:paraId="52F119F8" w14:textId="77777777">
            <w:pPr>
              <w:pStyle w:val="equationtext"/>
              <w:tabs>
                <w:tab w:val="clear" w:pos="1800"/>
              </w:tabs>
              <w:ind w:left="0" w:firstLine="0"/>
              <w:rPr>
                <w:iCs w:val="0"/>
                <w:sz w:val="20"/>
                <w:szCs w:val="20"/>
              </w:rPr>
            </w:pPr>
            <w:r>
              <w:rPr>
                <w:sz w:val="20"/>
                <w:szCs w:val="20"/>
              </w:rPr>
              <w:t xml:space="preserve">Day-Ahead Availability Bid for Operating Reserve product </w:t>
            </w:r>
            <w:r>
              <w:rPr>
                <w:i/>
                <w:sz w:val="20"/>
                <w:szCs w:val="20"/>
              </w:rPr>
              <w:t>p</w:t>
            </w:r>
            <w:r>
              <w:rPr>
                <w:sz w:val="20"/>
                <w:szCs w:val="20"/>
              </w:rPr>
              <w:t xml:space="preserve"> for Supplier </w:t>
            </w:r>
            <w:r>
              <w:rPr>
                <w:i/>
                <w:sz w:val="20"/>
                <w:szCs w:val="20"/>
              </w:rPr>
              <w:t>u</w:t>
            </w:r>
            <w:r>
              <w:rPr>
                <w:sz w:val="20"/>
                <w:szCs w:val="20"/>
              </w:rPr>
              <w:t xml:space="preserve"> in hour </w:t>
            </w:r>
            <w:r>
              <w:rPr>
                <w:i/>
                <w:sz w:val="20"/>
                <w:szCs w:val="20"/>
              </w:rPr>
              <w:t>h</w:t>
            </w:r>
            <w:r>
              <w:rPr>
                <w:sz w:val="20"/>
                <w:szCs w:val="20"/>
              </w:rPr>
              <w:t>;</w:t>
            </w:r>
          </w:p>
        </w:tc>
      </w:tr>
      <w:tr w14:paraId="47D307BD" w14:textId="77777777">
        <w:tblPrEx>
          <w:tblW w:w="28170" w:type="dxa"/>
          <w:tblInd w:w="-162" w:type="dxa"/>
          <w:tblLayout w:type="fixed"/>
          <w:tblLook w:val="04A0"/>
        </w:tblPrEx>
        <w:trPr>
          <w:gridAfter w:val="2"/>
          <w:wAfter w:w="17640" w:type="dxa"/>
        </w:trPr>
        <w:tc>
          <w:tcPr>
            <w:tcW w:w="1440" w:type="dxa"/>
          </w:tcPr>
          <w:p w:rsidR="008B4A82" w14:paraId="2E9DB9D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m:oMathPara>
          </w:p>
        </w:tc>
        <w:tc>
          <w:tcPr>
            <w:tcW w:w="270" w:type="dxa"/>
          </w:tcPr>
          <w:p w:rsidR="008B4A82" w14:paraId="73EFA4FA" w14:textId="77777777">
            <w:pPr>
              <w:pStyle w:val="equationtext"/>
              <w:tabs>
                <w:tab w:val="clear" w:pos="1800"/>
              </w:tabs>
              <w:ind w:left="-108" w:right="-108" w:firstLine="0"/>
              <w:jc w:val="center"/>
            </w:pPr>
            <w:r>
              <w:t>=</w:t>
            </w:r>
          </w:p>
        </w:tc>
        <w:tc>
          <w:tcPr>
            <w:tcW w:w="8820" w:type="dxa"/>
          </w:tcPr>
          <w:p w:rsidR="008B4A82" w14:paraId="4B990148" w14:textId="77777777">
            <w:pPr>
              <w:pStyle w:val="equationtext"/>
              <w:tabs>
                <w:tab w:val="clear" w:pos="1800"/>
              </w:tabs>
              <w:ind w:left="0" w:firstLine="0"/>
              <w:rPr>
                <w:iCs w:val="0"/>
                <w:sz w:val="20"/>
                <w:szCs w:val="20"/>
              </w:rPr>
            </w:pPr>
            <w:r>
              <w:rPr>
                <w:sz w:val="20"/>
                <w:szCs w:val="20"/>
              </w:rPr>
              <w:t xml:space="preserve">real-time Energy scheduled for Supplier </w:t>
            </w:r>
            <w:r>
              <w:rPr>
                <w:i/>
                <w:sz w:val="20"/>
                <w:szCs w:val="20"/>
              </w:rPr>
              <w:t>u</w:t>
            </w:r>
            <w:r>
              <w:rPr>
                <w:sz w:val="20"/>
                <w:szCs w:val="20"/>
              </w:rPr>
              <w:t xml:space="preserve"> in interval </w:t>
            </w:r>
            <w:r>
              <w:rPr>
                <w:i/>
                <w:sz w:val="20"/>
                <w:szCs w:val="20"/>
              </w:rPr>
              <w:t>i</w:t>
            </w:r>
            <w:r>
              <w:rPr>
                <w:sz w:val="20"/>
                <w:szCs w:val="20"/>
              </w:rPr>
              <w:t xml:space="preserve">, and calculated as the arithmetic average of the 6-second AGC Base Point Signals sent to Supplier </w:t>
            </w:r>
            <w:r>
              <w:rPr>
                <w:i/>
                <w:sz w:val="20"/>
                <w:szCs w:val="20"/>
              </w:rPr>
              <w:t>u</w:t>
            </w:r>
            <w:r>
              <w:rPr>
                <w:sz w:val="20"/>
                <w:szCs w:val="20"/>
              </w:rPr>
              <w:t xml:space="preserve"> </w:t>
            </w:r>
            <w:r>
              <w:rPr>
                <w:sz w:val="20"/>
                <w:szCs w:val="20"/>
              </w:rPr>
              <w:t>during the course of</w:t>
            </w:r>
            <w:r>
              <w:rPr>
                <w:sz w:val="20"/>
                <w:szCs w:val="20"/>
              </w:rPr>
              <w:t xml:space="preserve"> interval </w:t>
            </w:r>
            <w:r>
              <w:rPr>
                <w:i/>
                <w:sz w:val="20"/>
                <w:szCs w:val="20"/>
              </w:rPr>
              <w:t>i</w:t>
            </w:r>
            <w:r>
              <w:rPr>
                <w:sz w:val="20"/>
                <w:szCs w:val="20"/>
              </w:rPr>
              <w:t>;</w:t>
            </w:r>
          </w:p>
        </w:tc>
      </w:tr>
      <w:tr w14:paraId="04EA6F19" w14:textId="77777777">
        <w:tblPrEx>
          <w:tblW w:w="28170" w:type="dxa"/>
          <w:tblInd w:w="-162" w:type="dxa"/>
          <w:tblLayout w:type="fixed"/>
          <w:tblLook w:val="04A0"/>
        </w:tblPrEx>
        <w:trPr>
          <w:gridAfter w:val="2"/>
          <w:wAfter w:w="17640" w:type="dxa"/>
        </w:trPr>
        <w:tc>
          <w:tcPr>
            <w:tcW w:w="1440" w:type="dxa"/>
          </w:tcPr>
          <w:p w:rsidR="008B4A82" w14:paraId="05DCBCAC"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RTSreg</m:t>
                    </m:r>
                  </m:e>
                  <m:sub>
                    <m:r>
                      <w:rPr>
                        <w:rFonts w:ascii="Cambria Math" w:hAnsi="Cambria Math"/>
                        <w:sz w:val="20"/>
                        <w:szCs w:val="20"/>
                      </w:rPr>
                      <m:t>iu</m:t>
                    </m:r>
                  </m:sub>
                </m:sSub>
              </m:oMath>
            </m:oMathPara>
          </w:p>
        </w:tc>
        <w:tc>
          <w:tcPr>
            <w:tcW w:w="270" w:type="dxa"/>
          </w:tcPr>
          <w:p w:rsidR="008B4A82" w14:paraId="003ED241" w14:textId="77777777">
            <w:pPr>
              <w:pStyle w:val="equationtext"/>
              <w:tabs>
                <w:tab w:val="clear" w:pos="1800"/>
              </w:tabs>
              <w:ind w:left="-108" w:right="-108" w:firstLine="0"/>
              <w:jc w:val="center"/>
            </w:pPr>
            <w:r>
              <w:t>=</w:t>
            </w:r>
          </w:p>
        </w:tc>
        <w:tc>
          <w:tcPr>
            <w:tcW w:w="8820" w:type="dxa"/>
          </w:tcPr>
          <w:p w:rsidR="008B4A82" w14:paraId="0514AAD5" w14:textId="77777777">
            <w:pPr>
              <w:pStyle w:val="equationtext"/>
              <w:tabs>
                <w:tab w:val="clear" w:pos="1800"/>
              </w:tabs>
              <w:ind w:left="0" w:firstLine="0"/>
              <w:rPr>
                <w:iCs w:val="0"/>
                <w:sz w:val="20"/>
                <w:szCs w:val="20"/>
              </w:rPr>
            </w:pPr>
            <w:r>
              <w:rPr>
                <w:sz w:val="20"/>
                <w:szCs w:val="20"/>
              </w:rPr>
              <w:t xml:space="preserve">real-time schedule for Regulation Service for Supplier </w:t>
            </w:r>
            <w:r>
              <w:rPr>
                <w:i/>
                <w:sz w:val="20"/>
                <w:szCs w:val="20"/>
              </w:rPr>
              <w:t>u</w:t>
            </w:r>
            <w:r>
              <w:rPr>
                <w:sz w:val="20"/>
                <w:szCs w:val="20"/>
              </w:rPr>
              <w:t xml:space="preserve"> in interval </w:t>
            </w:r>
            <w:r>
              <w:rPr>
                <w:i/>
                <w:sz w:val="20"/>
                <w:szCs w:val="20"/>
              </w:rPr>
              <w:t>i</w:t>
            </w:r>
            <w:r>
              <w:rPr>
                <w:sz w:val="20"/>
                <w:szCs w:val="20"/>
              </w:rPr>
              <w:t>.</w:t>
            </w:r>
          </w:p>
        </w:tc>
      </w:tr>
      <w:tr w14:paraId="2D83B878" w14:textId="77777777">
        <w:tblPrEx>
          <w:tblW w:w="28170" w:type="dxa"/>
          <w:tblInd w:w="-162" w:type="dxa"/>
          <w:tblLayout w:type="fixed"/>
          <w:tblLook w:val="04A0"/>
        </w:tblPrEx>
        <w:trPr>
          <w:gridAfter w:val="2"/>
          <w:wAfter w:w="17640" w:type="dxa"/>
        </w:trPr>
        <w:tc>
          <w:tcPr>
            <w:tcW w:w="1440" w:type="dxa"/>
          </w:tcPr>
          <w:p w:rsidR="008B4A82" w14:paraId="30B4B90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RTSres</m:t>
                    </m:r>
                  </m:e>
                  <m:sub>
                    <m:r>
                      <w:rPr>
                        <w:rFonts w:ascii="Cambria Math" w:hAnsi="Cambria Math"/>
                        <w:sz w:val="20"/>
                        <w:szCs w:val="20"/>
                      </w:rPr>
                      <m:t>iup</m:t>
                    </m:r>
                  </m:sub>
                </m:sSub>
              </m:oMath>
            </m:oMathPara>
          </w:p>
        </w:tc>
        <w:tc>
          <w:tcPr>
            <w:tcW w:w="270" w:type="dxa"/>
          </w:tcPr>
          <w:p w:rsidR="008B4A82" w14:paraId="202B3C3F" w14:textId="77777777">
            <w:pPr>
              <w:pStyle w:val="equationtext"/>
              <w:tabs>
                <w:tab w:val="clear" w:pos="1800"/>
              </w:tabs>
              <w:ind w:left="-108" w:right="-108" w:firstLine="0"/>
              <w:jc w:val="center"/>
            </w:pPr>
            <w:r>
              <w:t>=</w:t>
            </w:r>
          </w:p>
        </w:tc>
        <w:tc>
          <w:tcPr>
            <w:tcW w:w="8820" w:type="dxa"/>
          </w:tcPr>
          <w:p w:rsidR="008B4A82" w14:paraId="35B2F592" w14:textId="77777777">
            <w:pPr>
              <w:pStyle w:val="equationtext"/>
              <w:tabs>
                <w:tab w:val="clear" w:pos="1800"/>
              </w:tabs>
              <w:ind w:left="0" w:firstLine="0"/>
              <w:rPr>
                <w:iCs w:val="0"/>
                <w:sz w:val="20"/>
                <w:szCs w:val="20"/>
              </w:rPr>
            </w:pPr>
            <w:r>
              <w:rPr>
                <w:sz w:val="20"/>
                <w:szCs w:val="20"/>
              </w:rPr>
              <w:t xml:space="preserve">real-time schedule for Operating Reserve product </w:t>
            </w:r>
            <w:r>
              <w:rPr>
                <w:i/>
                <w:sz w:val="20"/>
                <w:szCs w:val="20"/>
              </w:rPr>
              <w:t>p</w:t>
            </w:r>
            <w:r>
              <w:rPr>
                <w:sz w:val="20"/>
                <w:szCs w:val="20"/>
              </w:rPr>
              <w:t xml:space="preserve"> for Supplier </w:t>
            </w:r>
            <w:r>
              <w:rPr>
                <w:i/>
                <w:sz w:val="20"/>
                <w:szCs w:val="20"/>
              </w:rPr>
              <w:t>u</w:t>
            </w:r>
            <w:r>
              <w:rPr>
                <w:sz w:val="20"/>
                <w:szCs w:val="20"/>
              </w:rPr>
              <w:t xml:space="preserve"> in interval </w:t>
            </w:r>
            <w:r>
              <w:rPr>
                <w:i/>
                <w:sz w:val="20"/>
                <w:szCs w:val="20"/>
              </w:rPr>
              <w:t>i</w:t>
            </w:r>
            <w:r>
              <w:rPr>
                <w:sz w:val="20"/>
                <w:szCs w:val="20"/>
              </w:rPr>
              <w:t>.</w:t>
            </w:r>
          </w:p>
        </w:tc>
      </w:tr>
      <w:tr w14:paraId="5EDBC8FF" w14:textId="77777777">
        <w:tblPrEx>
          <w:tblW w:w="28170" w:type="dxa"/>
          <w:tblInd w:w="-162" w:type="dxa"/>
          <w:tblLayout w:type="fixed"/>
          <w:tblLook w:val="04A0"/>
        </w:tblPrEx>
        <w:trPr>
          <w:gridAfter w:val="2"/>
          <w:wAfter w:w="17640" w:type="dxa"/>
        </w:trPr>
        <w:tc>
          <w:tcPr>
            <w:tcW w:w="1440" w:type="dxa"/>
          </w:tcPr>
          <w:p w:rsidR="008B4A82" w14:paraId="3148AE4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t>
                    </m:r>
                  </m:e>
                  <m:sub>
                    <m:r>
                      <w:rPr>
                        <w:rFonts w:ascii="Cambria Math" w:hAnsi="Cambria Math"/>
                        <w:sz w:val="20"/>
                        <w:szCs w:val="20"/>
                      </w:rPr>
                      <m:t>iu</m:t>
                    </m:r>
                  </m:sub>
                </m:sSub>
              </m:oMath>
            </m:oMathPara>
          </w:p>
        </w:tc>
        <w:tc>
          <w:tcPr>
            <w:tcW w:w="270" w:type="dxa"/>
          </w:tcPr>
          <w:p w:rsidR="008B4A82" w14:paraId="4C51EB93" w14:textId="77777777">
            <w:pPr>
              <w:pStyle w:val="equationtext"/>
              <w:tabs>
                <w:tab w:val="clear" w:pos="1800"/>
              </w:tabs>
              <w:ind w:left="-108" w:right="-108" w:firstLine="0"/>
              <w:jc w:val="center"/>
            </w:pPr>
            <w:r>
              <w:t>=</w:t>
            </w:r>
          </w:p>
        </w:tc>
        <w:tc>
          <w:tcPr>
            <w:tcW w:w="8820" w:type="dxa"/>
          </w:tcPr>
          <w:p w:rsidR="008B4A82" w14:paraId="7DC738D2" w14:textId="77777777">
            <w:pPr>
              <w:pStyle w:val="equationtext"/>
              <w:tabs>
                <w:tab w:val="clear" w:pos="1800"/>
              </w:tabs>
              <w:ind w:left="0" w:firstLine="0"/>
              <w:rPr>
                <w:iCs w:val="0"/>
                <w:sz w:val="20"/>
                <w:szCs w:val="20"/>
              </w:rPr>
            </w:pPr>
            <w:r>
              <w:rPr>
                <w:sz w:val="20"/>
                <w:szCs w:val="20"/>
              </w:rPr>
              <w:t xml:space="preserve">real-time Regulation Capacity Bid price for Supplier </w:t>
            </w:r>
            <w:r>
              <w:rPr>
                <w:i/>
                <w:sz w:val="20"/>
                <w:szCs w:val="20"/>
              </w:rPr>
              <w:t>u</w:t>
            </w:r>
            <w:r>
              <w:rPr>
                <w:sz w:val="20"/>
                <w:szCs w:val="20"/>
              </w:rPr>
              <w:t xml:space="preserve"> in interval </w:t>
            </w:r>
            <w:r>
              <w:rPr>
                <w:i/>
                <w:sz w:val="20"/>
                <w:szCs w:val="20"/>
              </w:rPr>
              <w:t>i</w:t>
            </w:r>
            <w:r>
              <w:rPr>
                <w:sz w:val="20"/>
                <w:szCs w:val="20"/>
              </w:rPr>
              <w:t>.</w:t>
            </w:r>
          </w:p>
        </w:tc>
      </w:tr>
      <w:tr w14:paraId="0DE466DF" w14:textId="77777777">
        <w:tblPrEx>
          <w:tblW w:w="28170" w:type="dxa"/>
          <w:tblInd w:w="-162" w:type="dxa"/>
          <w:tblLayout w:type="fixed"/>
          <w:tblLook w:val="04A0"/>
        </w:tblPrEx>
        <w:trPr>
          <w:gridAfter w:val="2"/>
          <w:wAfter w:w="17640" w:type="dxa"/>
        </w:trPr>
        <w:tc>
          <w:tcPr>
            <w:tcW w:w="1440" w:type="dxa"/>
          </w:tcPr>
          <w:p w:rsidR="008B4A82" w14:paraId="30BAD07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RTBen</m:t>
                    </m:r>
                  </m:e>
                  <m:sub>
                    <m:r>
                      <w:rPr>
                        <w:rFonts w:ascii="Cambria Math" w:hAnsi="Cambria Math"/>
                        <w:sz w:val="20"/>
                        <w:szCs w:val="20"/>
                      </w:rPr>
                      <m:t>iu</m:t>
                    </m:r>
                  </m:sub>
                </m:sSub>
              </m:oMath>
            </m:oMathPara>
          </w:p>
        </w:tc>
        <w:tc>
          <w:tcPr>
            <w:tcW w:w="270" w:type="dxa"/>
          </w:tcPr>
          <w:p w:rsidR="008B4A82" w14:paraId="09DBC89D" w14:textId="77777777">
            <w:pPr>
              <w:pStyle w:val="equationtext"/>
              <w:tabs>
                <w:tab w:val="clear" w:pos="1800"/>
              </w:tabs>
              <w:ind w:left="-108" w:right="-108" w:firstLine="0"/>
              <w:jc w:val="center"/>
            </w:pPr>
            <w:r>
              <w:t>=</w:t>
            </w:r>
          </w:p>
        </w:tc>
        <w:tc>
          <w:tcPr>
            <w:tcW w:w="8820" w:type="dxa"/>
          </w:tcPr>
          <w:p w:rsidR="008B4A82" w14:paraId="4FABD3AD" w14:textId="77777777">
            <w:pPr>
              <w:pStyle w:val="equationtext"/>
              <w:tabs>
                <w:tab w:val="clear" w:pos="1800"/>
              </w:tabs>
              <w:ind w:left="0" w:firstLine="0"/>
              <w:rPr>
                <w:sz w:val="20"/>
                <w:szCs w:val="20"/>
              </w:rPr>
            </w:pPr>
            <w:r>
              <w:rPr>
                <w:sz w:val="20"/>
                <w:szCs w:val="20"/>
              </w:rPr>
              <w:t xml:space="preserve">real-time Energy Bid cost for Supplier </w:t>
            </w:r>
            <w:r>
              <w:rPr>
                <w:i/>
                <w:sz w:val="20"/>
                <w:szCs w:val="20"/>
              </w:rPr>
              <w:t>u</w:t>
            </w:r>
            <w:r>
              <w:rPr>
                <w:sz w:val="20"/>
                <w:szCs w:val="20"/>
              </w:rPr>
              <w:t xml:space="preserve"> in interval </w:t>
            </w:r>
            <w:r>
              <w:rPr>
                <w:i/>
                <w:sz w:val="20"/>
                <w:szCs w:val="20"/>
              </w:rPr>
              <w:t>i</w:t>
            </w:r>
            <w:r>
              <w:rPr>
                <w:sz w:val="20"/>
                <w:szCs w:val="20"/>
              </w:rPr>
              <w:t>, including the Minimum Generation Bid and Incremental Energy Bids.</w:t>
            </w:r>
          </w:p>
        </w:tc>
      </w:tr>
      <w:tr w14:paraId="12C71CE2" w14:textId="77777777">
        <w:tblPrEx>
          <w:tblW w:w="28170" w:type="dxa"/>
          <w:tblInd w:w="-162" w:type="dxa"/>
          <w:tblLayout w:type="fixed"/>
          <w:tblLook w:val="04A0"/>
        </w:tblPrEx>
        <w:trPr>
          <w:gridAfter w:val="2"/>
          <w:wAfter w:w="17640" w:type="dxa"/>
        </w:trPr>
        <w:tc>
          <w:tcPr>
            <w:tcW w:w="1440" w:type="dxa"/>
          </w:tcPr>
          <w:p w:rsidR="008B4A82" w14:paraId="0E4B366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m:t>
                    </m:r>
                  </m:e>
                  <m:sub>
                    <m:r>
                      <w:rPr>
                        <w:rFonts w:ascii="Cambria Math" w:hAnsi="Cambria Math"/>
                        <w:sz w:val="20"/>
                        <w:szCs w:val="20"/>
                      </w:rPr>
                      <m:t>iu</m:t>
                    </m:r>
                  </m:sub>
                </m:sSub>
              </m:oMath>
            </m:oMathPara>
          </w:p>
        </w:tc>
        <w:tc>
          <w:tcPr>
            <w:tcW w:w="270" w:type="dxa"/>
          </w:tcPr>
          <w:p w:rsidR="008B4A82" w14:paraId="7671F802" w14:textId="77777777">
            <w:pPr>
              <w:pStyle w:val="equationtext"/>
              <w:tabs>
                <w:tab w:val="clear" w:pos="1800"/>
              </w:tabs>
              <w:ind w:left="-108" w:right="-108" w:firstLine="0"/>
              <w:jc w:val="center"/>
            </w:pPr>
            <w:r>
              <w:t>=</w:t>
            </w:r>
          </w:p>
        </w:tc>
        <w:tc>
          <w:tcPr>
            <w:tcW w:w="8820" w:type="dxa"/>
          </w:tcPr>
          <w:p w:rsidR="008B4A82" w14:paraId="0D445D97" w14:textId="77777777">
            <w:pPr>
              <w:pStyle w:val="equationtext"/>
              <w:tabs>
                <w:tab w:val="clear" w:pos="1800"/>
              </w:tabs>
              <w:ind w:left="0" w:firstLine="0"/>
              <w:rPr>
                <w:i/>
                <w:sz w:val="20"/>
                <w:szCs w:val="20"/>
              </w:rPr>
            </w:pPr>
            <w:r>
              <w:rPr>
                <w:sz w:val="20"/>
                <w:szCs w:val="20"/>
              </w:rPr>
              <w:t>real</w:t>
            </w:r>
            <w:r>
              <w:rPr>
                <w:sz w:val="20"/>
                <w:szCs w:val="20"/>
              </w:rPr>
              <w:t xml:space="preserve">-time Regulation Movement Bid price for Supplier </w:t>
            </w:r>
            <w:r>
              <w:rPr>
                <w:i/>
                <w:sz w:val="20"/>
                <w:szCs w:val="20"/>
              </w:rPr>
              <w:t xml:space="preserve">u </w:t>
            </w:r>
            <w:r>
              <w:rPr>
                <w:sz w:val="20"/>
                <w:szCs w:val="20"/>
              </w:rPr>
              <w:t xml:space="preserve">in interval </w:t>
            </w:r>
            <w:r>
              <w:rPr>
                <w:i/>
                <w:sz w:val="20"/>
                <w:szCs w:val="20"/>
              </w:rPr>
              <w:t>i.</w:t>
            </w:r>
          </w:p>
        </w:tc>
      </w:tr>
      <w:tr w14:paraId="370E47C0" w14:textId="77777777">
        <w:tblPrEx>
          <w:tblW w:w="28170" w:type="dxa"/>
          <w:tblInd w:w="-162" w:type="dxa"/>
          <w:tblLayout w:type="fixed"/>
          <w:tblLook w:val="04A0"/>
        </w:tblPrEx>
        <w:trPr>
          <w:gridAfter w:val="2"/>
          <w:wAfter w:w="17640" w:type="dxa"/>
        </w:trPr>
        <w:tc>
          <w:tcPr>
            <w:tcW w:w="1440" w:type="dxa"/>
          </w:tcPr>
          <w:p w:rsidR="008B4A82" w14:paraId="7BABD85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RTMreg</m:t>
                    </m:r>
                  </m:e>
                  <m:sub>
                    <m:r>
                      <w:rPr>
                        <w:rFonts w:ascii="Cambria Math" w:hAnsi="Cambria Math"/>
                        <w:sz w:val="20"/>
                        <w:szCs w:val="20"/>
                      </w:rPr>
                      <m:t>iu</m:t>
                    </m:r>
                  </m:sub>
                </m:sSub>
              </m:oMath>
            </m:oMathPara>
          </w:p>
        </w:tc>
        <w:tc>
          <w:tcPr>
            <w:tcW w:w="270" w:type="dxa"/>
          </w:tcPr>
          <w:p w:rsidR="008B4A82" w14:paraId="0A96DA46" w14:textId="77777777">
            <w:pPr>
              <w:pStyle w:val="equationtext"/>
              <w:tabs>
                <w:tab w:val="clear" w:pos="1800"/>
              </w:tabs>
              <w:ind w:left="-108" w:right="-108" w:firstLine="0"/>
              <w:jc w:val="center"/>
              <w:rPr>
                <w:vertAlign w:val="subscript"/>
              </w:rPr>
            </w:pPr>
            <w:r>
              <w:rPr>
                <w:vertAlign w:val="subscript"/>
              </w:rPr>
              <w:t>=</w:t>
            </w:r>
          </w:p>
        </w:tc>
        <w:tc>
          <w:tcPr>
            <w:tcW w:w="8820" w:type="dxa"/>
          </w:tcPr>
          <w:p w:rsidR="008B4A82" w14:paraId="5840551E" w14:textId="77777777">
            <w:pPr>
              <w:pStyle w:val="equationtext"/>
              <w:tabs>
                <w:tab w:val="clear" w:pos="1800"/>
              </w:tabs>
              <w:ind w:left="0" w:firstLine="0"/>
              <w:rPr>
                <w:iCs w:val="0"/>
                <w:sz w:val="20"/>
                <w:szCs w:val="20"/>
              </w:rPr>
            </w:pPr>
            <w:r>
              <w:rPr>
                <w:sz w:val="20"/>
                <w:szCs w:val="20"/>
              </w:rPr>
              <w:t xml:space="preserve">real-time Regulation Movement MWs for Supplier </w:t>
            </w:r>
            <w:r>
              <w:rPr>
                <w:i/>
                <w:sz w:val="20"/>
                <w:szCs w:val="20"/>
              </w:rPr>
              <w:t xml:space="preserve">u </w:t>
            </w:r>
            <w:r>
              <w:rPr>
                <w:sz w:val="20"/>
                <w:szCs w:val="20"/>
              </w:rPr>
              <w:t xml:space="preserve">in interval </w:t>
            </w:r>
            <w:r>
              <w:rPr>
                <w:i/>
                <w:sz w:val="20"/>
                <w:szCs w:val="20"/>
              </w:rPr>
              <w:t>i;</w:t>
            </w:r>
          </w:p>
        </w:tc>
      </w:tr>
      <w:tr w14:paraId="71C9CF00" w14:textId="77777777">
        <w:tblPrEx>
          <w:tblW w:w="28170" w:type="dxa"/>
          <w:tblInd w:w="-162" w:type="dxa"/>
          <w:tblLayout w:type="fixed"/>
          <w:tblLook w:val="04A0"/>
        </w:tblPrEx>
        <w:trPr>
          <w:gridAfter w:val="2"/>
          <w:wAfter w:w="17640" w:type="dxa"/>
        </w:trPr>
        <w:tc>
          <w:tcPr>
            <w:tcW w:w="1440" w:type="dxa"/>
          </w:tcPr>
          <w:p w:rsidR="008B4A82" w14:paraId="39E36126"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oMath>
            </m:oMathPara>
          </w:p>
        </w:tc>
        <w:tc>
          <w:tcPr>
            <w:tcW w:w="270" w:type="dxa"/>
          </w:tcPr>
          <w:p w:rsidR="008B4A82" w14:paraId="6312C4D2" w14:textId="77777777">
            <w:pPr>
              <w:pStyle w:val="equationtext"/>
              <w:tabs>
                <w:tab w:val="clear" w:pos="1800"/>
              </w:tabs>
              <w:ind w:left="-108" w:right="-108" w:firstLine="0"/>
              <w:jc w:val="center"/>
            </w:pPr>
            <w:r>
              <w:t>=</w:t>
            </w:r>
          </w:p>
        </w:tc>
        <w:tc>
          <w:tcPr>
            <w:tcW w:w="8820" w:type="dxa"/>
          </w:tcPr>
          <w:p w:rsidR="008B4A82" w14:paraId="5726391D" w14:textId="625E0E6E">
            <w:pPr>
              <w:pStyle w:val="equationtext"/>
              <w:tabs>
                <w:tab w:val="clear" w:pos="1800"/>
              </w:tabs>
              <w:ind w:left="0" w:firstLine="0"/>
              <w:rPr>
                <w:sz w:val="20"/>
                <w:szCs w:val="20"/>
              </w:rPr>
            </w:pPr>
            <w:r>
              <w:rPr>
                <w:sz w:val="20"/>
                <w:szCs w:val="20"/>
              </w:rPr>
              <w:t xml:space="preserve">either, (1) when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is greater than zero MW, </w:t>
            </w:r>
            <w:r w:rsidRPr="00F40DC8" w:rsidR="00C92180">
              <w:rPr>
                <w:sz w:val="20"/>
                <w:szCs w:val="20"/>
              </w:rPr>
              <w:t>average Energy injections plus average Demand Reductions minus average Energy withdrawals</w:t>
            </w:r>
            <w:r w:rsidR="00C92180">
              <w:rPr>
                <w:sz w:val="20"/>
                <w:szCs w:val="20"/>
              </w:rPr>
              <w:t xml:space="preserve"> </w:t>
            </w:r>
            <w:r>
              <w:rPr>
                <w:sz w:val="20"/>
                <w:szCs w:val="20"/>
              </w:rPr>
              <w:t xml:space="preserve">by Supplier </w:t>
            </w:r>
            <w:r>
              <w:rPr>
                <w:i/>
                <w:sz w:val="20"/>
                <w:szCs w:val="20"/>
              </w:rPr>
              <w:t>u</w:t>
            </w:r>
            <w:r>
              <w:rPr>
                <w:sz w:val="20"/>
                <w:szCs w:val="20"/>
              </w:rPr>
              <w:t xml:space="preserve"> in interval </w:t>
            </w:r>
            <w:r>
              <w:rPr>
                <w:i/>
                <w:sz w:val="20"/>
                <w:szCs w:val="20"/>
              </w:rPr>
              <w:t>i</w:t>
            </w:r>
            <w:r>
              <w:rPr>
                <w:sz w:val="20"/>
                <w:szCs w:val="20"/>
              </w:rPr>
              <w:t xml:space="preserve"> but not more than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plus Compensable Overgeneration; or (2) when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is less than or equal to zero MW, </w:t>
            </w:r>
            <w:r w:rsidRPr="00F40DC8" w:rsidR="00C92180">
              <w:rPr>
                <w:sz w:val="20"/>
                <w:szCs w:val="20"/>
              </w:rPr>
              <w:t>average Energy injections plus average Demand Reductions minus average Energy withdrawals</w:t>
            </w:r>
            <w:r w:rsidR="00C92180">
              <w:rPr>
                <w:sz w:val="20"/>
                <w:szCs w:val="20"/>
              </w:rPr>
              <w:t xml:space="preserve"> </w:t>
            </w:r>
            <w:r>
              <w:rPr>
                <w:sz w:val="20"/>
                <w:szCs w:val="20"/>
              </w:rPr>
              <w:t xml:space="preserve">by Supplier </w:t>
            </w:r>
            <w:r>
              <w:rPr>
                <w:i/>
                <w:sz w:val="20"/>
                <w:szCs w:val="20"/>
              </w:rPr>
              <w:t xml:space="preserve">u </w:t>
            </w:r>
            <w:r>
              <w:rPr>
                <w:sz w:val="20"/>
                <w:szCs w:val="20"/>
              </w:rPr>
              <w:t xml:space="preserve">in interval </w:t>
            </w:r>
            <w:r>
              <w:rPr>
                <w:i/>
                <w:sz w:val="20"/>
                <w:szCs w:val="20"/>
              </w:rPr>
              <w:t>i</w:t>
            </w:r>
            <w:r>
              <w:rPr>
                <w:sz w:val="20"/>
                <w:szCs w:val="20"/>
              </w:rPr>
              <w:t>;</w:t>
            </w:r>
          </w:p>
          <w:p w:rsidR="00660020" w14:paraId="62159A35" w14:textId="77777777">
            <w:pPr>
              <w:pStyle w:val="equationtext"/>
              <w:tabs>
                <w:tab w:val="clear" w:pos="1800"/>
              </w:tabs>
              <w:ind w:left="0" w:firstLine="0"/>
              <w:rPr>
                <w:iCs w:val="0"/>
                <w:sz w:val="20"/>
                <w:szCs w:val="20"/>
              </w:rPr>
            </w:pPr>
          </w:p>
        </w:tc>
      </w:tr>
      <w:tr w14:paraId="69E56E1B" w14:textId="77777777">
        <w:tblPrEx>
          <w:tblW w:w="28170" w:type="dxa"/>
          <w:tblInd w:w="-162" w:type="dxa"/>
          <w:tblLayout w:type="fixed"/>
          <w:tblLook w:val="04A0"/>
        </w:tblPrEx>
        <w:trPr>
          <w:gridAfter w:val="2"/>
          <w:wAfter w:w="17640" w:type="dxa"/>
        </w:trPr>
        <w:tc>
          <w:tcPr>
            <w:tcW w:w="1440" w:type="dxa"/>
          </w:tcPr>
          <w:p w:rsidR="00660020" w14:paraId="1DA8235D" w14:textId="717D3CA7">
            <w:pPr>
              <w:pStyle w:val="equationtext"/>
              <w:tabs>
                <w:tab w:val="clear" w:pos="1800"/>
              </w:tabs>
              <w:ind w:left="0" w:firstLine="0"/>
              <w:rPr>
                <w:sz w:val="20"/>
                <w:szCs w:val="20"/>
              </w:rPr>
            </w:pPr>
          </w:p>
        </w:tc>
        <w:tc>
          <w:tcPr>
            <w:tcW w:w="270" w:type="dxa"/>
          </w:tcPr>
          <w:p w:rsidR="00660020" w14:paraId="56615D42" w14:textId="6C8CD437">
            <w:pPr>
              <w:pStyle w:val="equationtext"/>
              <w:tabs>
                <w:tab w:val="clear" w:pos="1800"/>
              </w:tabs>
              <w:ind w:left="-108" w:right="-108" w:firstLine="0"/>
              <w:jc w:val="center"/>
            </w:pPr>
          </w:p>
        </w:tc>
        <w:tc>
          <w:tcPr>
            <w:tcW w:w="8820" w:type="dxa"/>
          </w:tcPr>
          <w:p w:rsidR="00660020" w14:paraId="704388D6" w14:textId="0468EE71">
            <w:pPr>
              <w:pStyle w:val="equationtext"/>
              <w:tabs>
                <w:tab w:val="clear" w:pos="1800"/>
              </w:tabs>
              <w:ind w:left="0" w:firstLine="0"/>
              <w:rPr>
                <w:sz w:val="20"/>
                <w:szCs w:val="20"/>
              </w:rPr>
            </w:pPr>
          </w:p>
        </w:tc>
      </w:tr>
      <w:tr w14:paraId="3E8BD25F" w14:textId="77777777">
        <w:tblPrEx>
          <w:tblW w:w="28170" w:type="dxa"/>
          <w:tblInd w:w="-162" w:type="dxa"/>
          <w:tblLayout w:type="fixed"/>
          <w:tblLook w:val="04A0"/>
        </w:tblPrEx>
        <w:trPr>
          <w:gridAfter w:val="2"/>
          <w:wAfter w:w="17640" w:type="dxa"/>
        </w:trPr>
        <w:tc>
          <w:tcPr>
            <w:tcW w:w="1440" w:type="dxa"/>
          </w:tcPr>
          <w:p w:rsidR="008B4A82" w14:paraId="6617147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RTPen</m:t>
                    </m:r>
                  </m:e>
                  <m:sub>
                    <m:r>
                      <w:rPr>
                        <w:rFonts w:ascii="Cambria Math" w:hAnsi="Cambria Math"/>
                        <w:sz w:val="20"/>
                        <w:szCs w:val="20"/>
                      </w:rPr>
                      <m:t>iu</m:t>
                    </m:r>
                  </m:sub>
                </m:sSub>
              </m:oMath>
            </m:oMathPara>
          </w:p>
        </w:tc>
        <w:tc>
          <w:tcPr>
            <w:tcW w:w="270" w:type="dxa"/>
          </w:tcPr>
          <w:p w:rsidR="008B4A82" w14:paraId="1E7998AA" w14:textId="77777777">
            <w:pPr>
              <w:pStyle w:val="equationtext"/>
              <w:tabs>
                <w:tab w:val="clear" w:pos="1800"/>
              </w:tabs>
              <w:ind w:left="-108" w:right="-108" w:firstLine="0"/>
              <w:jc w:val="center"/>
            </w:pPr>
            <w:r>
              <w:t>=</w:t>
            </w:r>
          </w:p>
        </w:tc>
        <w:tc>
          <w:tcPr>
            <w:tcW w:w="8820" w:type="dxa"/>
          </w:tcPr>
          <w:p w:rsidR="008B4A82" w14:paraId="39E26D67" w14:textId="77777777">
            <w:pPr>
              <w:pStyle w:val="equationtext"/>
              <w:tabs>
                <w:tab w:val="clear" w:pos="1800"/>
              </w:tabs>
              <w:ind w:left="0" w:firstLine="0"/>
              <w:rPr>
                <w:iCs w:val="0"/>
                <w:sz w:val="20"/>
                <w:szCs w:val="20"/>
              </w:rPr>
            </w:pPr>
            <w:r>
              <w:rPr>
                <w:sz w:val="20"/>
                <w:szCs w:val="20"/>
              </w:rPr>
              <w:t xml:space="preserve">real-time price of Energy at the location of Supplier </w:t>
            </w:r>
            <w:r>
              <w:rPr>
                <w:i/>
                <w:sz w:val="20"/>
                <w:szCs w:val="20"/>
              </w:rPr>
              <w:t>u</w:t>
            </w:r>
            <w:r>
              <w:rPr>
                <w:sz w:val="20"/>
                <w:szCs w:val="20"/>
              </w:rPr>
              <w:t xml:space="preserve"> in interval </w:t>
            </w:r>
            <w:r>
              <w:rPr>
                <w:i/>
                <w:sz w:val="20"/>
                <w:szCs w:val="20"/>
              </w:rPr>
              <w:t>i</w:t>
            </w:r>
            <w:r>
              <w:rPr>
                <w:sz w:val="20"/>
                <w:szCs w:val="20"/>
              </w:rPr>
              <w:t>;</w:t>
            </w:r>
          </w:p>
        </w:tc>
      </w:tr>
      <w:tr w14:paraId="149E3A5B" w14:textId="77777777">
        <w:tblPrEx>
          <w:tblW w:w="28170" w:type="dxa"/>
          <w:tblInd w:w="-162" w:type="dxa"/>
          <w:tblLayout w:type="fixed"/>
          <w:tblLook w:val="04A0"/>
        </w:tblPrEx>
        <w:trPr>
          <w:gridAfter w:val="2"/>
          <w:wAfter w:w="17640" w:type="dxa"/>
        </w:trPr>
        <w:tc>
          <w:tcPr>
            <w:tcW w:w="1440" w:type="dxa"/>
          </w:tcPr>
          <w:p w:rsidR="008B4A82" w14:paraId="15126B1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RTPreg</m:t>
                    </m:r>
                  </m:e>
                  <m:sub>
                    <m:r>
                      <w:rPr>
                        <w:rFonts w:ascii="Cambria Math" w:hAnsi="Cambria Math"/>
                        <w:sz w:val="20"/>
                        <w:szCs w:val="20"/>
                      </w:rPr>
                      <m:t>iu</m:t>
                    </m:r>
                  </m:sub>
                </m:sSub>
              </m:oMath>
            </m:oMathPara>
          </w:p>
        </w:tc>
        <w:tc>
          <w:tcPr>
            <w:tcW w:w="270" w:type="dxa"/>
          </w:tcPr>
          <w:p w:rsidR="008B4A82" w14:paraId="7EA23BDF" w14:textId="77777777">
            <w:pPr>
              <w:pStyle w:val="equationtext"/>
              <w:tabs>
                <w:tab w:val="clear" w:pos="1800"/>
              </w:tabs>
              <w:ind w:left="-108" w:right="-108" w:firstLine="0"/>
              <w:jc w:val="center"/>
            </w:pPr>
            <w:r>
              <w:t>=</w:t>
            </w:r>
          </w:p>
        </w:tc>
        <w:tc>
          <w:tcPr>
            <w:tcW w:w="8820" w:type="dxa"/>
          </w:tcPr>
          <w:p w:rsidR="008B4A82" w14:paraId="30DFCBE7" w14:textId="77777777">
            <w:pPr>
              <w:pStyle w:val="equationtext"/>
              <w:tabs>
                <w:tab w:val="clear" w:pos="1800"/>
              </w:tabs>
              <w:ind w:left="0" w:firstLine="0"/>
              <w:rPr>
                <w:iCs w:val="0"/>
                <w:sz w:val="20"/>
                <w:szCs w:val="20"/>
              </w:rPr>
            </w:pPr>
            <w:r>
              <w:rPr>
                <w:sz w:val="20"/>
                <w:szCs w:val="20"/>
              </w:rPr>
              <w:t xml:space="preserve">real-time price of Regulation Capacity at the location of Supplier </w:t>
            </w:r>
            <w:r>
              <w:rPr>
                <w:i/>
                <w:sz w:val="20"/>
                <w:szCs w:val="20"/>
              </w:rPr>
              <w:t>u</w:t>
            </w:r>
            <w:r>
              <w:rPr>
                <w:sz w:val="20"/>
                <w:szCs w:val="20"/>
              </w:rPr>
              <w:t xml:space="preserve"> in interval </w:t>
            </w:r>
            <w:r>
              <w:rPr>
                <w:i/>
                <w:sz w:val="20"/>
                <w:szCs w:val="20"/>
              </w:rPr>
              <w:t>i</w:t>
            </w:r>
            <w:r>
              <w:rPr>
                <w:sz w:val="20"/>
                <w:szCs w:val="20"/>
              </w:rPr>
              <w:t>;</w:t>
            </w:r>
          </w:p>
        </w:tc>
      </w:tr>
      <w:tr w14:paraId="44EF72CB" w14:textId="77777777">
        <w:tblPrEx>
          <w:tblW w:w="28170" w:type="dxa"/>
          <w:tblInd w:w="-162" w:type="dxa"/>
          <w:tblLayout w:type="fixed"/>
          <w:tblLook w:val="04A0"/>
        </w:tblPrEx>
        <w:trPr>
          <w:gridAfter w:val="2"/>
          <w:wAfter w:w="17640" w:type="dxa"/>
        </w:trPr>
        <w:tc>
          <w:tcPr>
            <w:tcW w:w="1440" w:type="dxa"/>
          </w:tcPr>
          <w:p w:rsidR="008B4A82" w14:paraId="15317BF2"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RTPres</m:t>
                    </m:r>
                  </m:e>
                  <m:sub>
                    <m:r>
                      <w:rPr>
                        <w:rFonts w:ascii="Cambria Math" w:hAnsi="Cambria Math"/>
                        <w:sz w:val="20"/>
                        <w:szCs w:val="20"/>
                      </w:rPr>
                      <m:t>iup</m:t>
                    </m:r>
                  </m:sub>
                </m:sSub>
              </m:oMath>
            </m:oMathPara>
          </w:p>
        </w:tc>
        <w:tc>
          <w:tcPr>
            <w:tcW w:w="270" w:type="dxa"/>
          </w:tcPr>
          <w:p w:rsidR="008B4A82" w14:paraId="266C9FF3" w14:textId="77777777">
            <w:pPr>
              <w:pStyle w:val="equationtext"/>
              <w:tabs>
                <w:tab w:val="clear" w:pos="1800"/>
              </w:tabs>
              <w:ind w:left="-108" w:right="-108" w:firstLine="0"/>
              <w:jc w:val="center"/>
              <w:rPr>
                <w:iCs w:val="0"/>
              </w:rPr>
            </w:pPr>
            <w:r>
              <w:rPr>
                <w:iCs w:val="0"/>
              </w:rPr>
              <w:t>=</w:t>
            </w:r>
          </w:p>
        </w:tc>
        <w:tc>
          <w:tcPr>
            <w:tcW w:w="8820" w:type="dxa"/>
          </w:tcPr>
          <w:p w:rsidR="008B4A82" w14:paraId="3040E720" w14:textId="77777777">
            <w:pPr>
              <w:pStyle w:val="equationtext"/>
              <w:tabs>
                <w:tab w:val="clear" w:pos="1800"/>
              </w:tabs>
              <w:ind w:left="0" w:firstLine="0"/>
              <w:rPr>
                <w:iCs w:val="0"/>
                <w:sz w:val="20"/>
                <w:szCs w:val="20"/>
              </w:rPr>
            </w:pPr>
            <w:r>
              <w:rPr>
                <w:iCs w:val="0"/>
                <w:sz w:val="20"/>
                <w:szCs w:val="20"/>
              </w:rPr>
              <w:t xml:space="preserve">real-time price of </w:t>
            </w:r>
            <w:r>
              <w:rPr>
                <w:sz w:val="20"/>
                <w:szCs w:val="20"/>
              </w:rPr>
              <w:t>Operating</w:t>
            </w:r>
            <w:r>
              <w:rPr>
                <w:iCs w:val="0"/>
                <w:sz w:val="20"/>
                <w:szCs w:val="20"/>
              </w:rPr>
              <w:t xml:space="preserve"> Reserve product </w:t>
            </w:r>
            <w:r>
              <w:rPr>
                <w:i/>
                <w:iCs w:val="0"/>
                <w:sz w:val="20"/>
                <w:szCs w:val="20"/>
              </w:rPr>
              <w:t>p</w:t>
            </w:r>
            <w:r>
              <w:rPr>
                <w:iCs w:val="0"/>
                <w:sz w:val="20"/>
                <w:szCs w:val="20"/>
              </w:rPr>
              <w:t xml:space="preserve"> at the location of Supplier </w:t>
            </w:r>
            <w:r>
              <w:rPr>
                <w:i/>
                <w:sz w:val="20"/>
                <w:szCs w:val="20"/>
              </w:rPr>
              <w:t>u</w:t>
            </w:r>
            <w:r>
              <w:rPr>
                <w:iCs w:val="0"/>
                <w:sz w:val="20"/>
                <w:szCs w:val="20"/>
              </w:rPr>
              <w:t xml:space="preserve"> in interval </w:t>
            </w:r>
            <w:r>
              <w:rPr>
                <w:i/>
                <w:sz w:val="20"/>
                <w:szCs w:val="20"/>
              </w:rPr>
              <w:t>i</w:t>
            </w:r>
            <w:r>
              <w:rPr>
                <w:iCs w:val="0"/>
                <w:sz w:val="20"/>
                <w:szCs w:val="20"/>
              </w:rPr>
              <w:t>;</w:t>
            </w:r>
          </w:p>
        </w:tc>
      </w:tr>
      <w:tr w14:paraId="7C9BFAB9" w14:textId="77777777">
        <w:tblPrEx>
          <w:tblW w:w="28170" w:type="dxa"/>
          <w:tblInd w:w="-162" w:type="dxa"/>
          <w:tblLayout w:type="fixed"/>
          <w:tblLook w:val="04A0"/>
        </w:tblPrEx>
        <w:trPr>
          <w:gridAfter w:val="2"/>
          <w:wAfter w:w="17640" w:type="dxa"/>
        </w:trPr>
        <w:tc>
          <w:tcPr>
            <w:tcW w:w="1440" w:type="dxa"/>
          </w:tcPr>
          <w:p w:rsidR="008B4A82" w14:paraId="3113AA1E"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RTPregm</m:t>
                    </m:r>
                  </m:e>
                  <m:sub>
                    <m:r>
                      <w:rPr>
                        <w:rFonts w:ascii="Cambria Math" w:hAnsi="Cambria Math"/>
                        <w:sz w:val="20"/>
                        <w:szCs w:val="20"/>
                      </w:rPr>
                      <m:t>iu</m:t>
                    </m:r>
                  </m:sub>
                </m:sSub>
              </m:oMath>
            </m:oMathPara>
          </w:p>
        </w:tc>
        <w:tc>
          <w:tcPr>
            <w:tcW w:w="270" w:type="dxa"/>
          </w:tcPr>
          <w:p w:rsidR="008B4A82" w14:paraId="5A72089B" w14:textId="77777777">
            <w:pPr>
              <w:pStyle w:val="equationtext"/>
              <w:tabs>
                <w:tab w:val="clear" w:pos="1800"/>
              </w:tabs>
              <w:ind w:left="-108" w:right="-108" w:firstLine="0"/>
              <w:jc w:val="center"/>
              <w:rPr>
                <w:i/>
                <w:iCs w:val="0"/>
              </w:rPr>
            </w:pPr>
            <w:r>
              <w:rPr>
                <w:iCs w:val="0"/>
              </w:rPr>
              <w:t>=</w:t>
            </w:r>
          </w:p>
        </w:tc>
        <w:tc>
          <w:tcPr>
            <w:tcW w:w="8820" w:type="dxa"/>
          </w:tcPr>
          <w:p w:rsidR="008B4A82" w14:paraId="63C0F5A1" w14:textId="77777777">
            <w:pPr>
              <w:pStyle w:val="equationtext"/>
              <w:tabs>
                <w:tab w:val="clear" w:pos="1800"/>
              </w:tabs>
              <w:ind w:left="0" w:firstLine="0"/>
              <w:rPr>
                <w:i/>
                <w:iCs w:val="0"/>
                <w:sz w:val="20"/>
                <w:szCs w:val="20"/>
              </w:rPr>
            </w:pPr>
            <w:r>
              <w:rPr>
                <w:iCs w:val="0"/>
                <w:sz w:val="20"/>
                <w:szCs w:val="20"/>
              </w:rPr>
              <w:t xml:space="preserve">real-time Regulation Movement Market Price at the location of Supplier </w:t>
            </w:r>
            <w:r>
              <w:rPr>
                <w:i/>
                <w:iCs w:val="0"/>
                <w:sz w:val="20"/>
                <w:szCs w:val="20"/>
              </w:rPr>
              <w:t>u</w:t>
            </w:r>
            <w:r>
              <w:rPr>
                <w:iCs w:val="0"/>
                <w:sz w:val="20"/>
                <w:szCs w:val="20"/>
              </w:rPr>
              <w:t xml:space="preserve"> in interval </w:t>
            </w:r>
            <w:r>
              <w:rPr>
                <w:i/>
                <w:iCs w:val="0"/>
                <w:sz w:val="20"/>
                <w:szCs w:val="20"/>
              </w:rPr>
              <w:t>i;</w:t>
            </w:r>
          </w:p>
        </w:tc>
      </w:tr>
      <w:tr w14:paraId="39D1631B" w14:textId="77777777">
        <w:tblPrEx>
          <w:tblW w:w="28170" w:type="dxa"/>
          <w:tblInd w:w="-162" w:type="dxa"/>
          <w:tblLayout w:type="fixed"/>
          <w:tblLook w:val="04A0"/>
        </w:tblPrEx>
        <w:trPr>
          <w:gridAfter w:val="2"/>
          <w:wAfter w:w="17640" w:type="dxa"/>
        </w:trPr>
        <w:tc>
          <w:tcPr>
            <w:tcW w:w="1440" w:type="dxa"/>
          </w:tcPr>
          <w:p w:rsidR="008B4A82" w14:paraId="06EE983A"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LL</m:t>
                    </m:r>
                  </m:e>
                  <m:sub>
                    <m:r>
                      <w:rPr>
                        <w:rFonts w:ascii="Cambria Math" w:hAnsi="Cambria Math"/>
                        <w:sz w:val="20"/>
                        <w:szCs w:val="20"/>
                      </w:rPr>
                      <m:t>iu</m:t>
                    </m:r>
                  </m:sub>
                </m:sSub>
              </m:oMath>
            </m:oMathPara>
          </w:p>
        </w:tc>
        <w:tc>
          <w:tcPr>
            <w:tcW w:w="270" w:type="dxa"/>
          </w:tcPr>
          <w:p w:rsidR="008B4A82" w14:paraId="0A5296DB" w14:textId="77777777">
            <w:pPr>
              <w:pStyle w:val="equationtext"/>
              <w:tabs>
                <w:tab w:val="clear" w:pos="1800"/>
              </w:tabs>
              <w:ind w:left="-108" w:right="-108" w:firstLine="0"/>
              <w:jc w:val="center"/>
              <w:rPr>
                <w:iCs w:val="0"/>
              </w:rPr>
            </w:pPr>
            <w:r>
              <w:rPr>
                <w:iCs w:val="0"/>
              </w:rPr>
              <w:t>=</w:t>
            </w:r>
          </w:p>
        </w:tc>
        <w:tc>
          <w:tcPr>
            <w:tcW w:w="8820" w:type="dxa"/>
          </w:tcPr>
          <w:p w:rsidR="008B4A82" w14:paraId="1D72025D" w14:textId="77777777">
            <w:pPr>
              <w:pStyle w:val="equationtext"/>
              <w:tabs>
                <w:tab w:val="clear" w:pos="1800"/>
              </w:tabs>
              <w:ind w:left="0" w:firstLine="0"/>
              <w:rPr>
                <w:iCs w:val="0"/>
                <w:sz w:val="20"/>
                <w:szCs w:val="20"/>
              </w:rPr>
            </w:pPr>
            <w:r>
              <w:rPr>
                <w:iCs w:val="0"/>
                <w:sz w:val="20"/>
                <w:szCs w:val="20"/>
              </w:rPr>
              <w:t xml:space="preserve">When the Day-Ahead Energy schedule is to </w:t>
            </w:r>
            <w:r>
              <w:rPr>
                <w:iCs w:val="0"/>
                <w:sz w:val="20"/>
                <w:szCs w:val="20"/>
              </w:rPr>
              <w:t>inject</w:t>
            </w:r>
            <w:r>
              <w:rPr>
                <w:iCs w:val="0"/>
                <w:sz w:val="20"/>
                <w:szCs w:val="20"/>
              </w:rPr>
              <w:t xml:space="preserve">,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either:</w:t>
            </w:r>
          </w:p>
        </w:tc>
      </w:tr>
      <w:tr w14:paraId="27A9062E" w14:textId="77777777">
        <w:tblPrEx>
          <w:tblW w:w="28170" w:type="dxa"/>
          <w:tblInd w:w="-162" w:type="dxa"/>
          <w:tblLayout w:type="fixed"/>
          <w:tblLook w:val="04A0"/>
        </w:tblPrEx>
        <w:trPr>
          <w:gridAfter w:val="2"/>
          <w:wAfter w:w="17640" w:type="dxa"/>
        </w:trPr>
        <w:tc>
          <w:tcPr>
            <w:tcW w:w="1440" w:type="dxa"/>
          </w:tcPr>
          <w:p w:rsidR="008B4A82" w14:paraId="30D3DAED" w14:textId="77777777">
            <w:pPr>
              <w:pStyle w:val="equationtext"/>
              <w:tabs>
                <w:tab w:val="clear" w:pos="1800"/>
              </w:tabs>
              <w:ind w:left="0" w:firstLine="0"/>
              <w:jc w:val="both"/>
              <w:rPr>
                <w:i/>
                <w:sz w:val="20"/>
                <w:szCs w:val="20"/>
              </w:rPr>
            </w:pPr>
          </w:p>
        </w:tc>
        <w:tc>
          <w:tcPr>
            <w:tcW w:w="270" w:type="dxa"/>
          </w:tcPr>
          <w:p w:rsidR="008B4A82" w14:paraId="4A8280F3" w14:textId="77777777">
            <w:pPr>
              <w:pStyle w:val="equationtext"/>
              <w:tabs>
                <w:tab w:val="clear" w:pos="1800"/>
              </w:tabs>
              <w:ind w:left="-108" w:right="-108" w:firstLine="0"/>
              <w:jc w:val="center"/>
              <w:rPr>
                <w:iCs w:val="0"/>
              </w:rPr>
            </w:pPr>
          </w:p>
        </w:tc>
        <w:tc>
          <w:tcPr>
            <w:tcW w:w="8820" w:type="dxa"/>
          </w:tcPr>
          <w:p w:rsidR="008B4A82" w14:paraId="0B99D5BA" w14:textId="20C23A63">
            <w:pPr>
              <w:pStyle w:val="equationtext"/>
              <w:tabs>
                <w:tab w:val="clear" w:pos="1800"/>
              </w:tabs>
              <w:ind w:left="0" w:right="72" w:firstLine="0"/>
              <w:rPr>
                <w:iCs w:val="0"/>
                <w:sz w:val="20"/>
                <w:szCs w:val="20"/>
              </w:rPr>
            </w:pPr>
            <w:r>
              <w:rPr>
                <w:iCs w:val="0"/>
                <w:sz w:val="20"/>
                <w:szCs w:val="20"/>
              </w:rPr>
              <w:t xml:space="preserve">(a)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r>
                        <m:rPr>
                          <m:sty m:val="p"/>
                        </m:rPr>
                        <w:rPr>
                          <w:rFonts w:ascii="Cambria Math" w:hAnsi="Cambria Math"/>
                          <w:sz w:val="20"/>
                          <w:szCs w:val="20"/>
                        </w:rPr>
                        <m:t>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r>
              <w:rPr>
                <w:iCs w:val="0"/>
                <w:sz w:val="20"/>
                <w:szCs w:val="20"/>
              </w:rPr>
              <w:t>; or</w:t>
            </w:r>
          </w:p>
        </w:tc>
      </w:tr>
      <w:tr w14:paraId="66FFF7CA" w14:textId="77777777">
        <w:tblPrEx>
          <w:tblW w:w="28170" w:type="dxa"/>
          <w:tblInd w:w="-162" w:type="dxa"/>
          <w:tblLayout w:type="fixed"/>
          <w:tblLook w:val="04A0"/>
        </w:tblPrEx>
        <w:trPr>
          <w:gridAfter w:val="2"/>
          <w:wAfter w:w="17640" w:type="dxa"/>
        </w:trPr>
        <w:tc>
          <w:tcPr>
            <w:tcW w:w="1440" w:type="dxa"/>
          </w:tcPr>
          <w:p w:rsidR="008B4A82" w14:paraId="1A5EE2BD" w14:textId="77777777">
            <w:pPr>
              <w:pStyle w:val="equationtext"/>
              <w:tabs>
                <w:tab w:val="clear" w:pos="1800"/>
              </w:tabs>
              <w:ind w:left="0" w:firstLine="0"/>
              <w:jc w:val="both"/>
              <w:rPr>
                <w:i/>
                <w:sz w:val="20"/>
                <w:szCs w:val="20"/>
              </w:rPr>
            </w:pPr>
          </w:p>
        </w:tc>
        <w:tc>
          <w:tcPr>
            <w:tcW w:w="270" w:type="dxa"/>
          </w:tcPr>
          <w:p w:rsidR="008B4A82" w14:paraId="452D1FD6" w14:textId="77777777">
            <w:pPr>
              <w:pStyle w:val="equationtext"/>
              <w:tabs>
                <w:tab w:val="clear" w:pos="1800"/>
              </w:tabs>
              <w:ind w:left="-108" w:right="-108" w:firstLine="0"/>
              <w:jc w:val="center"/>
              <w:rPr>
                <w:iCs w:val="0"/>
              </w:rPr>
            </w:pPr>
          </w:p>
        </w:tc>
        <w:tc>
          <w:tcPr>
            <w:tcW w:w="8820" w:type="dxa"/>
          </w:tcPr>
          <w:p w:rsidR="008B4A82" w14:paraId="6F2B30E7" w14:textId="6FF3B6A1">
            <w:pPr>
              <w:pStyle w:val="equationtext"/>
              <w:tabs>
                <w:tab w:val="clear" w:pos="1800"/>
              </w:tabs>
              <w:ind w:left="0" w:right="72" w:firstLine="0"/>
              <w:rPr>
                <w:iCs w:val="0"/>
                <w:sz w:val="20"/>
                <w:szCs w:val="20"/>
              </w:rPr>
            </w:pPr>
            <w:r>
              <w:rPr>
                <w:iCs w:val="0"/>
                <w:sz w:val="20"/>
                <w:szCs w:val="20"/>
              </w:rPr>
              <w:t xml:space="preserve">(b)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max</m:t>
                  </m:r>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p>
        </w:tc>
      </w:tr>
      <w:tr w14:paraId="7A70C0F3" w14:textId="77777777">
        <w:tblPrEx>
          <w:tblW w:w="28170" w:type="dxa"/>
          <w:tblInd w:w="-162" w:type="dxa"/>
          <w:tblLayout w:type="fixed"/>
          <w:tblLook w:val="04A0"/>
        </w:tblPrEx>
        <w:trPr>
          <w:gridAfter w:val="2"/>
          <w:wAfter w:w="17640" w:type="dxa"/>
        </w:trPr>
        <w:tc>
          <w:tcPr>
            <w:tcW w:w="1440" w:type="dxa"/>
          </w:tcPr>
          <w:p w:rsidR="008B4A82" w14:paraId="04D1F38D" w14:textId="77777777">
            <w:pPr>
              <w:pStyle w:val="equationtext"/>
              <w:tabs>
                <w:tab w:val="clear" w:pos="1800"/>
              </w:tabs>
              <w:ind w:left="0" w:firstLine="0"/>
              <w:jc w:val="both"/>
              <w:rPr>
                <w:i/>
                <w:sz w:val="20"/>
                <w:szCs w:val="20"/>
              </w:rPr>
            </w:pPr>
          </w:p>
        </w:tc>
        <w:tc>
          <w:tcPr>
            <w:tcW w:w="270" w:type="dxa"/>
          </w:tcPr>
          <w:p w:rsidR="008B4A82" w14:paraId="057922AC" w14:textId="77777777">
            <w:pPr>
              <w:pStyle w:val="equationtext"/>
              <w:tabs>
                <w:tab w:val="clear" w:pos="1800"/>
              </w:tabs>
              <w:ind w:left="-108" w:right="-108" w:firstLine="0"/>
              <w:jc w:val="center"/>
              <w:rPr>
                <w:iCs w:val="0"/>
              </w:rPr>
            </w:pPr>
          </w:p>
        </w:tc>
        <w:tc>
          <w:tcPr>
            <w:tcW w:w="8820" w:type="dxa"/>
          </w:tcPr>
          <w:p w:rsidR="008B4A82" w14:paraId="1333C7AD" w14:textId="77777777">
            <w:pPr>
              <w:pStyle w:val="equationtext"/>
              <w:tabs>
                <w:tab w:val="clear" w:pos="1800"/>
              </w:tabs>
              <w:ind w:left="0" w:right="72" w:firstLine="0"/>
              <w:rPr>
                <w:sz w:val="20"/>
                <w:szCs w:val="20"/>
              </w:rPr>
            </w:pPr>
            <w:r>
              <w:rPr>
                <w:sz w:val="20"/>
                <w:szCs w:val="20"/>
              </w:rPr>
              <w:t>When the Day-Ahead Energy schedule is to withdraw</w:t>
            </w:r>
            <w:r>
              <w:rPr>
                <w:iCs w:val="0"/>
                <w:sz w:val="20"/>
                <w:szCs w:val="20"/>
              </w:rPr>
              <w:t xml:space="preserve">,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&gt;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sz w:val="20"/>
                <w:szCs w:val="20"/>
              </w:rPr>
              <w:t xml:space="preserve">: </w:t>
            </w:r>
          </w:p>
          <w:p w:rsidR="008B4A82" w14:paraId="447FEB40" w14:textId="77777777">
            <w:pPr>
              <w:pStyle w:val="equationtext"/>
              <w:tabs>
                <w:tab w:val="clear" w:pos="1800"/>
              </w:tabs>
              <w:ind w:left="0" w:right="72" w:firstLine="0"/>
              <w:rPr>
                <w:sz w:val="20"/>
                <w:szCs w:val="20"/>
              </w:rPr>
            </w:pPr>
            <m:oMathPara>
              <m:oMath>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,0</m:t>
                    </m:r>
                  </m:e>
                </m:d>
              </m:oMath>
            </m:oMathPara>
          </w:p>
        </w:tc>
      </w:tr>
      <w:tr w14:paraId="780A3F38" w14:textId="77777777">
        <w:tblPrEx>
          <w:tblW w:w="28170" w:type="dxa"/>
          <w:tblInd w:w="-162" w:type="dxa"/>
          <w:tblLayout w:type="fixed"/>
          <w:tblLook w:val="04A0"/>
        </w:tblPrEx>
        <w:tc>
          <w:tcPr>
            <w:tcW w:w="1440" w:type="dxa"/>
          </w:tcPr>
          <w:p w:rsidR="008B4A82" w14:paraId="52A72E26" w14:textId="77777777">
            <w:pPr>
              <w:pStyle w:val="equationtext"/>
              <w:tabs>
                <w:tab w:val="clear" w:pos="1800"/>
              </w:tabs>
              <w:ind w:left="0" w:firstLine="0"/>
              <w:jc w:val="both"/>
              <w:rPr>
                <w:i/>
                <w:sz w:val="20"/>
                <w:szCs w:val="20"/>
              </w:rPr>
            </w:pPr>
          </w:p>
        </w:tc>
        <w:tc>
          <w:tcPr>
            <w:tcW w:w="270" w:type="dxa"/>
          </w:tcPr>
          <w:p w:rsidR="008B4A82" w14:paraId="72A25C04" w14:textId="77777777">
            <w:pPr>
              <w:pStyle w:val="equationtext"/>
              <w:tabs>
                <w:tab w:val="clear" w:pos="1800"/>
              </w:tabs>
              <w:ind w:left="-108" w:right="-108" w:firstLine="0"/>
              <w:jc w:val="center"/>
              <w:rPr>
                <w:iCs w:val="0"/>
              </w:rPr>
            </w:pPr>
          </w:p>
        </w:tc>
        <w:tc>
          <w:tcPr>
            <w:tcW w:w="8820" w:type="dxa"/>
          </w:tcPr>
          <w:p w:rsidR="008B4A82" w14:paraId="59B0FB17" w14:textId="77777777">
            <w:pPr>
              <w:pStyle w:val="equationtext"/>
              <w:tabs>
                <w:tab w:val="clear" w:pos="1800"/>
              </w:tabs>
              <w:ind w:left="0" w:right="72" w:firstLine="0"/>
              <w:rPr>
                <w:iCs w:val="0"/>
                <w:sz w:val="20"/>
                <w:szCs w:val="20"/>
              </w:rPr>
            </w:pPr>
          </w:p>
        </w:tc>
        <w:tc>
          <w:tcPr>
            <w:tcW w:w="8820" w:type="dxa"/>
          </w:tcPr>
          <w:p w:rsidR="008B4A82" w14:paraId="759D8216" w14:textId="77777777"/>
        </w:tc>
        <w:tc>
          <w:tcPr>
            <w:tcW w:w="8820" w:type="dxa"/>
          </w:tcPr>
          <w:p w:rsidR="008B4A82" w14:paraId="369472F0" w14:textId="77777777">
            <w:pPr>
              <w:rPr>
                <w:sz w:val="20"/>
                <w:szCs w:val="20"/>
              </w:rPr>
            </w:pPr>
          </w:p>
        </w:tc>
      </w:tr>
      <w:tr w14:paraId="1A8A4103" w14:textId="77777777">
        <w:tblPrEx>
          <w:tblW w:w="28170" w:type="dxa"/>
          <w:tblInd w:w="-162" w:type="dxa"/>
          <w:tblLayout w:type="fixed"/>
          <w:tblLook w:val="04A0"/>
        </w:tblPrEx>
        <w:trPr>
          <w:gridAfter w:val="2"/>
          <w:wAfter w:w="17640" w:type="dxa"/>
        </w:trPr>
        <w:tc>
          <w:tcPr>
            <w:tcW w:w="1440" w:type="dxa"/>
          </w:tcPr>
          <w:p w:rsidR="008B4A82" w14:paraId="3C2845F9" w14:textId="77777777">
            <w:pPr>
              <w:pStyle w:val="equationtext"/>
              <w:tabs>
                <w:tab w:val="clear" w:pos="1800"/>
              </w:tabs>
              <w:ind w:left="0" w:firstLine="0"/>
              <w:jc w:val="both"/>
              <w:rPr>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UL</m:t>
                    </m:r>
                  </m:e>
                  <m:sub>
                    <m:r>
                      <w:rPr>
                        <w:rFonts w:ascii="Cambria Math" w:hAnsi="Cambria Math"/>
                        <w:sz w:val="20"/>
                        <w:szCs w:val="20"/>
                      </w:rPr>
                      <m:t>iu</m:t>
                    </m:r>
                  </m:sub>
                </m:sSub>
              </m:oMath>
            </m:oMathPara>
          </w:p>
        </w:tc>
        <w:tc>
          <w:tcPr>
            <w:tcW w:w="270" w:type="dxa"/>
          </w:tcPr>
          <w:p w:rsidR="008B4A82" w14:paraId="70113A65" w14:textId="77777777">
            <w:pPr>
              <w:pStyle w:val="equationtext"/>
              <w:tabs>
                <w:tab w:val="clear" w:pos="1800"/>
              </w:tabs>
              <w:ind w:left="-108" w:right="-108" w:firstLine="0"/>
              <w:jc w:val="center"/>
              <w:rPr>
                <w:iCs w:val="0"/>
              </w:rPr>
            </w:pPr>
            <w:r>
              <w:rPr>
                <w:iCs w:val="0"/>
              </w:rPr>
              <w:t>=</w:t>
            </w:r>
          </w:p>
        </w:tc>
        <w:tc>
          <w:tcPr>
            <w:tcW w:w="8820" w:type="dxa"/>
          </w:tcPr>
          <w:p w:rsidR="008B4A82" w14:paraId="5FFA25D5" w14:textId="77777777">
            <w:pPr>
              <w:pStyle w:val="equationtext"/>
              <w:tabs>
                <w:tab w:val="clear" w:pos="1800"/>
              </w:tabs>
              <w:ind w:left="0" w:right="72" w:firstLine="0"/>
              <w:rPr>
                <w:iCs w:val="0"/>
                <w:sz w:val="20"/>
                <w:szCs w:val="20"/>
              </w:rPr>
            </w:pPr>
            <w:r>
              <w:rPr>
                <w:iCs w:val="0"/>
                <w:sz w:val="20"/>
                <w:szCs w:val="20"/>
              </w:rPr>
              <w:t xml:space="preserve">When the Day-Ahead Energy schedule is to inject, or the Day-Ahead Energy schedule is zero MW and </w:t>
            </w:r>
            <w:r>
              <w:rPr>
                <w:iCs w:val="0"/>
                <w:sz w:val="20"/>
                <w:szCs w:val="20"/>
              </w:rPr>
              <w:t xml:space="preserve">the real-time Energy schedule is to inject,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either:</w:t>
            </w:r>
          </w:p>
        </w:tc>
      </w:tr>
      <w:tr w14:paraId="3AB6E961" w14:textId="77777777">
        <w:tblPrEx>
          <w:tblW w:w="28170" w:type="dxa"/>
          <w:tblInd w:w="-162" w:type="dxa"/>
          <w:tblLayout w:type="fixed"/>
          <w:tblLook w:val="04A0"/>
        </w:tblPrEx>
        <w:trPr>
          <w:gridAfter w:val="2"/>
          <w:wAfter w:w="17640" w:type="dxa"/>
        </w:trPr>
        <w:tc>
          <w:tcPr>
            <w:tcW w:w="1440" w:type="dxa"/>
          </w:tcPr>
          <w:p w:rsidR="008B4A82" w14:paraId="44ECC165" w14:textId="77777777">
            <w:pPr>
              <w:pStyle w:val="equationtext"/>
              <w:tabs>
                <w:tab w:val="clear" w:pos="1800"/>
              </w:tabs>
              <w:ind w:left="0" w:firstLine="0"/>
              <w:jc w:val="both"/>
              <w:rPr>
                <w:sz w:val="20"/>
                <w:szCs w:val="20"/>
              </w:rPr>
            </w:pPr>
          </w:p>
        </w:tc>
        <w:tc>
          <w:tcPr>
            <w:tcW w:w="270" w:type="dxa"/>
          </w:tcPr>
          <w:p w:rsidR="008B4A82" w14:paraId="49C40719" w14:textId="77777777">
            <w:pPr>
              <w:pStyle w:val="equationtext"/>
              <w:tabs>
                <w:tab w:val="clear" w:pos="1800"/>
              </w:tabs>
              <w:ind w:left="-108" w:right="-108" w:firstLine="0"/>
              <w:jc w:val="center"/>
              <w:rPr>
                <w:iCs w:val="0"/>
              </w:rPr>
            </w:pPr>
          </w:p>
        </w:tc>
        <w:tc>
          <w:tcPr>
            <w:tcW w:w="8820" w:type="dxa"/>
          </w:tcPr>
          <w:p w:rsidR="008B4A82" w14:paraId="005127E5" w14:textId="3D09C27C">
            <w:pPr>
              <w:pStyle w:val="equationtext"/>
              <w:numPr>
                <w:ilvl w:val="0"/>
                <w:numId w:val="39"/>
              </w:numPr>
              <w:tabs>
                <w:tab w:val="clear" w:pos="1800"/>
              </w:tabs>
              <w:ind w:right="72"/>
              <w:rPr>
                <w:iCs w:val="0"/>
                <w:sz w:val="20"/>
                <w:szCs w:val="20"/>
              </w:rPr>
            </w:pPr>
            <m:oMath>
              <m:r>
                <w:rPr>
                  <w:rFonts w:ascii="Cambria Math" w:hAnsi="Cambria Math"/>
                  <w:sz w:val="18"/>
                  <w:szCs w:val="18"/>
                </w:rPr>
                <m:t xml:space="preserve">if </m:t>
              </m:r>
              <m:sSub>
                <m:sSubPr>
                  <m:ctrlPr>
                    <w:rPr>
                      <w:rFonts w:ascii="Cambria Math" w:hAnsi="Cambria Math"/>
                      <w:i/>
                      <w:iCs w:val="0"/>
                      <w:sz w:val="18"/>
                      <w:szCs w:val="18"/>
                    </w:rPr>
                  </m:ctrlPr>
                </m:sSubPr>
                <m:e>
                  <m:r>
                    <w:rPr>
                      <w:rFonts w:ascii="Cambria Math" w:hAnsi="Cambria Math"/>
                      <w:sz w:val="18"/>
                      <w:szCs w:val="18"/>
                    </w:rPr>
                    <m:t>RTSen</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EOP</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DASen</m:t>
                  </m:r>
                </m:e>
                <m:sub>
                  <m:r>
                    <w:rPr>
                      <w:rFonts w:ascii="Cambria Math" w:hAnsi="Cambria Math"/>
                      <w:sz w:val="18"/>
                      <w:szCs w:val="18"/>
                    </w:rPr>
                    <m:t>hu</m:t>
                  </m:r>
                </m:sub>
              </m:sSub>
              <m:r>
                <w:rPr>
                  <w:rFonts w:ascii="Cambria Math" w:hAnsi="Cambria Math"/>
                  <w:sz w:val="18"/>
                  <w:szCs w:val="18"/>
                </w:rPr>
                <m:t xml:space="preserve">, then </m:t>
              </m:r>
              <m:sSub>
                <m:sSubPr>
                  <m:ctrlPr>
                    <w:rPr>
                      <w:rFonts w:ascii="Cambria Math" w:hAnsi="Cambria Math"/>
                      <w:i/>
                      <w:iCs w:val="0"/>
                      <w:sz w:val="18"/>
                      <w:szCs w:val="18"/>
                    </w:rPr>
                  </m:ctrlPr>
                </m:sSubPr>
                <m:e>
                  <m:r>
                    <w:rPr>
                      <w:rFonts w:ascii="Cambria Math" w:hAnsi="Cambria Math"/>
                      <w:sz w:val="18"/>
                      <w:szCs w:val="18"/>
                    </w:rPr>
                    <m:t>UL</m:t>
                  </m:r>
                </m:e>
                <m:sub>
                  <m:r>
                    <w:rPr>
                      <w:rFonts w:ascii="Cambria Math" w:hAnsi="Cambria Math"/>
                      <w:sz w:val="18"/>
                      <w:szCs w:val="18"/>
                    </w:rPr>
                    <m:t>iu</m:t>
                  </m:r>
                </m:sub>
              </m:sSub>
              <m:r>
                <w:rPr>
                  <w:rFonts w:ascii="Cambria Math" w:hAnsi="Cambria Math"/>
                  <w:sz w:val="18"/>
                  <w:szCs w:val="18"/>
                </w:rPr>
                <m:t>=</m:t>
              </m:r>
              <m:r>
                <w:rPr>
                  <w:rFonts w:ascii="Cambria Math" w:hAnsi="Cambria Math"/>
                  <w:sz w:val="20"/>
                  <w:szCs w:val="20"/>
                </w:rPr>
                <m:t>min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,max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e>
              </m:d>
            </m:oMath>
            <w:r>
              <w:rPr>
                <w:iCs w:val="0"/>
                <w:sz w:val="18"/>
                <w:szCs w:val="18"/>
              </w:rPr>
              <w:t>;</w:t>
            </w:r>
            <w:r>
              <w:rPr>
                <w:iCs w:val="0"/>
                <w:sz w:val="20"/>
                <w:szCs w:val="20"/>
              </w:rPr>
              <w:t xml:space="preserve"> or</w:t>
            </w:r>
          </w:p>
          <w:p w:rsidR="008B4A82" w14:paraId="44743F8D" w14:textId="42501D8C">
            <w:pPr>
              <w:pStyle w:val="equationtext"/>
              <w:numPr>
                <w:ilvl w:val="0"/>
                <w:numId w:val="39"/>
              </w:numPr>
              <w:tabs>
                <w:tab w:val="clear" w:pos="1800"/>
              </w:tabs>
              <w:ind w:right="72"/>
              <w:rPr>
                <w:iCs w:val="0"/>
                <w:sz w:val="20"/>
                <w:szCs w:val="20"/>
              </w:rPr>
            </w:pPr>
            <w:r>
              <w:rPr>
                <w:iCs w:val="0"/>
                <w:sz w:val="20"/>
                <w:szCs w:val="20"/>
              </w:rPr>
              <w:t xml:space="preserve">otherwise, then </w:t>
            </w:r>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oMath>
          </w:p>
        </w:tc>
      </w:tr>
      <w:tr w14:paraId="6EA1A70E" w14:textId="77777777">
        <w:tblPrEx>
          <w:tblW w:w="28170" w:type="dxa"/>
          <w:tblInd w:w="-162" w:type="dxa"/>
          <w:tblLayout w:type="fixed"/>
          <w:tblLook w:val="04A0"/>
        </w:tblPrEx>
        <w:trPr>
          <w:gridAfter w:val="2"/>
          <w:wAfter w:w="17640" w:type="dxa"/>
        </w:trPr>
        <w:tc>
          <w:tcPr>
            <w:tcW w:w="1440" w:type="dxa"/>
          </w:tcPr>
          <w:p w:rsidR="008B4A82" w14:paraId="1623F858" w14:textId="77777777">
            <w:pPr>
              <w:pStyle w:val="equationtext"/>
              <w:tabs>
                <w:tab w:val="clear" w:pos="1800"/>
              </w:tabs>
              <w:ind w:left="0" w:firstLine="0"/>
              <w:jc w:val="both"/>
              <w:rPr>
                <w:sz w:val="20"/>
                <w:szCs w:val="20"/>
              </w:rPr>
            </w:pPr>
          </w:p>
        </w:tc>
        <w:tc>
          <w:tcPr>
            <w:tcW w:w="270" w:type="dxa"/>
          </w:tcPr>
          <w:p w:rsidR="008B4A82" w14:paraId="7CFB1418" w14:textId="77777777">
            <w:pPr>
              <w:pStyle w:val="equationtext"/>
              <w:tabs>
                <w:tab w:val="clear" w:pos="1800"/>
              </w:tabs>
              <w:ind w:left="-108" w:right="-108" w:firstLine="0"/>
              <w:jc w:val="center"/>
              <w:rPr>
                <w:iCs w:val="0"/>
                <w:sz w:val="20"/>
                <w:szCs w:val="20"/>
              </w:rPr>
            </w:pPr>
          </w:p>
        </w:tc>
        <w:tc>
          <w:tcPr>
            <w:tcW w:w="8820" w:type="dxa"/>
          </w:tcPr>
          <w:p w:rsidR="008B4A82" w14:paraId="473ECB8A" w14:textId="77777777">
            <w:pPr>
              <w:pStyle w:val="equationtext"/>
              <w:tabs>
                <w:tab w:val="clear" w:pos="1800"/>
              </w:tabs>
              <w:ind w:left="0" w:right="72" w:firstLine="0"/>
              <w:rPr>
                <w:iCs w:val="0"/>
                <w:sz w:val="20"/>
                <w:szCs w:val="20"/>
              </w:rPr>
            </w:pPr>
            <w:r>
              <w:rPr>
                <w:iCs w:val="0"/>
                <w:sz w:val="20"/>
                <w:szCs w:val="20"/>
              </w:rPr>
              <w:t xml:space="preserve">When the Day-Ahead Energy schedule is to withdraw, or the Day-Ahead Energy schedule is zero MW and the real-time Energy schedule is to withdraw,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xml:space="preserve">: </w:t>
            </w:r>
          </w:p>
          <w:p w:rsidR="008B4A82" w14:paraId="4F13397C" w14:textId="77777777">
            <w:pPr>
              <w:pStyle w:val="equationtext"/>
              <w:tabs>
                <w:tab w:val="clear" w:pos="1800"/>
              </w:tabs>
              <w:ind w:left="0" w:right="72" w:firstLine="0"/>
              <w:rPr>
                <w:iCs w:val="0"/>
                <w:sz w:val="20"/>
                <w:szCs w:val="20"/>
              </w:rPr>
            </w:pPr>
            <m:oMathPara>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t>
                </m:r>
                <m:r>
                  <w:rPr>
                    <w:rFonts w:ascii="Cambria Math" w:hAnsi="Cambria Math" w:cs="Calibri"/>
                    <w:sz w:val="22"/>
                    <w:szCs w:val="22"/>
                    <w:lang w:val=""/>
                  </w:rPr>
                  <m:t>min</m:t>
                </m:r>
                <m:r>
                  <m:rPr>
                    <m:sty m:val="p"/>
                  </m:rPr>
                  <w:rPr>
                    <w:rFonts w:ascii="Cambria Math" w:hAnsi="Cambria Math" w:cs="Calibri"/>
                    <w:sz w:val="22"/>
                    <w:szCs w:val="22"/>
                    <w:lang w:val=""/>
                  </w:rPr>
                  <m:t> </m:t>
                </m:r>
                <m:d>
                  <m:dPr>
                    <m:ctrlPr>
                      <w:rPr>
                        <w:rFonts w:ascii="Cambria Math" w:hAnsi="Cambria Math" w:cs="Calibri"/>
                        <w:sz w:val="22"/>
                        <w:szCs w:val="22"/>
                        <w:lang w:val=""/>
                      </w:rPr>
                    </m:ctrlPr>
                  </m:dPr>
                  <m:e>
                    <m:sSub>
                      <m:sSubPr>
                        <m:ctrlPr>
                          <w:rPr>
                            <w:rFonts w:ascii="Cambria Math" w:hAnsi="Cambria Math" w:cs="Calibri"/>
                            <w:sz w:val="22"/>
                            <w:szCs w:val="22"/>
                            <w:lang w:val=""/>
                          </w:rPr>
                        </m:ctrlPr>
                      </m:sSubPr>
                      <m:e>
                        <m:r>
                          <w:rPr>
                            <w:rFonts w:ascii="Cambria Math" w:hAnsi="Cambria Math" w:cs="Calibri"/>
                            <w:sz w:val="22"/>
                            <w:szCs w:val="22"/>
                            <w:lang w:val=""/>
                          </w:rPr>
                          <m:t>RTSen</m:t>
                        </m:r>
                      </m:e>
                      <m:sub>
                        <m:r>
                          <w:rPr>
                            <w:rFonts w:ascii="Cambria Math" w:hAnsi="Cambria Math" w:cs="Calibri"/>
                            <w:sz w:val="22"/>
                            <w:szCs w:val="22"/>
                            <w:lang w:val=""/>
                          </w:rPr>
                          <m:t>iu</m:t>
                        </m:r>
                      </m:sub>
                    </m:sSub>
                    <m:r>
                      <m:rPr>
                        <m:sty m:val="p"/>
                      </m:rPr>
                      <w:rPr>
                        <w:rFonts w:ascii="Cambria Math" w:hAnsi="Cambria Math" w:cs="Calibri"/>
                        <w:sz w:val="22"/>
                        <w:szCs w:val="22"/>
                        <w:lang w:val=""/>
                      </w:rPr>
                      <m:t>,</m:t>
                    </m:r>
                    <m:r>
                      <w:rPr>
                        <w:rFonts w:ascii="Cambria Math" w:hAnsi="Cambria Math" w:cs="Calibri"/>
                        <w:sz w:val="22"/>
                        <w:szCs w:val="22"/>
                        <w:lang w:val=""/>
                      </w:rPr>
                      <m:t>max</m:t>
                    </m:r>
                    <m:r>
                      <m:rPr>
                        <m:sty m:val="p"/>
                      </m:rPr>
                      <w:rPr>
                        <w:rFonts w:ascii="Cambria Math" w:hAnsi="Cambria Math" w:cs="Calibri"/>
                        <w:sz w:val="22"/>
                        <w:szCs w:val="22"/>
                        <w:lang w:val=""/>
                      </w:rPr>
                      <m:t> </m:t>
                    </m:r>
                    <m:d>
                      <m:dPr>
                        <m:ctrlPr>
                          <w:rPr>
                            <w:rFonts w:ascii="Cambria Math" w:hAnsi="Cambria Math" w:cs="Calibri"/>
                            <w:sz w:val="22"/>
                            <w:szCs w:val="22"/>
                            <w:lang w:val=""/>
                          </w:rPr>
                        </m:ctrlPr>
                      </m:dPr>
                      <m:e>
                        <m:sSub>
                          <m:sSubPr>
                            <m:ctrlPr>
                              <w:rPr>
                                <w:rFonts w:ascii="Cambria Math" w:hAnsi="Cambria Math" w:cs="Calibri"/>
                                <w:sz w:val="22"/>
                                <w:szCs w:val="22"/>
                                <w:lang w:val=""/>
                              </w:rPr>
                            </m:ctrlPr>
                          </m:sSubPr>
                          <m:e>
                            <m:r>
                              <w:rPr>
                                <w:rFonts w:ascii="Cambria Math" w:hAnsi="Cambria Math" w:cs="Calibri"/>
                                <w:sz w:val="22"/>
                                <w:szCs w:val="22"/>
                                <w:lang w:val=""/>
                              </w:rPr>
                              <m:t>AE</m:t>
                            </m:r>
                          </m:e>
                          <m:sub>
                            <m:r>
                              <w:rPr>
                                <w:rFonts w:ascii="Cambria Math" w:hAnsi="Cambria Math" w:cs="Calibri"/>
                                <w:sz w:val="22"/>
                                <w:szCs w:val="22"/>
                                <w:lang w:val=""/>
                              </w:rPr>
                              <m:t>iu</m:t>
                            </m:r>
                          </m:sub>
                        </m:sSub>
                        <m:r>
                          <m:rPr>
                            <m:sty m:val="p"/>
                          </m:rPr>
                          <w:rPr>
                            <w:rFonts w:ascii="Cambria Math" w:hAnsi="Cambria Math" w:cs="Calibri"/>
                            <w:sz w:val="22"/>
                            <w:szCs w:val="22"/>
                            <w:lang w:val=""/>
                          </w:rPr>
                          <m:t>, </m:t>
                        </m:r>
                        <m:sSub>
                          <m:sSubPr>
                            <m:ctrlPr>
                              <w:rPr>
                                <w:rFonts w:ascii="Cambria Math" w:hAnsi="Cambria Math" w:cs="Calibri"/>
                                <w:sz w:val="22"/>
                                <w:szCs w:val="22"/>
                                <w:lang w:val=""/>
                              </w:rPr>
                            </m:ctrlPr>
                          </m:sSubPr>
                          <m:e>
                            <m:r>
                              <w:rPr>
                                <w:rFonts w:ascii="Cambria Math" w:hAnsi="Cambria Math" w:cs="Calibri"/>
                                <w:sz w:val="22"/>
                                <w:szCs w:val="22"/>
                                <w:lang w:val=""/>
                              </w:rPr>
                              <m:t>EOP</m:t>
                            </m:r>
                          </m:e>
                          <m:sub>
                            <m:r>
                              <w:rPr>
                                <w:rFonts w:ascii="Cambria Math" w:hAnsi="Cambria Math" w:cs="Calibri"/>
                                <w:sz w:val="22"/>
                                <w:szCs w:val="22"/>
                                <w:lang w:val=""/>
                              </w:rPr>
                              <m:t>iu</m:t>
                            </m:r>
                          </m:sub>
                        </m:sSub>
                      </m:e>
                    </m:d>
                  </m:e>
                </m:d>
              </m:oMath>
            </m:oMathPara>
          </w:p>
          <w:p w:rsidR="008B4A82" w14:paraId="2F912769" w14:textId="77777777">
            <w:pPr>
              <w:pStyle w:val="equationtext"/>
              <w:tabs>
                <w:tab w:val="clear" w:pos="1800"/>
              </w:tabs>
              <w:ind w:left="0" w:right="72" w:firstLine="0"/>
              <w:rPr>
                <w:iCs w:val="0"/>
                <w:sz w:val="20"/>
                <w:szCs w:val="20"/>
              </w:rPr>
            </w:pPr>
          </w:p>
        </w:tc>
      </w:tr>
      <w:tr w14:paraId="4F252AE9" w14:textId="77777777">
        <w:tblPrEx>
          <w:tblW w:w="28170" w:type="dxa"/>
          <w:tblInd w:w="-162" w:type="dxa"/>
          <w:tblLayout w:type="fixed"/>
          <w:tblLook w:val="04A0"/>
        </w:tblPrEx>
        <w:trPr>
          <w:gridAfter w:val="2"/>
          <w:wAfter w:w="17640" w:type="dxa"/>
        </w:trPr>
        <w:tc>
          <w:tcPr>
            <w:tcW w:w="1440" w:type="dxa"/>
          </w:tcPr>
          <w:p w:rsidR="008B4A82" w14:paraId="4A92C1F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oMath>
            </m:oMathPara>
          </w:p>
        </w:tc>
        <w:tc>
          <w:tcPr>
            <w:tcW w:w="270" w:type="dxa"/>
          </w:tcPr>
          <w:p w:rsidR="008B4A82" w14:paraId="7B28008F" w14:textId="77777777">
            <w:pPr>
              <w:pStyle w:val="equationtext"/>
              <w:tabs>
                <w:tab w:val="clear" w:pos="1800"/>
              </w:tabs>
              <w:ind w:left="-108" w:right="-108" w:firstLine="0"/>
              <w:jc w:val="center"/>
              <w:rPr>
                <w:iCs w:val="0"/>
              </w:rPr>
            </w:pPr>
            <w:r>
              <w:rPr>
                <w:iCs w:val="0"/>
              </w:rPr>
              <w:t>=</w:t>
            </w:r>
          </w:p>
        </w:tc>
        <w:tc>
          <w:tcPr>
            <w:tcW w:w="8820" w:type="dxa"/>
          </w:tcPr>
          <w:p w:rsidR="008B4A82" w14:paraId="48AA7A5D" w14:textId="77777777">
            <w:pPr>
              <w:pStyle w:val="equationtext"/>
              <w:tabs>
                <w:tab w:val="clear" w:pos="1800"/>
              </w:tabs>
              <w:ind w:left="0" w:right="72" w:firstLine="0"/>
              <w:rPr>
                <w:iCs w:val="0"/>
                <w:sz w:val="20"/>
                <w:szCs w:val="20"/>
              </w:rPr>
            </w:pPr>
            <w:r>
              <w:rPr>
                <w:iCs w:val="0"/>
                <w:sz w:val="20"/>
                <w:szCs w:val="20"/>
              </w:rPr>
              <w:t xml:space="preserve">the Economic Operating Point of Supplier </w:t>
            </w:r>
            <w:r>
              <w:rPr>
                <w:i/>
                <w:iCs w:val="0"/>
                <w:sz w:val="20"/>
                <w:szCs w:val="20"/>
              </w:rPr>
              <w:t>u</w:t>
            </w:r>
            <w:r>
              <w:rPr>
                <w:iCs w:val="0"/>
                <w:sz w:val="20"/>
                <w:szCs w:val="20"/>
              </w:rPr>
              <w:t xml:space="preserve"> in interval </w:t>
            </w:r>
            <w:r>
              <w:rPr>
                <w:i/>
                <w:iCs w:val="0"/>
                <w:sz w:val="20"/>
                <w:szCs w:val="20"/>
              </w:rPr>
              <w:t xml:space="preserve">i </w:t>
            </w:r>
            <w:r>
              <w:rPr>
                <w:iCs w:val="0"/>
                <w:sz w:val="20"/>
                <w:szCs w:val="20"/>
              </w:rPr>
              <w:t>calculated without regard to ramp rates;</w:t>
            </w:r>
          </w:p>
        </w:tc>
      </w:tr>
      <w:tr w14:paraId="37E8DB99" w14:textId="77777777">
        <w:tblPrEx>
          <w:tblW w:w="28170" w:type="dxa"/>
          <w:tblInd w:w="-162" w:type="dxa"/>
          <w:tblLayout w:type="fixed"/>
          <w:tblLook w:val="04A0"/>
        </w:tblPrEx>
        <w:trPr>
          <w:gridAfter w:val="2"/>
          <w:wAfter w:w="17640" w:type="dxa"/>
        </w:trPr>
        <w:tc>
          <w:tcPr>
            <w:tcW w:w="1440" w:type="dxa"/>
          </w:tcPr>
          <w:p w:rsidR="008B4A82" w14:paraId="5FEC006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Seconds</m:t>
                    </m:r>
                  </m:e>
                  <m:sub>
                    <m:r>
                      <w:rPr>
                        <w:rFonts w:ascii="Cambria Math" w:hAnsi="Cambria Math"/>
                        <w:sz w:val="20"/>
                        <w:szCs w:val="20"/>
                      </w:rPr>
                      <m:t>i</m:t>
                    </m:r>
                  </m:sub>
                </m:sSub>
              </m:oMath>
            </m:oMathPara>
          </w:p>
        </w:tc>
        <w:tc>
          <w:tcPr>
            <w:tcW w:w="270" w:type="dxa"/>
          </w:tcPr>
          <w:p w:rsidR="008B4A82" w14:paraId="7BD8BF31" w14:textId="77777777">
            <w:pPr>
              <w:pStyle w:val="equationtext"/>
              <w:tabs>
                <w:tab w:val="clear" w:pos="1800"/>
              </w:tabs>
              <w:ind w:left="-108" w:right="-108" w:firstLine="0"/>
              <w:jc w:val="center"/>
              <w:rPr>
                <w:iCs w:val="0"/>
              </w:rPr>
            </w:pPr>
            <w:r>
              <w:rPr>
                <w:iCs w:val="0"/>
              </w:rPr>
              <w:t>=</w:t>
            </w:r>
          </w:p>
        </w:tc>
        <w:tc>
          <w:tcPr>
            <w:tcW w:w="8820" w:type="dxa"/>
          </w:tcPr>
          <w:p w:rsidR="008B4A82" w14:paraId="452BAF17" w14:textId="77777777">
            <w:pPr>
              <w:pStyle w:val="equationtext"/>
              <w:tabs>
                <w:tab w:val="clear" w:pos="1800"/>
              </w:tabs>
              <w:ind w:left="0" w:right="72" w:firstLine="0"/>
              <w:rPr>
                <w:iCs w:val="0"/>
                <w:sz w:val="20"/>
                <w:szCs w:val="20"/>
              </w:rPr>
            </w:pPr>
            <w:r>
              <w:rPr>
                <w:iCs w:val="0"/>
                <w:sz w:val="20"/>
                <w:szCs w:val="20"/>
              </w:rPr>
              <w:t xml:space="preserve">number of seconds in interval </w:t>
            </w:r>
            <w:r>
              <w:rPr>
                <w:i/>
                <w:iCs w:val="0"/>
                <w:sz w:val="20"/>
                <w:szCs w:val="20"/>
              </w:rPr>
              <w:t>i</w:t>
            </w:r>
          </w:p>
        </w:tc>
      </w:tr>
      <w:tr w14:paraId="685A22C0" w14:textId="77777777">
        <w:tblPrEx>
          <w:tblW w:w="28170" w:type="dxa"/>
          <w:tblInd w:w="-162" w:type="dxa"/>
          <w:tblLayout w:type="fixed"/>
          <w:tblLook w:val="04A0"/>
        </w:tblPrEx>
        <w:trPr>
          <w:gridAfter w:val="2"/>
          <w:wAfter w:w="17640" w:type="dxa"/>
        </w:trPr>
        <w:tc>
          <w:tcPr>
            <w:tcW w:w="1440" w:type="dxa"/>
          </w:tcPr>
          <w:p w:rsidR="008B4A82" w14:paraId="7B3D590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K</m:t>
                    </m:r>
                    <m:r>
                      <w:rPr>
                        <w:rFonts w:ascii="Cambria Math" w:hAnsi="Cambria Math"/>
                        <w:sz w:val="20"/>
                        <w:szCs w:val="20"/>
                        <w:vertAlign w:val="subscript"/>
                      </w:rPr>
                      <m:t>PI</m:t>
                    </m:r>
                  </m:e>
                  <m:sub>
                    <m:r>
                      <w:rPr>
                        <w:rFonts w:ascii="Cambria Math" w:hAnsi="Cambria Math"/>
                        <w:sz w:val="20"/>
                        <w:szCs w:val="20"/>
                      </w:rPr>
                      <m:t>pi</m:t>
                    </m:r>
                  </m:sub>
                </m:sSub>
              </m:oMath>
            </m:oMathPara>
          </w:p>
        </w:tc>
        <w:tc>
          <w:tcPr>
            <w:tcW w:w="270" w:type="dxa"/>
          </w:tcPr>
          <w:p w:rsidR="008B4A82" w14:paraId="7B8DDA60" w14:textId="77777777">
            <w:pPr>
              <w:pStyle w:val="equationtext"/>
              <w:tabs>
                <w:tab w:val="clear" w:pos="1800"/>
              </w:tabs>
              <w:ind w:left="-108" w:right="-108" w:firstLine="0"/>
              <w:jc w:val="center"/>
              <w:rPr>
                <w:iCs w:val="0"/>
              </w:rPr>
            </w:pPr>
            <w:r>
              <w:rPr>
                <w:iCs w:val="0"/>
              </w:rPr>
              <w:t>=</w:t>
            </w:r>
          </w:p>
        </w:tc>
        <w:tc>
          <w:tcPr>
            <w:tcW w:w="8820" w:type="dxa"/>
          </w:tcPr>
          <w:p w:rsidR="008B4A82" w14:paraId="0BFF9DEC" w14:textId="77777777">
            <w:pPr>
              <w:pStyle w:val="equationtext"/>
              <w:tabs>
                <w:tab w:val="clear" w:pos="1800"/>
              </w:tabs>
              <w:ind w:left="0" w:right="72" w:firstLine="0"/>
              <w:rPr>
                <w:iCs w:val="0"/>
                <w:sz w:val="20"/>
                <w:szCs w:val="20"/>
              </w:rPr>
            </w:pPr>
            <w:r>
              <w:rPr>
                <w:iCs w:val="0"/>
                <w:sz w:val="20"/>
                <w:szCs w:val="20"/>
              </w:rPr>
              <w:t>the</w:t>
            </w:r>
            <w:r>
              <w:rPr>
                <w:iCs w:val="0"/>
                <w:sz w:val="20"/>
                <w:szCs w:val="20"/>
              </w:rPr>
              <w:t xml:space="preserve"> factor derived from the Regulation Service Performance index for Resource </w:t>
            </w:r>
            <w:r>
              <w:rPr>
                <w:i/>
                <w:iCs w:val="0"/>
                <w:sz w:val="20"/>
                <w:szCs w:val="20"/>
              </w:rPr>
              <w:t>u</w:t>
            </w:r>
            <w:r>
              <w:rPr>
                <w:iCs w:val="0"/>
                <w:sz w:val="20"/>
                <w:szCs w:val="20"/>
              </w:rPr>
              <w:t xml:space="preserve"> for interval </w:t>
            </w:r>
            <w:r>
              <w:rPr>
                <w:i/>
                <w:iCs w:val="0"/>
                <w:sz w:val="20"/>
                <w:szCs w:val="20"/>
              </w:rPr>
              <w:t>i</w:t>
            </w:r>
            <w:r>
              <w:rPr>
                <w:iCs w:val="0"/>
                <w:sz w:val="20"/>
                <w:szCs w:val="20"/>
              </w:rPr>
              <w:t xml:space="preserve"> as defined in Rate Schedule 3 of this Services Tariff.</w:t>
            </w:r>
          </w:p>
        </w:tc>
      </w:tr>
    </w:tbl>
    <w:p w:rsidR="008B4A82" w14:paraId="64F40C8B" w14:textId="57257E3C">
      <w:pPr>
        <w:pStyle w:val="Heading2"/>
      </w:pPr>
      <w:bookmarkStart w:id="6" w:name="_Toc261252304"/>
      <w:bookmarkStart w:id="7" w:name="_Toc261252305"/>
      <w:bookmarkEnd w:id="6"/>
      <w:r>
        <w:t>25.4</w:t>
      </w:r>
      <w:r>
        <w:tab/>
        <w:t xml:space="preserve">Exception for Generators </w:t>
      </w:r>
      <w:r w:rsidR="00382C56">
        <w:t xml:space="preserve">and Aggregations </w:t>
      </w:r>
      <w:r>
        <w:t>Lagging Behind RTD Base Point Signals</w:t>
      </w:r>
      <w:bookmarkEnd w:id="7"/>
    </w:p>
    <w:p w:rsidR="008B4A82" w14:paraId="019226D0" w14:textId="03F58530">
      <w:pPr>
        <w:spacing w:line="480" w:lineRule="auto"/>
      </w:pPr>
      <w:r>
        <w:tab/>
        <w:t xml:space="preserve">If an otherwise eligible </w:t>
      </w:r>
      <w:r>
        <w:rPr>
          <w:iCs/>
        </w:rPr>
        <w:t xml:space="preserve">Generator’s </w:t>
      </w:r>
      <w:r w:rsidR="00382C56">
        <w:rPr>
          <w:iCs/>
        </w:rPr>
        <w:t xml:space="preserve">or Aggregation’s </w:t>
      </w:r>
      <w:r>
        <w:t>average Actual Energy Injection in an RTD interval (</w:t>
      </w:r>
      <w:r>
        <w:rPr>
          <w:i/>
          <w:iCs/>
        </w:rPr>
        <w:t>i.e.</w:t>
      </w:r>
      <w:r>
        <w:t>, its Actual Energy Injections averaged over the RTD interval) is less than or equal to its penalty limit for under-generation value for that interval, as computed below, it shall not be eligible for Day-Ahead Margin Assurance Payments for that interval.</w:t>
      </w:r>
    </w:p>
    <w:p w:rsidR="008B4A82" w14:paraId="5EE7A5C5" w14:textId="1A0B4D0D">
      <w:pPr>
        <w:pStyle w:val="Bodypara"/>
      </w:pPr>
      <w:r>
        <w:t>The penalty limit for under-generation value is the tolerance described in Section 15.3A.1 of Rate Schedule 3-A of this ISO Services</w:t>
      </w:r>
      <w:r>
        <w:rPr>
          <w:i/>
          <w:iCs/>
        </w:rPr>
        <w:t xml:space="preserve"> </w:t>
      </w:r>
      <w:r>
        <w:t xml:space="preserve">Tariff, which is used in the calculation of the persistent under-generation charge applicable to Generators </w:t>
      </w:r>
      <w:r w:rsidR="00382C56">
        <w:t xml:space="preserve">and Aggregations </w:t>
      </w:r>
      <w:r>
        <w:t>that are not providing Regulation Service.</w:t>
      </w:r>
    </w:p>
    <w:p w:rsidR="008B4A82" w14:paraId="77CF56D9" w14:textId="77777777">
      <w:pPr>
        <w:pStyle w:val="Heading2"/>
      </w:pPr>
      <w:bookmarkStart w:id="8" w:name="_Toc261252306"/>
      <w:r>
        <w:t>25.5</w:t>
      </w:r>
      <w:r>
        <w:tab/>
        <w:t>Rules Applicable to Supplier Derates</w:t>
      </w:r>
      <w:bookmarkEnd w:id="8"/>
    </w:p>
    <w:p w:rsidR="008B4A82" w14:paraId="6843B7CB" w14:textId="2D980213">
      <w:pPr>
        <w:pStyle w:val="Bodypara"/>
      </w:pPr>
      <w:r>
        <w:t>Suppliers that request and are granted a derate of their real-time Operating Capacity, but that are</w:t>
      </w:r>
      <w:r>
        <w:rPr>
          <w:i/>
          <w:iCs/>
        </w:rPr>
        <w:t xml:space="preserve"> </w:t>
      </w:r>
      <w:r>
        <w:t>otherwise eligible to</w:t>
      </w:r>
      <w:r>
        <w:rPr>
          <w:i/>
          <w:iCs/>
        </w:rPr>
        <w:t xml:space="preserve"> </w:t>
      </w:r>
      <w:r>
        <w:t>receive Day-Ahead Margin Assurance Payments</w:t>
      </w:r>
      <w:r>
        <w:rPr>
          <w:i/>
          <w:iCs/>
        </w:rPr>
        <w:t xml:space="preserve"> </w:t>
      </w:r>
      <w:r>
        <w:t>may</w:t>
      </w:r>
      <w:r>
        <w:rPr>
          <w:i/>
          <w:iCs/>
        </w:rPr>
        <w:t xml:space="preserve"> </w:t>
      </w:r>
      <w:r>
        <w:t xml:space="preserve">receive a payment up to a Capacity level consistent with their revised Emergency Upper Operating Limit or Normal Upper Operating Limit, whichever is applicable.  The foregoing rule shall also apply to a Generator </w:t>
      </w:r>
      <w:r w:rsidR="00382C56">
        <w:t xml:space="preserve">or Aggregation </w:t>
      </w:r>
      <w:r>
        <w:t>otherwise eligible for a Day-Ahead Margin Assurance Payment in hours in which the ISO has derated the Generator’s</w:t>
      </w:r>
      <w:r w:rsidR="00382C56">
        <w:t xml:space="preserve"> or Aggregation’s</w:t>
      </w:r>
      <w:r>
        <w:t xml:space="preserve"> Operating Capacity </w:t>
      </w:r>
      <w:r>
        <w:rPr>
          <w:color w:val="000000"/>
        </w:rPr>
        <w:t xml:space="preserve">in order to reconcile the ISO’s dispatch with the Generator’s </w:t>
      </w:r>
      <w:r w:rsidR="00382C56">
        <w:t xml:space="preserve">or Aggregation's </w:t>
      </w:r>
      <w:r>
        <w:rPr>
          <w:color w:val="000000"/>
        </w:rPr>
        <w:t xml:space="preserve">actual output, or to address reliability concerns that arise because the Generator </w:t>
      </w:r>
      <w:r w:rsidR="00382C56">
        <w:t xml:space="preserve">or Aggregation </w:t>
      </w:r>
      <w:r>
        <w:rPr>
          <w:color w:val="000000"/>
        </w:rPr>
        <w:t xml:space="preserve">is not following Base Point Signals.  </w:t>
      </w:r>
      <w:r>
        <w:t>If a Supplier’s derated real-time Operating Capacity is lower than the sum of</w:t>
      </w:r>
      <w:r>
        <w:rPr>
          <w:i/>
          <w:iCs/>
        </w:rPr>
        <w:t xml:space="preserve"> </w:t>
      </w:r>
      <w:r>
        <w:t>its</w:t>
      </w:r>
      <w:r>
        <w:rPr>
          <w:i/>
          <w:iCs/>
        </w:rPr>
        <w:t xml:space="preserve"> </w:t>
      </w:r>
      <w:r>
        <w:t>Day-Ahead Energy, Regulation Services, and</w:t>
      </w:r>
      <w:r>
        <w:rPr>
          <w:i/>
          <w:iCs/>
        </w:rPr>
        <w:t xml:space="preserve"> </w:t>
      </w:r>
      <w:r>
        <w:t>Operating Reserve schedules then when the ISO conducts the calculations described</w:t>
      </w:r>
      <w:r>
        <w:rPr>
          <w:i/>
          <w:iCs/>
        </w:rPr>
        <w:t xml:space="preserve"> </w:t>
      </w:r>
      <w:r>
        <w:t xml:space="preserve">in Section 25.3 above, the DASen, </w:t>
      </w:r>
      <w:r>
        <w:t>DASeg</w:t>
      </w:r>
      <w:r>
        <w:t xml:space="preserve"> and </w:t>
      </w:r>
      <w:r>
        <w:t>DASres</w:t>
      </w:r>
      <w:r>
        <w:rPr>
          <w:vertAlign w:val="subscript"/>
        </w:rPr>
        <w:t>p</w:t>
      </w:r>
      <w:r>
        <w:t xml:space="preserve"> variables will be reduced by REDen, </w:t>
      </w:r>
      <w:r>
        <w:t>REDreg</w:t>
      </w:r>
      <w:r>
        <w:t xml:space="preserve"> and </w:t>
      </w:r>
      <w:r>
        <w:t>REDres</w:t>
      </w:r>
      <w:r>
        <w:rPr>
          <w:vertAlign w:val="subscript"/>
        </w:rPr>
        <w:t>p</w:t>
      </w:r>
      <w:r>
        <w:t xml:space="preserve"> respectively.  REDen, </w:t>
      </w:r>
      <w:r>
        <w:t>REDreg</w:t>
      </w:r>
      <w:r>
        <w:t xml:space="preserve"> and </w:t>
      </w:r>
      <w:r>
        <w:t>REDres</w:t>
      </w:r>
      <w:r>
        <w:rPr>
          <w:vertAlign w:val="subscript"/>
        </w:rPr>
        <w:t>p</w:t>
      </w:r>
      <w:r>
        <w:t xml:space="preserve"> shall be calculated using the formulas below:</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61CD46E6"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center"/>
          </w:tcPr>
          <w:p w:rsidR="008B4A82" w14:paraId="08EED56B"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8B4A82" w14:paraId="4D7E2836"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7BD97E40" w14:textId="77777777">
            <w:pPr>
              <w:pStyle w:val="equationtext"/>
              <w:tabs>
                <w:tab w:val="clear" w:pos="1800"/>
              </w:tabs>
              <w:ind w:left="0" w:firstLine="0"/>
              <w:rPr>
                <w:iCs w:val="0"/>
                <w:sz w:val="20"/>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RTUOL</m:t>
                            </m:r>
                          </m:e>
                          <m:sub>
                            <m:r>
                              <w:rPr>
                                <w:rFonts w:ascii="Cambria Math" w:hAnsi="Cambria Math"/>
                                <w:sz w:val="18"/>
                                <w:szCs w:val="20"/>
                              </w:rPr>
                              <m:t>iu</m:t>
                            </m:r>
                          </m:sub>
                        </m:sSub>
                        <m:r>
                          <w:rPr>
                            <w:rFonts w:ascii="Cambria Math" w:hAnsi="Cambria Math"/>
                            <w:sz w:val="18"/>
                            <w:szCs w:val="20"/>
                          </w:rPr>
                          <m:t>, 0</m:t>
                        </m:r>
                      </m:e>
                    </m:nary>
                  </m:e>
                </m:d>
              </m:oMath>
            </m:oMathPara>
          </w:p>
        </w:tc>
      </w:tr>
      <w:tr w14:paraId="1D92ACBE" w14:textId="77777777">
        <w:tblPrEx>
          <w:tblW w:w="9108" w:type="dxa"/>
          <w:tblLayout w:type="fixed"/>
          <w:tblLook w:val="04A0"/>
        </w:tblPrEx>
        <w:tc>
          <w:tcPr>
            <w:tcW w:w="1440" w:type="dxa"/>
            <w:vAlign w:val="center"/>
          </w:tcPr>
          <w:p w:rsidR="008B4A82" w14:paraId="1B25C3E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8B4A82" w14:paraId="12D8CF9B"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22A1359E" w14:textId="77777777">
            <w:pPr>
              <w:pStyle w:val="equationtext"/>
              <w:tabs>
                <w:tab w:val="clear" w:pos="1800"/>
              </w:tabs>
              <w:ind w:left="0" w:firstLine="0"/>
              <w:rPr>
                <w:iCs w:val="0"/>
                <w:sz w:val="18"/>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RTSen</m:t>
                        </m:r>
                      </m:e>
                      <m:sub>
                        <m:r>
                          <w:rPr>
                            <w:rFonts w:ascii="Cambria Math" w:hAnsi="Cambria Math"/>
                            <w:sz w:val="18"/>
                            <w:szCs w:val="20"/>
                          </w:rPr>
                          <m:t>iu</m:t>
                        </m:r>
                      </m:sub>
                    </m:sSub>
                    <m:r>
                      <w:rPr>
                        <w:rFonts w:ascii="Cambria Math" w:hAnsi="Cambria Math"/>
                        <w:sz w:val="18"/>
                        <w:szCs w:val="20"/>
                      </w:rPr>
                      <m:t>, 0</m:t>
                    </m:r>
                  </m:e>
                </m:d>
              </m:oMath>
            </m:oMathPara>
          </w:p>
        </w:tc>
      </w:tr>
      <w:tr w14:paraId="31459327" w14:textId="77777777">
        <w:tblPrEx>
          <w:tblW w:w="9108" w:type="dxa"/>
          <w:tblLayout w:type="fixed"/>
          <w:tblLook w:val="04A0"/>
        </w:tblPrEx>
        <w:tc>
          <w:tcPr>
            <w:tcW w:w="1440" w:type="dxa"/>
            <w:vAlign w:val="center"/>
          </w:tcPr>
          <w:p w:rsidR="008B4A82" w14:paraId="1EF9AD4C"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8B4A82" w14:paraId="6B79FFE5"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425AD260"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RTSreg</m:t>
                        </m:r>
                      </m:e>
                      <m:sub>
                        <m:r>
                          <w:rPr>
                            <w:rFonts w:ascii="Cambria Math" w:hAnsi="Cambria Math"/>
                            <w:sz w:val="18"/>
                            <w:szCs w:val="20"/>
                          </w:rPr>
                          <m:t>iu</m:t>
                        </m:r>
                      </m:sub>
                    </m:sSub>
                    <m:r>
                      <w:rPr>
                        <w:rFonts w:ascii="Cambria Math" w:hAnsi="Cambria Math"/>
                        <w:sz w:val="18"/>
                        <w:szCs w:val="20"/>
                      </w:rPr>
                      <m:t>, 0</m:t>
                    </m:r>
                  </m:e>
                </m:d>
              </m:oMath>
            </m:oMathPara>
          </w:p>
        </w:tc>
      </w:tr>
      <w:tr w14:paraId="79F69280" w14:textId="77777777">
        <w:tblPrEx>
          <w:tblW w:w="9108" w:type="dxa"/>
          <w:tblLayout w:type="fixed"/>
          <w:tblLook w:val="04A0"/>
        </w:tblPrEx>
        <w:tc>
          <w:tcPr>
            <w:tcW w:w="1440" w:type="dxa"/>
            <w:vAlign w:val="center"/>
          </w:tcPr>
          <w:p w:rsidR="008B4A82" w14:paraId="552B16A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8B4A82" w14:paraId="71121768"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5E18D6D5"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RTSres</m:t>
                        </m:r>
                      </m:e>
                      <m:sub>
                        <m:r>
                          <w:rPr>
                            <w:rFonts w:ascii="Cambria Math" w:hAnsi="Cambria Math"/>
                            <w:sz w:val="18"/>
                            <w:szCs w:val="20"/>
                          </w:rPr>
                          <m:t>iup</m:t>
                        </m:r>
                      </m:sub>
                    </m:sSub>
                    <m:r>
                      <w:rPr>
                        <w:rFonts w:ascii="Cambria Math" w:hAnsi="Cambria Math"/>
                        <w:sz w:val="18"/>
                        <w:szCs w:val="20"/>
                      </w:rPr>
                      <m:t>, 0</m:t>
                    </m:r>
                  </m:e>
                </m:d>
              </m:oMath>
            </m:oMathPara>
          </w:p>
        </w:tc>
      </w:tr>
      <w:tr w14:paraId="49196A9F" w14:textId="77777777">
        <w:tblPrEx>
          <w:tblW w:w="9108" w:type="dxa"/>
          <w:tblLayout w:type="fixed"/>
          <w:tblLook w:val="04A0"/>
        </w:tblPrEx>
        <w:tc>
          <w:tcPr>
            <w:tcW w:w="1440" w:type="dxa"/>
            <w:vAlign w:val="center"/>
          </w:tcPr>
          <w:p w:rsidR="008B4A82" w14:paraId="035F32A3"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8B4A82" w14:paraId="76264DAF"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367F34CD"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r>
                      <m:rPr>
                        <m:nor/>
                      </m:rPr>
                      <w:rPr>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74B7B851" w14:textId="77777777">
        <w:tblPrEx>
          <w:tblW w:w="9108" w:type="dxa"/>
          <w:tblLayout w:type="fixed"/>
          <w:tblLook w:val="04A0"/>
        </w:tblPrEx>
        <w:tc>
          <w:tcPr>
            <w:tcW w:w="1440" w:type="dxa"/>
            <w:vAlign w:val="center"/>
          </w:tcPr>
          <w:p w:rsidR="008B4A82" w14:paraId="6F1C40E8"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8B4A82" w14:paraId="29F2FABF"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698A2B9B"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r>
                      <m:rPr>
                        <m:nor/>
                      </m:rPr>
                      <w:rPr>
                        <w:rFonts w:ascii="Cambria Math" w:hAnsi="Cambria Math"/>
                        <w:iCs w:val="0"/>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12C25113" w14:textId="77777777">
        <w:tblPrEx>
          <w:tblW w:w="9108" w:type="dxa"/>
          <w:tblLayout w:type="fixed"/>
          <w:tblLook w:val="04A0"/>
        </w:tblPrEx>
        <w:tc>
          <w:tcPr>
            <w:tcW w:w="1440" w:type="dxa"/>
            <w:vAlign w:val="center"/>
          </w:tcPr>
          <w:p w:rsidR="008B4A82" w14:paraId="4726E18E"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8B4A82" w14:paraId="39A7CE3E"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759FE933"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f>
                      <m:fPr>
                        <m:type m:val="lin"/>
                        <m:ctrlPr>
                          <w:rPr>
                            <w:rFonts w:ascii="Cambria Math" w:hAnsi="Cambria Math"/>
                            <w:i/>
                            <w:iCs w:val="0"/>
                            <w:sz w:val="18"/>
                            <w:szCs w:val="20"/>
                          </w:rPr>
                        </m:ctrlPr>
                      </m:fPr>
                      <m:num>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num>
                      <m:den>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e>
                            </m:nary>
                          </m:e>
                        </m:d>
                      </m:den>
                    </m:f>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bl>
    <w:p w:rsidR="008B4A82" w14:paraId="43AD1002" w14:textId="77777777">
      <w:pPr>
        <w:pStyle w:val="Bodypara"/>
        <w:ind w:firstLine="0"/>
      </w:pPr>
      <w:r>
        <w:tab/>
        <w:t>where:</w:t>
      </w:r>
    </w:p>
    <w:p w:rsidR="008B4A82" w14:paraId="614BE8DA" w14:textId="77777777">
      <w:pPr>
        <w:pStyle w:val="equationtext"/>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1532FD8E"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B4A82" w14:paraId="3830E20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RTUOL</m:t>
                    </m:r>
                  </m:e>
                  <m:sub>
                    <m:r>
                      <w:rPr>
                        <w:rFonts w:ascii="Cambria Math" w:hAnsi="Cambria Math"/>
                        <w:sz w:val="20"/>
                        <w:szCs w:val="20"/>
                      </w:rPr>
                      <m:t>iu</m:t>
                    </m:r>
                  </m:sub>
                </m:sSub>
              </m:oMath>
            </m:oMathPara>
          </w:p>
        </w:tc>
        <w:tc>
          <w:tcPr>
            <w:tcW w:w="270" w:type="dxa"/>
          </w:tcPr>
          <w:p w:rsidR="008B4A82" w14:paraId="465B7FBB"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F3FFF54" w14:textId="77777777">
            <w:pPr>
              <w:pStyle w:val="equationtext"/>
              <w:tabs>
                <w:tab w:val="clear" w:pos="1800"/>
              </w:tabs>
              <w:ind w:left="0" w:firstLine="0"/>
              <w:rPr>
                <w:iCs w:val="0"/>
                <w:sz w:val="20"/>
                <w:szCs w:val="20"/>
              </w:rPr>
            </w:pPr>
            <w:r>
              <w:rPr>
                <w:iCs w:val="0"/>
                <w:sz w:val="20"/>
                <w:szCs w:val="20"/>
              </w:rPr>
              <w:t xml:space="preserve">The real-time Emergency Upper Operating Limit or Normal Upper Operating Limit whichever is applicable of Supplier </w:t>
            </w:r>
            <w:r>
              <w:rPr>
                <w:i/>
                <w:iCs w:val="0"/>
                <w:sz w:val="20"/>
                <w:szCs w:val="20"/>
              </w:rPr>
              <w:t>u</w:t>
            </w:r>
            <w:r>
              <w:rPr>
                <w:iCs w:val="0"/>
                <w:sz w:val="20"/>
                <w:szCs w:val="20"/>
              </w:rPr>
              <w:t xml:space="preserve"> in interval </w:t>
            </w:r>
            <w:r>
              <w:rPr>
                <w:i/>
                <w:iCs w:val="0"/>
                <w:sz w:val="20"/>
                <w:szCs w:val="20"/>
              </w:rPr>
              <w:t>i</w:t>
            </w:r>
          </w:p>
        </w:tc>
      </w:tr>
      <w:tr w14:paraId="13DBE89E" w14:textId="77777777">
        <w:tblPrEx>
          <w:tblW w:w="9108" w:type="dxa"/>
          <w:tblLayout w:type="fixed"/>
          <w:tblLook w:val="04A0"/>
        </w:tblPrEx>
        <w:tc>
          <w:tcPr>
            <w:tcW w:w="1440" w:type="dxa"/>
          </w:tcPr>
          <w:p w:rsidR="008B4A82" w14:paraId="6035E15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8B4A82" w14:paraId="0E139025"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1F8D8960" w14:textId="77777777">
            <w:pPr>
              <w:pStyle w:val="equationtext"/>
              <w:tabs>
                <w:tab w:val="clear" w:pos="1800"/>
              </w:tabs>
              <w:ind w:left="0" w:firstLine="0"/>
              <w:rPr>
                <w:iCs w:val="0"/>
                <w:sz w:val="18"/>
                <w:szCs w:val="20"/>
              </w:rPr>
            </w:pPr>
            <w:r>
              <w:rPr>
                <w:iCs w:val="0"/>
                <w:sz w:val="18"/>
                <w:szCs w:val="20"/>
              </w:rPr>
              <w:t xml:space="preserve">The total amount in MW that Day-Ahead schedules need to be reduced to account for the derate of Supplier </w:t>
            </w:r>
            <w:r>
              <w:rPr>
                <w:i/>
                <w:iCs w:val="0"/>
                <w:sz w:val="18"/>
                <w:szCs w:val="20"/>
              </w:rPr>
              <w:t>u</w:t>
            </w:r>
            <w:r>
              <w:rPr>
                <w:iCs w:val="0"/>
                <w:sz w:val="18"/>
                <w:szCs w:val="20"/>
              </w:rPr>
              <w:t xml:space="preserve"> in interval </w:t>
            </w:r>
            <w:r>
              <w:rPr>
                <w:i/>
                <w:iCs w:val="0"/>
                <w:sz w:val="18"/>
                <w:szCs w:val="20"/>
              </w:rPr>
              <w:t>i</w:t>
            </w:r>
          </w:p>
        </w:tc>
      </w:tr>
      <w:tr w14:paraId="698E413A" w14:textId="77777777">
        <w:tblPrEx>
          <w:tblW w:w="9108" w:type="dxa"/>
          <w:tblLayout w:type="fixed"/>
          <w:tblLook w:val="04A0"/>
        </w:tblPrEx>
        <w:tc>
          <w:tcPr>
            <w:tcW w:w="1440" w:type="dxa"/>
          </w:tcPr>
          <w:p w:rsidR="008B4A82" w14:paraId="7677A679"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8B4A82" w14:paraId="673A6F2F"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47C84866" w14:textId="77777777">
            <w:pPr>
              <w:pStyle w:val="equationtext"/>
              <w:tabs>
                <w:tab w:val="clear" w:pos="1800"/>
              </w:tabs>
              <w:ind w:left="0" w:firstLine="0"/>
              <w:rPr>
                <w:sz w:val="18"/>
                <w:szCs w:val="20"/>
              </w:rPr>
            </w:pPr>
            <w:r>
              <w:rPr>
                <w:sz w:val="18"/>
                <w:szCs w:val="20"/>
              </w:rPr>
              <w:t xml:space="preserve">The amount in MW that the Day-Ahead Energy schedule is reduced for the purposes of calculating the Day-Ahead Margin Assurance Payment for Supplier </w:t>
            </w:r>
            <w:r>
              <w:rPr>
                <w:i/>
                <w:sz w:val="18"/>
                <w:szCs w:val="20"/>
              </w:rPr>
              <w:t>u</w:t>
            </w:r>
            <w:r>
              <w:rPr>
                <w:sz w:val="18"/>
                <w:szCs w:val="20"/>
              </w:rPr>
              <w:t xml:space="preserve"> in interval </w:t>
            </w:r>
            <w:r>
              <w:rPr>
                <w:i/>
                <w:sz w:val="18"/>
                <w:szCs w:val="20"/>
              </w:rPr>
              <w:t>i</w:t>
            </w:r>
          </w:p>
        </w:tc>
      </w:tr>
      <w:tr w14:paraId="7DB5100D" w14:textId="77777777">
        <w:tblPrEx>
          <w:tblW w:w="9108" w:type="dxa"/>
          <w:tblLayout w:type="fixed"/>
          <w:tblLook w:val="04A0"/>
        </w:tblPrEx>
        <w:tc>
          <w:tcPr>
            <w:tcW w:w="1440" w:type="dxa"/>
          </w:tcPr>
          <w:p w:rsidR="008B4A82" w14:paraId="1169358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8B4A82" w14:paraId="0C380FC8"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5DC22FEA" w14:textId="77777777">
            <w:pPr>
              <w:pStyle w:val="equationtext"/>
              <w:tabs>
                <w:tab w:val="clear" w:pos="1800"/>
              </w:tabs>
              <w:ind w:left="0" w:firstLine="0"/>
              <w:rPr>
                <w:sz w:val="18"/>
                <w:szCs w:val="20"/>
              </w:rPr>
            </w:pPr>
            <w:r>
              <w:rPr>
                <w:sz w:val="18"/>
                <w:szCs w:val="20"/>
              </w:rPr>
              <w:t xml:space="preserve">The amount in MW that Supplier </w:t>
            </w:r>
            <w:r>
              <w:rPr>
                <w:i/>
                <w:sz w:val="18"/>
                <w:szCs w:val="20"/>
              </w:rPr>
              <w:t>u</w:t>
            </w:r>
            <w:r>
              <w:rPr>
                <w:sz w:val="18"/>
                <w:szCs w:val="20"/>
              </w:rPr>
              <w:t xml:space="preserve">’s Day-Ahead Regulation Service schedule is reduced for the purposes of calculating the Day-Ahead Margin Assurance Payment in interval </w:t>
            </w:r>
            <w:r>
              <w:rPr>
                <w:i/>
                <w:sz w:val="18"/>
                <w:szCs w:val="20"/>
              </w:rPr>
              <w:t>i</w:t>
            </w:r>
          </w:p>
        </w:tc>
      </w:tr>
      <w:tr w14:paraId="4BCCB46A" w14:textId="77777777">
        <w:tblPrEx>
          <w:tblW w:w="9108" w:type="dxa"/>
          <w:tblLayout w:type="fixed"/>
          <w:tblLook w:val="04A0"/>
        </w:tblPrEx>
        <w:tc>
          <w:tcPr>
            <w:tcW w:w="1440" w:type="dxa"/>
          </w:tcPr>
          <w:p w:rsidR="008B4A82" w14:paraId="2635C01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8B4A82" w14:paraId="771694C1"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855B9FB" w14:textId="77777777">
            <w:pPr>
              <w:pStyle w:val="equationtext"/>
              <w:tabs>
                <w:tab w:val="clear" w:pos="1800"/>
              </w:tabs>
              <w:ind w:left="0" w:firstLine="0"/>
              <w:rPr>
                <w:iCs w:val="0"/>
                <w:sz w:val="18"/>
                <w:szCs w:val="20"/>
              </w:rPr>
            </w:pPr>
            <w:r>
              <w:rPr>
                <w:iCs w:val="0"/>
                <w:sz w:val="18"/>
                <w:szCs w:val="20"/>
              </w:rPr>
              <w:t xml:space="preserve">The amount in MW that Supplier </w:t>
            </w:r>
            <w:r>
              <w:rPr>
                <w:i/>
                <w:iCs w:val="0"/>
                <w:sz w:val="18"/>
                <w:szCs w:val="20"/>
              </w:rPr>
              <w:t>u</w:t>
            </w:r>
            <w:r>
              <w:rPr>
                <w:iCs w:val="0"/>
                <w:sz w:val="18"/>
                <w:szCs w:val="20"/>
              </w:rPr>
              <w:t xml:space="preserve">’s Day-Ahead Operating Reserve schedule for Operating Reserves product </w:t>
            </w:r>
            <w:r>
              <w:rPr>
                <w:i/>
                <w:iCs w:val="0"/>
                <w:sz w:val="18"/>
                <w:szCs w:val="20"/>
              </w:rPr>
              <w:t>p</w:t>
            </w:r>
            <w:r>
              <w:rPr>
                <w:iCs w:val="0"/>
                <w:sz w:val="18"/>
                <w:szCs w:val="20"/>
              </w:rPr>
              <w:t xml:space="preserve"> is reduced for the </w:t>
            </w:r>
            <w:r>
              <w:rPr>
                <w:iCs w:val="0"/>
                <w:sz w:val="18"/>
                <w:szCs w:val="20"/>
              </w:rPr>
              <w:t>purposes</w:t>
            </w:r>
            <w:r>
              <w:rPr>
                <w:iCs w:val="0"/>
                <w:sz w:val="18"/>
                <w:szCs w:val="20"/>
              </w:rPr>
              <w:t xml:space="preserve"> of calculating the Day-Ahead Margin Assurance Payment in interval </w:t>
            </w:r>
            <w:r>
              <w:rPr>
                <w:i/>
                <w:iCs w:val="0"/>
                <w:sz w:val="18"/>
                <w:szCs w:val="20"/>
              </w:rPr>
              <w:t>i</w:t>
            </w:r>
          </w:p>
        </w:tc>
      </w:tr>
      <w:tr w14:paraId="55C162EC" w14:textId="77777777">
        <w:tblPrEx>
          <w:tblW w:w="9108" w:type="dxa"/>
          <w:tblLayout w:type="fixed"/>
          <w:tblLook w:val="04A0"/>
        </w:tblPrEx>
        <w:tc>
          <w:tcPr>
            <w:tcW w:w="1440" w:type="dxa"/>
          </w:tcPr>
          <w:p w:rsidR="008B4A82" w14:paraId="0732255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8B4A82" w14:paraId="29D05F57"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9E65E6E"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Energy schedule could be reduced for the 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r w14:paraId="7BA56D6C" w14:textId="77777777">
        <w:tblPrEx>
          <w:tblW w:w="9108" w:type="dxa"/>
          <w:tblLayout w:type="fixed"/>
          <w:tblLook w:val="04A0"/>
        </w:tblPrEx>
        <w:tc>
          <w:tcPr>
            <w:tcW w:w="1440" w:type="dxa"/>
          </w:tcPr>
          <w:p w:rsidR="008B4A82" w14:paraId="76FCE41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8B4A82" w14:paraId="5EC6C621"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0AABCB5D"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Regulation Service schedule could be reduced for the </w:t>
            </w:r>
            <w:r>
              <w:rPr>
                <w:iCs w:val="0"/>
                <w:sz w:val="18"/>
                <w:szCs w:val="20"/>
              </w:rPr>
              <w:t>purposes</w:t>
            </w:r>
            <w:r>
              <w:rPr>
                <w:iCs w:val="0"/>
                <w:sz w:val="18"/>
                <w:szCs w:val="20"/>
              </w:rPr>
              <w:t xml:space="preserve"> of calculating the Day-Ah</w:t>
            </w:r>
            <w:r>
              <w:rPr>
                <w:sz w:val="18"/>
                <w:szCs w:val="20"/>
              </w:rPr>
              <w:t>e</w:t>
            </w:r>
            <w:r>
              <w:rPr>
                <w:iCs w:val="0"/>
                <w:sz w:val="18"/>
                <w:szCs w:val="20"/>
              </w:rPr>
              <w:t xml:space="preserve">ad Margin Assurance Payment for Supplier </w:t>
            </w:r>
            <w:r>
              <w:rPr>
                <w:i/>
                <w:iCs w:val="0"/>
                <w:sz w:val="18"/>
                <w:szCs w:val="20"/>
              </w:rPr>
              <w:t>u</w:t>
            </w:r>
            <w:r>
              <w:rPr>
                <w:iCs w:val="0"/>
                <w:sz w:val="18"/>
                <w:szCs w:val="20"/>
              </w:rPr>
              <w:t xml:space="preserve"> in interval </w:t>
            </w:r>
            <w:r>
              <w:rPr>
                <w:i/>
                <w:iCs w:val="0"/>
                <w:sz w:val="18"/>
                <w:szCs w:val="20"/>
              </w:rPr>
              <w:t>i</w:t>
            </w:r>
          </w:p>
        </w:tc>
      </w:tr>
      <w:tr w14:paraId="18A64045" w14:textId="77777777">
        <w:tblPrEx>
          <w:tblW w:w="9108" w:type="dxa"/>
          <w:tblLayout w:type="fixed"/>
          <w:tblLook w:val="04A0"/>
        </w:tblPrEx>
        <w:tc>
          <w:tcPr>
            <w:tcW w:w="1440" w:type="dxa"/>
          </w:tcPr>
          <w:p w:rsidR="008B4A82" w14:paraId="1463C2B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8B4A82" w14:paraId="5232CC43"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01D30CFF" w14:textId="77777777">
            <w:pPr>
              <w:pStyle w:val="equationtext"/>
              <w:tabs>
                <w:tab w:val="clear" w:pos="1800"/>
              </w:tabs>
              <w:ind w:left="0" w:firstLine="0"/>
              <w:rPr>
                <w:i/>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Operating Reserve Schedule for Operating Reserve product </w:t>
            </w:r>
            <w:r>
              <w:rPr>
                <w:i/>
                <w:iCs w:val="0"/>
                <w:sz w:val="18"/>
                <w:szCs w:val="20"/>
              </w:rPr>
              <w:t>p</w:t>
            </w:r>
            <w:r>
              <w:rPr>
                <w:iCs w:val="0"/>
                <w:sz w:val="18"/>
                <w:szCs w:val="20"/>
              </w:rPr>
              <w:t xml:space="preserve"> could be reduced for the</w:t>
            </w:r>
            <w:r>
              <w:rPr>
                <w:sz w:val="18"/>
                <w:szCs w:val="20"/>
              </w:rPr>
              <w:t xml:space="preserve"> </w:t>
            </w:r>
            <w:r>
              <w:rPr>
                <w:iCs w:val="0"/>
                <w:sz w:val="18"/>
                <w:szCs w:val="20"/>
              </w:rPr>
              <w:t xml:space="preserve">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bl>
    <w:p w:rsidR="008B4A82" w14:paraId="3CFC624C" w14:textId="77777777">
      <w:pPr>
        <w:pStyle w:val="equationtext"/>
      </w:pPr>
    </w:p>
    <w:p w:rsidR="008B4A82" w14:paraId="3953D62D" w14:textId="77777777">
      <w:pPr>
        <w:pStyle w:val="Bodypara"/>
      </w:pPr>
      <w:r>
        <w:t>All other variables are as defined above.</w:t>
      </w:r>
    </w:p>
    <w:p w:rsidR="008B4A82" w14:paraId="604C4AA5" w14:textId="77777777">
      <w:pPr>
        <w:pStyle w:val="Heading2"/>
      </w:pPr>
      <w:bookmarkStart w:id="9" w:name="_Toc261252307"/>
      <w:r>
        <w:t xml:space="preserve"> 25.6</w:t>
      </w:r>
      <w:r>
        <w:tab/>
        <w:t>Import Curtailment Guarantee Payments</w:t>
      </w:r>
    </w:p>
    <w:p w:rsidR="008B4A82" w14:paraId="69D89506" w14:textId="77777777">
      <w:pPr>
        <w:pStyle w:val="Heading3"/>
        <w:rPr>
          <w:u w:val="double"/>
        </w:rPr>
      </w:pPr>
      <w:r>
        <w:t xml:space="preserve">25.6.1 </w:t>
      </w:r>
      <w:r>
        <w:tab/>
        <w:t>Eligibility for an Import Curtailment Guarantee Payment for an Import Curtailed by the ISO</w:t>
      </w:r>
    </w:p>
    <w:p w:rsidR="008B4A82" w14:paraId="34D9F566" w14:textId="77777777">
      <w:pPr>
        <w:pStyle w:val="Bodypara"/>
      </w:pPr>
      <w:r>
        <w:t xml:space="preserve">In the event that the Energy injections for an Import scheduled by </w:t>
      </w:r>
      <w:r>
        <w:rPr>
          <w:iCs/>
        </w:rPr>
        <w:t xml:space="preserve">RTC or RTD </w:t>
      </w:r>
      <w:r>
        <w:t xml:space="preserve">at a Proxy Generator Bus, other than a CTS Enabled Proxy Generator Bus, are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for an Import Curtailment Guarantee Payment as determined in Section 25.6.2 of this Attachment J.  Suppliers scheduling Imports at CTS Enabled Proxy Generator Buses shall not be eligible for Import Curtailment Guarantee payments for those Transactions.</w:t>
      </w:r>
    </w:p>
    <w:p w:rsidR="008B4A82" w14:paraId="28A82B50" w14:textId="77777777">
      <w:pPr>
        <w:pStyle w:val="Heading3"/>
      </w:pPr>
      <w:r>
        <w:t xml:space="preserve">25.6.2 </w:t>
      </w:r>
      <w:r>
        <w:tab/>
        <w:t>Formula for an Import Curtailment Guarantee Payment for a Supplier Whose Import Was Curtailed by the ISO</w:t>
      </w:r>
    </w:p>
    <w:p w:rsidR="008B4A82" w14:paraId="56926D0F" w14:textId="77777777">
      <w:pPr>
        <w:pStyle w:val="Bodypara"/>
      </w:pPr>
      <w:r>
        <w:t>A Supplier eligible under Section 25.6.1 of this Attachment J shall receive an Import Curtailment Guarantee Payment for its curtailed Energy injections that is equal to the daily sum of the hourly payments which, for each hour of Import t, is calculated as the greater of the interval payments determined for the hour or zero as seen in the formula below.</w:t>
      </w:r>
    </w:p>
    <w:p w:rsidR="008B4A82" w14:paraId="4A6EBFDA" w14:textId="77777777">
      <w:pPr>
        <w:widowControl w:val="0"/>
      </w:pPr>
      <w:r>
        <w:t xml:space="preserve">Import Curtailment Guarantee Payment to Supplier u in association with Import t = </w:t>
      </w:r>
    </w:p>
    <w:p w:rsidR="008B4A82" w14:paraId="15C2DB26" w14:textId="77777777">
      <w:pPr>
        <w:widowControl w:val="0"/>
      </w:pPr>
    </w:p>
    <w:p w:rsidR="008B4A82" w14:paraId="6F5E092F" w14:textId="77777777">
      <w:pPr>
        <w:widowControl w:val="0"/>
      </w:pPr>
      <m:oMathPara>
        <m:oMath>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r>
                <w:rPr>
                  <w:rFonts w:ascii="Cambria Math" w:hAnsi="Cambria Math"/>
                </w:rPr>
                <m:t>max</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H</m:t>
                      </m:r>
                    </m:sup>
                    <m:e>
                      <m:d>
                        <m:dPr>
                          <m:ctrlPr>
                            <w:rPr>
                              <w:rFonts w:ascii="Cambria Math" w:hAnsi="Cambria Math"/>
                              <w:i/>
                            </w:rPr>
                          </m:ctrlPr>
                        </m:dPr>
                        <m:e>
                          <m:sSub>
                            <m:sSubPr>
                              <m:ctrlPr>
                                <w:rPr>
                                  <w:rFonts w:ascii="Cambria Math" w:hAnsi="Cambria Math"/>
                                  <w:i/>
                                </w:rPr>
                              </m:ctrlPr>
                            </m:sSubPr>
                            <m:e>
                              <m:r>
                                <w:rPr>
                                  <w:rFonts w:ascii="Cambria Math" w:hAnsi="Cambria Math"/>
                                </w:rPr>
                                <m:t>RTLBMP</m:t>
                              </m:r>
                            </m:e>
                            <m:sub>
                              <m:r>
                                <w:rPr>
                                  <w:rFonts w:ascii="Cambria Math" w:hAnsi="Cambria Math"/>
                                </w:rPr>
                                <m:t>ti</m:t>
                              </m:r>
                            </m:sub>
                          </m:sSub>
                          <m:r>
                            <w:rPr>
                              <w:rFonts w:ascii="Cambria Math" w:hAnsi="Cambria Math"/>
                            </w:rPr>
                            <m:t>- max</m:t>
                          </m:r>
                          <m:d>
                            <m:dPr>
                              <m:ctrlPr>
                                <w:rPr>
                                  <w:rFonts w:ascii="Cambria Math" w:hAnsi="Cambria Math"/>
                                  <w:i/>
                                </w:rPr>
                              </m:ctrlPr>
                            </m:dPr>
                            <m:e>
                              <m:sSub>
                                <m:sSubPr>
                                  <m:ctrlPr>
                                    <w:rPr>
                                      <w:rFonts w:ascii="Cambria Math" w:hAnsi="Cambria Math"/>
                                      <w:i/>
                                    </w:rPr>
                                  </m:ctrlPr>
                                </m:sSubPr>
                                <m:e>
                                  <m:r>
                                    <w:rPr>
                                      <w:rFonts w:ascii="Cambria Math" w:hAnsi="Cambria Math"/>
                                    </w:rPr>
                                    <m:t>DADecBid</m:t>
                                  </m:r>
                                </m:e>
                                <m:sub>
                                  <m:r>
                                    <w:rPr>
                                      <w:rFonts w:ascii="Cambria Math" w:hAnsi="Cambria Math"/>
                                    </w:rPr>
                                    <m:t>ti</m:t>
                                  </m:r>
                                </m:sub>
                              </m:sSub>
                              <m:r>
                                <w:rPr>
                                  <w:rFonts w:ascii="Cambria Math" w:hAnsi="Cambria Math"/>
                                </w:rPr>
                                <m:t>, 0</m:t>
                              </m:r>
                            </m:e>
                          </m:d>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DAen</m:t>
                              </m:r>
                            </m:e>
                            <m:sub>
                              <m:r>
                                <w:rPr>
                                  <w:rFonts w:ascii="Cambria Math" w:hAnsi="Cambria Math"/>
                                </w:rPr>
                                <m:t>ti</m:t>
                              </m:r>
                            </m:sub>
                          </m:sSub>
                          <m:r>
                            <w:rPr>
                              <w:rFonts w:ascii="Cambria Math" w:hAnsi="Cambria Math"/>
                            </w:rPr>
                            <m:t xml:space="preserve">- </m:t>
                          </m:r>
                          <m:sSub>
                            <m:sSubPr>
                              <m:ctrlPr>
                                <w:rPr>
                                  <w:rFonts w:ascii="Cambria Math" w:hAnsi="Cambria Math"/>
                                  <w:i/>
                                </w:rPr>
                              </m:ctrlPr>
                            </m:sSubPr>
                            <m:e>
                              <m:r>
                                <w:rPr>
                                  <w:rFonts w:ascii="Cambria Math" w:hAnsi="Cambria Math"/>
                                </w:rPr>
                                <m:t>RTDen</m:t>
                              </m:r>
                            </m:e>
                            <m:sub>
                              <m:r>
                                <w:rPr>
                                  <w:rFonts w:ascii="Cambria Math" w:hAnsi="Cambria Math"/>
                                </w:rPr>
                                <m:t>ti</m:t>
                              </m:r>
                            </m:sub>
                          </m:sSub>
                        </m:e>
                      </m:d>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r>
                    <w:rPr>
                      <w:rFonts w:ascii="Cambria Math" w:hAnsi="Cambria Math"/>
                    </w:rPr>
                    <m:t>, 0</m:t>
                  </m:r>
                </m:e>
              </m:d>
            </m:e>
          </m:nary>
        </m:oMath>
      </m:oMathPara>
    </w:p>
    <w:p w:rsidR="008B4A82" w14:paraId="05933BC0" w14:textId="77777777">
      <w:pPr>
        <w:widowControl w:val="0"/>
      </w:pPr>
    </w:p>
    <w:p w:rsidR="008B4A82" w14:paraId="7C67E8F9" w14:textId="77777777">
      <w:pPr>
        <w:widowControl w:val="0"/>
      </w:pPr>
    </w:p>
    <w:p w:rsidR="008B4A82" w14:paraId="39618973" w14:textId="77777777">
      <w:pPr>
        <w:widowControl w:val="0"/>
      </w:pPr>
      <w:r>
        <w:t>Where</w:t>
      </w:r>
    </w:p>
    <w:p w:rsidR="008B4A82" w14:paraId="6DE2D751" w14:textId="77777777">
      <w:pPr>
        <w:widowControl w:val="0"/>
      </w:pPr>
    </w:p>
    <w:bookmarkEnd w:id="9"/>
    <w:p w:rsidR="008B4A82" w14:paraId="326B36C3" w14:textId="77777777">
      <w:pPr>
        <w:widowControl w:val="0"/>
        <w:tabs>
          <w:tab w:val="left" w:pos="1260"/>
          <w:tab w:val="left" w:pos="1620"/>
        </w:tabs>
        <w:ind w:left="1620" w:hanging="1620"/>
      </w:pPr>
      <w:r>
        <w:rPr>
          <w:i/>
        </w:rPr>
        <w:t>N</w:t>
      </w:r>
      <w:r>
        <w:tab/>
        <w:t xml:space="preserve">=   the number of hours in the Dispatch Day </w:t>
      </w:r>
    </w:p>
    <w:p w:rsidR="008B4A82" w14:paraId="5620A5E3" w14:textId="77777777">
      <w:pPr>
        <w:widowControl w:val="0"/>
        <w:tabs>
          <w:tab w:val="left" w:pos="1260"/>
          <w:tab w:val="left" w:pos="1620"/>
        </w:tabs>
        <w:ind w:left="1620" w:hanging="1620"/>
      </w:pPr>
    </w:p>
    <w:p w:rsidR="008B4A82" w14:paraId="3D88E782" w14:textId="77777777">
      <w:pPr>
        <w:widowControl w:val="0"/>
        <w:tabs>
          <w:tab w:val="left" w:pos="1260"/>
          <w:tab w:val="left" w:pos="1620"/>
        </w:tabs>
        <w:ind w:left="1620" w:hanging="1620"/>
      </w:pPr>
      <w:r>
        <w:rPr>
          <w:i/>
        </w:rPr>
        <w:t>H</w:t>
      </w:r>
      <w:r>
        <w:tab/>
        <w:t xml:space="preserve">=    the number of intervals in hour </w:t>
      </w:r>
      <w:r>
        <w:rPr>
          <w:i/>
        </w:rPr>
        <w:t>h</w:t>
      </w:r>
    </w:p>
    <w:p w:rsidR="008B4A82" w14:paraId="48262B3C" w14:textId="77777777">
      <w:pPr>
        <w:widowControl w:val="0"/>
        <w:tabs>
          <w:tab w:val="left" w:pos="1260"/>
          <w:tab w:val="left" w:pos="1620"/>
        </w:tabs>
        <w:ind w:left="1620" w:hanging="1620"/>
      </w:pPr>
    </w:p>
    <w:p w:rsidR="008B4A82" w14:paraId="7B5581CC" w14:textId="77777777">
      <w:pPr>
        <w:widowControl w:val="0"/>
        <w:tabs>
          <w:tab w:val="left" w:pos="1260"/>
          <w:tab w:val="left" w:pos="1620"/>
        </w:tabs>
        <w:ind w:left="1620" w:hanging="1620"/>
      </w:pPr>
      <w:r>
        <w:rPr>
          <w:i/>
        </w:rPr>
        <w:t>i</w:t>
      </w:r>
      <w:r>
        <w:tab/>
        <w:t>=</w:t>
      </w:r>
      <w:r>
        <w:tab/>
        <w:t xml:space="preserve">the relevant interval in hour </w:t>
      </w:r>
      <w:r>
        <w:rPr>
          <w:i/>
        </w:rPr>
        <w:t>h</w:t>
      </w:r>
      <w:r>
        <w:t>;</w:t>
      </w:r>
    </w:p>
    <w:p w:rsidR="008B4A82" w14:paraId="1A61699F" w14:textId="77777777">
      <w:pPr>
        <w:widowControl w:val="0"/>
        <w:tabs>
          <w:tab w:val="left" w:pos="1260"/>
          <w:tab w:val="left" w:pos="1620"/>
        </w:tabs>
        <w:ind w:left="1620" w:hanging="1620"/>
      </w:pPr>
    </w:p>
    <w:p w:rsidR="008B4A82" w14:paraId="261DABA4" w14:textId="77777777">
      <w:pPr>
        <w:widowControl w:val="0"/>
        <w:tabs>
          <w:tab w:val="left" w:pos="1260"/>
          <w:tab w:val="left" w:pos="1620"/>
        </w:tabs>
        <w:ind w:left="1620" w:hanging="1620"/>
      </w:pPr>
      <w:r>
        <w:rPr>
          <w:i/>
        </w:rPr>
        <w:t>S</w:t>
      </w:r>
      <w:r>
        <w:rPr>
          <w:i/>
          <w:vertAlign w:val="subscript"/>
        </w:rPr>
        <w:t>i</w:t>
      </w:r>
      <w:r>
        <w:tab/>
        <w:t>=</w:t>
      </w:r>
      <w:r>
        <w:tab/>
        <w:t xml:space="preserve">number of seconds in interval </w:t>
      </w:r>
      <w:r>
        <w:rPr>
          <w:i/>
        </w:rPr>
        <w:t>i</w:t>
      </w:r>
      <w:r>
        <w:t>;</w:t>
      </w:r>
    </w:p>
    <w:p w:rsidR="008B4A82" w14:paraId="5B4E72DE" w14:textId="77777777">
      <w:pPr>
        <w:widowControl w:val="0"/>
        <w:tabs>
          <w:tab w:val="left" w:pos="1260"/>
          <w:tab w:val="left" w:pos="1620"/>
        </w:tabs>
        <w:ind w:left="1620" w:hanging="1620"/>
      </w:pPr>
    </w:p>
    <w:p w:rsidR="008B4A82" w14:paraId="6B9982A4"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RTLBMP</m:t>
            </m:r>
          </m:e>
          <m:sub>
            <m:r>
              <w:rPr>
                <w:rFonts w:ascii="Cambria Math" w:hAnsi="Cambria Math"/>
              </w:rPr>
              <m:t>t, i</m:t>
            </m:r>
          </m:sub>
        </m:sSub>
      </m:oMath>
      <w:r w:rsidR="008C1BC8">
        <w:rPr>
          <w:vertAlign w:val="subscript"/>
        </w:rPr>
        <w:tab/>
      </w:r>
      <w:r w:rsidR="008C1BC8">
        <w:t>=</w:t>
      </w:r>
      <w:r w:rsidR="008C1BC8">
        <w:tab/>
        <w:t xml:space="preserve">the real-time LBMP, in $/MWh, for interval </w:t>
      </w:r>
      <w:r w:rsidR="008C1BC8">
        <w:rPr>
          <w:i/>
        </w:rPr>
        <w:t>i</w:t>
      </w:r>
      <w:r w:rsidR="008C1BC8">
        <w:t xml:space="preserve"> at the Proxy Generator Bus which is the source of the Import </w:t>
      </w:r>
      <w:r w:rsidR="008C1BC8">
        <w:rPr>
          <w:i/>
        </w:rPr>
        <w:t>t</w:t>
      </w:r>
      <w:r w:rsidR="008C1BC8">
        <w:t>.</w:t>
      </w:r>
    </w:p>
    <w:p w:rsidR="008B4A82" w14:paraId="7B35BF2B" w14:textId="77777777">
      <w:pPr>
        <w:widowControl w:val="0"/>
        <w:tabs>
          <w:tab w:val="left" w:pos="1260"/>
          <w:tab w:val="left" w:pos="1620"/>
        </w:tabs>
        <w:ind w:left="1620" w:hanging="1620"/>
      </w:pPr>
    </w:p>
    <w:p w:rsidR="008B4A82" w14:paraId="57F3BC8C" w14:textId="77777777">
      <w:pPr>
        <w:widowControl w:val="0"/>
        <w:tabs>
          <w:tab w:val="left" w:pos="1350"/>
        </w:tabs>
        <w:ind w:left="1620" w:hanging="1620"/>
      </w:pPr>
      <m:oMath>
        <m:sSub>
          <m:sSubPr>
            <m:ctrlPr>
              <w:rPr>
                <w:rFonts w:ascii="Cambria Math" w:hAnsi="Cambria Math"/>
                <w:i/>
              </w:rPr>
            </m:ctrlPr>
          </m:sSubPr>
          <m:e>
            <m:r>
              <w:rPr>
                <w:rFonts w:ascii="Cambria Math" w:hAnsi="Cambria Math"/>
              </w:rPr>
              <m:t>DADecBid</m:t>
            </m:r>
          </m:e>
          <m:sub>
            <m:r>
              <w:rPr>
                <w:rFonts w:ascii="Cambria Math" w:hAnsi="Cambria Math"/>
              </w:rPr>
              <m:t>t, i</m:t>
            </m:r>
          </m:sub>
        </m:sSub>
      </m:oMath>
      <w:r w:rsidR="008C1BC8">
        <w:rPr>
          <w:vertAlign w:val="subscript"/>
        </w:rPr>
        <w:tab/>
      </w:r>
      <w:r w:rsidR="008C1BC8">
        <w:t>=</w:t>
      </w:r>
      <w:r w:rsidR="008C1BC8">
        <w:tab/>
        <w:t xml:space="preserve">the Day Ahead Decremental Bid price associated with the Day-Ahead energy schedule, in $/MWh, for Import </w:t>
      </w:r>
      <w:r w:rsidR="008C1BC8">
        <w:rPr>
          <w:i/>
        </w:rPr>
        <w:t>t</w:t>
      </w:r>
      <w:r w:rsidR="008C1BC8">
        <w:t xml:space="preserve"> in hour h containing interval </w:t>
      </w:r>
      <w:r w:rsidR="008C1BC8">
        <w:rPr>
          <w:i/>
        </w:rPr>
        <w:t>i</w:t>
      </w:r>
      <w:r w:rsidR="008C1BC8">
        <w:t>;</w:t>
      </w:r>
    </w:p>
    <w:p w:rsidR="008B4A82" w14:paraId="3C951E4D" w14:textId="77777777">
      <w:pPr>
        <w:widowControl w:val="0"/>
        <w:tabs>
          <w:tab w:val="left" w:pos="1260"/>
          <w:tab w:val="left" w:pos="1620"/>
        </w:tabs>
        <w:ind w:left="1620" w:hanging="1620"/>
      </w:pPr>
    </w:p>
    <w:p w:rsidR="008B4A82" w14:paraId="3FB848D7"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DAen</m:t>
            </m:r>
          </m:e>
          <m:sub>
            <m:r>
              <w:rPr>
                <w:rFonts w:ascii="Cambria Math" w:hAnsi="Cambria Math"/>
              </w:rPr>
              <m:t>t,i</m:t>
            </m:r>
          </m:sub>
        </m:sSub>
      </m:oMath>
      <w:r w:rsidR="008C1BC8">
        <w:rPr>
          <w:vertAlign w:val="subscript"/>
        </w:rPr>
        <w:tab/>
      </w:r>
      <w:r w:rsidR="008C1BC8">
        <w:t>=</w:t>
      </w:r>
      <w:r w:rsidR="008C1BC8">
        <w:tab/>
        <w:t xml:space="preserve">the Day Ahead scheduled Energy injections, in MWh, for Import t in hour </w:t>
      </w:r>
      <w:r w:rsidR="008C1BC8">
        <w:rPr>
          <w:i/>
        </w:rPr>
        <w:t>h</w:t>
      </w:r>
      <w:r w:rsidR="008C1BC8">
        <w:t xml:space="preserve"> containing interval </w:t>
      </w:r>
      <w:r w:rsidR="008C1BC8">
        <w:rPr>
          <w:i/>
        </w:rPr>
        <w:t>i</w:t>
      </w:r>
      <w:r w:rsidR="008C1BC8">
        <w:t xml:space="preserve"> as determined by Security Constrained Unit Commitment (SCUC); and</w:t>
      </w:r>
    </w:p>
    <w:p w:rsidR="008B4A82" w14:paraId="1BCF23EB" w14:textId="77777777">
      <w:pPr>
        <w:widowControl w:val="0"/>
        <w:tabs>
          <w:tab w:val="left" w:pos="1260"/>
          <w:tab w:val="left" w:pos="1620"/>
        </w:tabs>
        <w:ind w:left="1620" w:hanging="1620"/>
      </w:pPr>
    </w:p>
    <w:p w:rsidR="008B4A82" w14:paraId="74A1B09B"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RTDen</m:t>
            </m:r>
          </m:e>
          <m:sub>
            <m:r>
              <w:rPr>
                <w:rFonts w:ascii="Cambria Math" w:hAnsi="Cambria Math"/>
              </w:rPr>
              <m:t>t,i</m:t>
            </m:r>
          </m:sub>
        </m:sSub>
      </m:oMath>
      <w:r w:rsidR="008C1BC8">
        <w:tab/>
        <w:t>=</w:t>
      </w:r>
      <w:r w:rsidR="008C1BC8">
        <w:tab/>
        <w:t xml:space="preserve">the scheduled Energy injections, in MWh, for Import </w:t>
      </w:r>
      <w:r w:rsidR="008C1BC8">
        <w:rPr>
          <w:i/>
        </w:rPr>
        <w:t>t</w:t>
      </w:r>
      <w:r w:rsidR="008C1BC8">
        <w:t xml:space="preserve"> in interval </w:t>
      </w:r>
      <w:r w:rsidR="008C1BC8">
        <w:rPr>
          <w:i/>
        </w:rPr>
        <w:t>i</w:t>
      </w:r>
      <w:r w:rsidR="008C1BC8">
        <w:t xml:space="preserve"> as determined by Real-Time Dispatch (RTD).</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EA60B0"/>
    <w:multiLevelType w:val="hybridMultilevel"/>
    <w:tmpl w:val="52BE9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9D67CD"/>
    <w:multiLevelType w:val="hybridMultilevel"/>
    <w:tmpl w:val="969C7B3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A7D4FD3"/>
    <w:multiLevelType w:val="hybridMultilevel"/>
    <w:tmpl w:val="1A5EFF56"/>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3">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4">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6">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9">
    <w:nsid w:val="7EB953DE"/>
    <w:multiLevelType w:val="hybridMultilevel"/>
    <w:tmpl w:val="6D18CF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9634890">
    <w:abstractNumId w:val="39"/>
  </w:num>
  <w:num w:numId="2" w16cid:durableId="1202791894">
    <w:abstractNumId w:val="35"/>
  </w:num>
  <w:num w:numId="3" w16cid:durableId="1562251951">
    <w:abstractNumId w:val="13"/>
  </w:num>
  <w:num w:numId="4" w16cid:durableId="1040471112">
    <w:abstractNumId w:val="14"/>
  </w:num>
  <w:num w:numId="5" w16cid:durableId="2048793056">
    <w:abstractNumId w:val="32"/>
  </w:num>
  <w:num w:numId="6" w16cid:durableId="2144538074">
    <w:abstractNumId w:val="12"/>
  </w:num>
  <w:num w:numId="7" w16cid:durableId="1478105266">
    <w:abstractNumId w:val="33"/>
  </w:num>
  <w:num w:numId="8" w16cid:durableId="353533509">
    <w:abstractNumId w:val="20"/>
  </w:num>
  <w:num w:numId="9" w16cid:durableId="252512239">
    <w:abstractNumId w:val="18"/>
  </w:num>
  <w:num w:numId="10" w16cid:durableId="564537012">
    <w:abstractNumId w:val="15"/>
  </w:num>
  <w:num w:numId="11" w16cid:durableId="1823497539">
    <w:abstractNumId w:val="2"/>
  </w:num>
  <w:num w:numId="12" w16cid:durableId="1874684755">
    <w:abstractNumId w:val="11"/>
  </w:num>
  <w:num w:numId="13" w16cid:durableId="1316834991">
    <w:abstractNumId w:val="29"/>
  </w:num>
  <w:num w:numId="14" w16cid:durableId="786508667">
    <w:abstractNumId w:val="0"/>
  </w:num>
  <w:num w:numId="15" w16cid:durableId="1918051032">
    <w:abstractNumId w:val="23"/>
  </w:num>
  <w:num w:numId="16" w16cid:durableId="2136286014">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7" w16cid:durableId="768352347">
    <w:abstractNumId w:val="38"/>
  </w:num>
  <w:num w:numId="18" w16cid:durableId="1390568399">
    <w:abstractNumId w:val="31"/>
  </w:num>
  <w:num w:numId="19" w16cid:durableId="1146627746">
    <w:abstractNumId w:val="9"/>
  </w:num>
  <w:num w:numId="20" w16cid:durableId="1257862752">
    <w:abstractNumId w:val="7"/>
  </w:num>
  <w:num w:numId="21" w16cid:durableId="1784879456">
    <w:abstractNumId w:val="26"/>
  </w:num>
  <w:num w:numId="22" w16cid:durableId="1476138877">
    <w:abstractNumId w:val="24"/>
  </w:num>
  <w:num w:numId="23" w16cid:durableId="2045324088">
    <w:abstractNumId w:val="5"/>
  </w:num>
  <w:num w:numId="24" w16cid:durableId="221016568">
    <w:abstractNumId w:val="28"/>
  </w:num>
  <w:num w:numId="25" w16cid:durableId="1020281859">
    <w:abstractNumId w:val="10"/>
  </w:num>
  <w:num w:numId="26" w16cid:durableId="1935355570">
    <w:abstractNumId w:val="25"/>
  </w:num>
  <w:num w:numId="27" w16cid:durableId="398941641">
    <w:abstractNumId w:val="21"/>
  </w:num>
  <w:num w:numId="28" w16cid:durableId="1816097801">
    <w:abstractNumId w:val="17"/>
  </w:num>
  <w:num w:numId="29" w16cid:durableId="95254355">
    <w:abstractNumId w:val="16"/>
  </w:num>
  <w:num w:numId="30" w16cid:durableId="1808276807">
    <w:abstractNumId w:val="8"/>
  </w:num>
  <w:num w:numId="31" w16cid:durableId="434250935">
    <w:abstractNumId w:val="22"/>
  </w:num>
  <w:num w:numId="32" w16cid:durableId="582491389">
    <w:abstractNumId w:val="1"/>
  </w:num>
  <w:num w:numId="33" w16cid:durableId="81608958">
    <w:abstractNumId w:val="36"/>
  </w:num>
  <w:num w:numId="34" w16cid:durableId="137966672">
    <w:abstractNumId w:val="27"/>
  </w:num>
  <w:num w:numId="35" w16cid:durableId="1365862680">
    <w:abstractNumId w:val="30"/>
  </w:num>
  <w:num w:numId="36" w16cid:durableId="640774764">
    <w:abstractNumId w:val="3"/>
  </w:num>
  <w:num w:numId="37" w16cid:durableId="1597667424">
    <w:abstractNumId w:val="37"/>
  </w:num>
  <w:num w:numId="38" w16cid:durableId="1798257190">
    <w:abstractNumId w:val="34"/>
  </w:num>
  <w:num w:numId="39" w16cid:durableId="1062292714">
    <w:abstractNumId w:val="4"/>
  </w:num>
  <w:num w:numId="40" w16cid:durableId="775755388">
    <w:abstractNumId w:val="19"/>
  </w:num>
  <w:num w:numId="41" w16cid:durableId="67156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4A82"/>
    <w:rsid w:val="000A2944"/>
    <w:rsid w:val="000D06C5"/>
    <w:rsid w:val="00145FA8"/>
    <w:rsid w:val="00156879"/>
    <w:rsid w:val="00166172"/>
    <w:rsid w:val="00246DC2"/>
    <w:rsid w:val="00295E11"/>
    <w:rsid w:val="002B0C8B"/>
    <w:rsid w:val="002F2B74"/>
    <w:rsid w:val="00382C56"/>
    <w:rsid w:val="00396939"/>
    <w:rsid w:val="00442196"/>
    <w:rsid w:val="0047040A"/>
    <w:rsid w:val="0057078A"/>
    <w:rsid w:val="005C1135"/>
    <w:rsid w:val="005E4524"/>
    <w:rsid w:val="006014AF"/>
    <w:rsid w:val="006503E4"/>
    <w:rsid w:val="00660020"/>
    <w:rsid w:val="006E08CF"/>
    <w:rsid w:val="006F078E"/>
    <w:rsid w:val="006F29DC"/>
    <w:rsid w:val="00783A84"/>
    <w:rsid w:val="00801C0A"/>
    <w:rsid w:val="008117B2"/>
    <w:rsid w:val="00840C10"/>
    <w:rsid w:val="00872370"/>
    <w:rsid w:val="008B4A82"/>
    <w:rsid w:val="008C1BC8"/>
    <w:rsid w:val="008D5777"/>
    <w:rsid w:val="00907E62"/>
    <w:rsid w:val="009B1143"/>
    <w:rsid w:val="009B7451"/>
    <w:rsid w:val="00A8582E"/>
    <w:rsid w:val="00AE251C"/>
    <w:rsid w:val="00C02251"/>
    <w:rsid w:val="00C92180"/>
    <w:rsid w:val="00EE4C9E"/>
    <w:rsid w:val="00F40DC8"/>
    <w:rsid w:val="00F65154"/>
    <w:rsid w:val="00F65D59"/>
    <w:rsid w:val="00F7748D"/>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9011EE3"/>
  <w15:docId w15:val="{491F447E-AFA3-43F4-A0C6-51B5AB8E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styleId="FootnoteReference">
    <w:name w:val="footnote reference"/>
    <w:basedOn w:val="DefaultParagraphFont"/>
    <w:uiPriority w:val="99"/>
    <w:semiHidden/>
    <w:rPr>
      <w:rFonts w:cs="Times New Roman"/>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equationtext">
    <w:name w:val="equation text"/>
    <w:basedOn w:val="Normal"/>
    <w:pPr>
      <w:tabs>
        <w:tab w:val="left" w:pos="1800"/>
      </w:tabs>
      <w:spacing w:before="120" w:after="120"/>
      <w:ind w:left="2160" w:hanging="1800"/>
    </w:pPr>
    <w:rPr>
      <w:iCs/>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rPr>
      <w:szCs w:val="20"/>
    </w:r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wH2formatting">
    <w:name w:val="subhead w H2 formatting"/>
    <w:basedOn w:val="Heading2"/>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EquationExplanationText">
    <w:name w:val="Equation Explanation Text"/>
    <w:pPr>
      <w:spacing w:before="120"/>
      <w:ind w:left="2376" w:hanging="1224"/>
    </w:pPr>
    <w:rPr>
      <w:sz w:val="22"/>
      <w:szCs w:val="24"/>
    </w:rPr>
  </w:style>
  <w:style w:type="character" w:customStyle="1" w:styleId="BodyparaChar">
    <w:name w:val="Body para Char"/>
    <w:link w:val="Bodypara"/>
    <w:uiPriority w:val="99"/>
    <w:locked/>
    <w:rPr>
      <w:sz w:val="24"/>
    </w:rPr>
  </w:style>
  <w:style w:type="paragraph" w:customStyle="1" w:styleId="Definitionhead">
    <w:name w:val="Definition head"/>
    <w:basedOn w:val="subhead"/>
    <w:uiPriority w:val="99"/>
  </w:style>
  <w:style w:type="paragraph" w:styleId="FootnoteText">
    <w:name w:val="footnote text"/>
    <w:basedOn w:val="Normal"/>
    <w:link w:val="FootnoteTextChar"/>
    <w:uiPriority w:val="99"/>
    <w:pPr>
      <w:jc w:val="both"/>
    </w:pPr>
    <w:rPr>
      <w:sz w:val="20"/>
    </w:rPr>
  </w:style>
  <w:style w:type="character" w:customStyle="1" w:styleId="FootnoteTextChar">
    <w:name w:val="Footnote Text Char"/>
    <w:basedOn w:val="DefaultParagraphFont"/>
    <w:link w:val="FootnoteText"/>
    <w:uiPriority w:val="99"/>
    <w:locked/>
    <w:rPr>
      <w:rFonts w:cs="Times New Roman"/>
      <w:sz w:val="24"/>
      <w:szCs w:val="24"/>
    </w:rPr>
  </w:style>
  <w:style w:type="character" w:styleId="FollowedHyperlink">
    <w:name w:val="FollowedHyperlink"/>
    <w:basedOn w:val="DefaultParagraphFont"/>
    <w:uiPriority w:val="99"/>
    <w:rPr>
      <w:rFonts w:cs="Times New Roman"/>
      <w:color w:val="800080"/>
      <w:u w:val="single"/>
    </w:rPr>
  </w:style>
  <w:style w:type="paragraph" w:customStyle="1" w:styleId="Level1">
    <w:name w:val="Level 1"/>
    <w:basedOn w:val="Normal"/>
    <w:uiPriority w:val="99"/>
    <w:pPr>
      <w:ind w:left="1890" w:hanging="720"/>
    </w:p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i-provider">
    <w:name w:val="ui-provider"/>
    <w:basedOn w:val="DefaultParagraphFont"/>
    <w:rsid w:val="0090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5F0239-7FCB-414F-9577-9ABEFFE7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3707</Words>
  <Characters>21167</Characters>
  <Application>Microsoft Office Word</Application>
  <DocSecurity>0</DocSecurity>
  <Lines>492</Lines>
  <Paragraphs>279</Paragraphs>
  <ScaleCrop>false</ScaleCrop>
  <HeadingPairs>
    <vt:vector size="2" baseType="variant">
      <vt:variant>
        <vt:lpstr>Title</vt:lpstr>
      </vt:variant>
      <vt:variant>
        <vt:i4>1</vt:i4>
      </vt:variant>
    </vt:vector>
  </HeadingPairs>
  <TitlesOfParts>
    <vt:vector size="1" baseType="lpstr">
      <vt:lpstr>25</vt:lpstr>
    </vt:vector>
  </TitlesOfParts>
  <Company>NYISO</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Joy Zimberlin</dc:creator>
  <cp:lastModifiedBy>Rilling, Elizabeth</cp:lastModifiedBy>
  <cp:revision>3</cp:revision>
  <cp:lastPrinted>2023-10-17T20:37:00Z</cp:lastPrinted>
  <dcterms:created xsi:type="dcterms:W3CDTF">2025-10-30T12:14:00Z</dcterms:created>
  <dcterms:modified xsi:type="dcterms:W3CDTF">2025-10-30T12:18:00Z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hYbVEdtbtVCGyOs9cgdb/I7sxBOrVGU08g0X0zp9FSlC9BrqcJd00xAwjkZcFOA57F_x000D__x000D_lz0mWxXTvXih5fl46mAcTLmRftV+6iii+ZBZDD3QmUSCf8faW3W7vIfF40mL/7BIZU3wHY9BWNkD_x000D__x000D_2KPO0evXQsAuzQsAlxBh06kGwXPGIqxMAuN14c7JSnS3ZDWNrZvDCz/K7IQslmP5zP2jnizUqQz4_x000D__x000D_aW9onj/AJxp8xxbUo</vt:lpwstr>
  </property>
  <property fmtid="{D5CDD505-2E9C-101B-9397-08002B2CF9AE}" pid="4" name="MAIL_MSG_ID2">
    <vt:lpwstr>6wgNdCvOYH89hlsXeS0xCnsA1j+FdCS7aEPa7ymhRPMdpoetJ898lMNmx4S_x000D__x000D_q1zQywnU2qvbkptNF64kXLLVSmm5E/QCXiOHAQ==</vt:lpwstr>
  </property>
  <property fmtid="{D5CDD505-2E9C-101B-9397-08002B2CF9AE}" pid="5" name="MSIP_Label_5bf193d9-c1cf-45e0-8fa7-a9bc86b7f5dd_ActionId">
    <vt:lpwstr>623712c2-1234-4d63-af87-a9b7436e8d6a</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2023-09-27T21:26:45Z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sAAAE34RQVAK31mGmtx9pk6+lLQOio9IutTFE1gpRgPa658=</vt:lpwstr>
  </property>
  <property fmtid="{D5CDD505-2E9C-101B-9397-08002B2CF9AE}" pid="13" name="SWDocID">
    <vt:lpwstr/>
  </property>
  <property fmtid="{D5CDD505-2E9C-101B-9397-08002B2CF9AE}" pid="14" name="_AdHocReviewCycleID">
    <vt:i4>-155583294</vt:i4>
  </property>
  <property fmtid="{D5CDD505-2E9C-101B-9397-08002B2CF9AE}" pid="15" name="_AuthorEmail">
    <vt:lpwstr>gcampbell@nyiso.com</vt:lpwstr>
  </property>
  <property fmtid="{D5CDD505-2E9C-101B-9397-08002B2CF9AE}" pid="16" name="_AuthorEmailDisplayName">
    <vt:lpwstr>Campbell, Greg J.</vt:lpwstr>
  </property>
  <property fmtid="{D5CDD505-2E9C-101B-9397-08002B2CF9AE}" pid="17" name="_EmailSubject">
    <vt:lpwstr>DER Tariff Integration - MST Sec. 25.3.4</vt:lpwstr>
  </property>
  <property fmtid="{D5CDD505-2E9C-101B-9397-08002B2CF9AE}" pid="18" name="_NewReviewCycle">
    <vt:lpwstr/>
  </property>
  <property fmtid="{D5CDD505-2E9C-101B-9397-08002B2CF9AE}" pid="19" name="_PreviousAdHocReviewCycleID">
    <vt:i4>-451455537</vt:i4>
  </property>
  <property fmtid="{D5CDD505-2E9C-101B-9397-08002B2CF9AE}" pid="20" name="_ReviewingToolsShownOnce">
    <vt:lpwstr/>
  </property>
</Properties>
</file>