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7C" w:rsidRDefault="00C5516C">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FE0C7C" w:rsidRDefault="00C5516C">
      <w:pPr>
        <w:pStyle w:val="Heading2"/>
      </w:pPr>
      <w:bookmarkStart w:id="2" w:name="_Toc261252298"/>
      <w:r>
        <w:lastRenderedPageBreak/>
        <w:t>25.1</w:t>
      </w:r>
      <w:r>
        <w:tab/>
      </w:r>
      <w:bookmarkEnd w:id="2"/>
      <w:r>
        <w:t>Introduction</w:t>
      </w:r>
    </w:p>
    <w:p w:rsidR="00FE0C7C" w:rsidRDefault="00C5516C">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FE0C7C" w:rsidRDefault="00C5516C">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FE0C7C" w:rsidRDefault="00C5516C">
      <w:pPr>
        <w:pStyle w:val="Heading2"/>
      </w:pPr>
      <w:bookmarkStart w:id="3" w:name="_Toc261252299"/>
      <w:r>
        <w:lastRenderedPageBreak/>
        <w:t>25.2</w:t>
      </w:r>
      <w:r>
        <w:tab/>
        <w:t>Eli</w:t>
      </w:r>
      <w:r>
        <w:t>gibility for Receiving Day-Ahead Margin Assurance Payments</w:t>
      </w:r>
      <w:bookmarkEnd w:id="3"/>
    </w:p>
    <w:p w:rsidR="00FE0C7C" w:rsidRDefault="00C5516C">
      <w:pPr>
        <w:pStyle w:val="Heading3"/>
      </w:pPr>
      <w:r>
        <w:t>25.2.1</w:t>
      </w:r>
      <w:r>
        <w:tab/>
        <w:t>General Eligibility Requirements for Suppliers to Receive Day-Ahead Margin Assurance Payments</w:t>
      </w:r>
    </w:p>
    <w:p w:rsidR="00FE0C7C" w:rsidRDefault="00C5516C">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FE0C7C" w:rsidRDefault="00C5516C">
      <w:pPr>
        <w:pStyle w:val="Heading3"/>
      </w:pPr>
      <w:r>
        <w:t>25.2.2</w:t>
      </w:r>
      <w:r>
        <w:tab/>
        <w:t>Exceptions</w:t>
      </w:r>
    </w:p>
    <w:p w:rsidR="00FE0C7C" w:rsidRDefault="00C5516C">
      <w:pPr>
        <w:pStyle w:val="Bodypara"/>
      </w:pPr>
      <w:r>
        <w:t>Notwithstanding Section 25.2.1 of this Att</w:t>
      </w:r>
      <w:r>
        <w:t>achment J, no Day-Ahead Margin Assurance Payment shall be paid to:</w:t>
      </w:r>
    </w:p>
    <w:p w:rsidR="00FE0C7C" w:rsidRDefault="00C5516C">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FE0C7C" w:rsidRDefault="00C5516C">
      <w:pPr>
        <w:pStyle w:val="alphapara"/>
      </w:pPr>
      <w:r>
        <w:t>25.2.2.2</w:t>
      </w:r>
      <w:r>
        <w:tab/>
        <w:t>a Resource, otherwise eligible for Day-Ahead Margin Assurance Payments, in hours in which</w:t>
      </w:r>
      <w:r>
        <w:t xml:space="preserve"> the NYISO has increased the Resource’s real-time minimum operating level at the Resource’s request, including through an adjustment to the Resource’s self-commitment schedule, above the MW level determined by subtracting the Resource’s Day-Ahead Market Re</w:t>
      </w:r>
      <w:r>
        <w:t xml:space="preserve">gulation Service schedule from its Day-Ahead Market Energy schedule. </w:t>
      </w:r>
    </w:p>
    <w:p w:rsidR="00FE0C7C" w:rsidRDefault="00C5516C">
      <w:pPr>
        <w:pStyle w:val="alphapara"/>
      </w:pPr>
      <w:r>
        <w:t xml:space="preserve">25.2.2.3 </w:t>
      </w:r>
      <w:r>
        <w:tab/>
        <w:t>a Resource, otherwise eligible for Day-Ahead Margin Assurance Payments, in hours in which the Resource reduces the MW quantity specified in its real-time Regulation Capacity Bi</w:t>
      </w:r>
      <w:r>
        <w:t>d below its Day-Ahead Market Regulation Service schedule.</w:t>
      </w:r>
    </w:p>
    <w:p w:rsidR="00FE0C7C" w:rsidRDefault="00C5516C">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Generator exceed th</w:t>
      </w:r>
      <w:r>
        <w:t>e Incremental Energy Bids submitted in the Day-Ahead Market, or the mitigated Day-Ahead Incremental Energy Bids where appropriate, for the portion of that Generator’s Capacity that was scheduled in the Day-Ahead Market; and (ii) the two hours immediately p</w:t>
      </w:r>
      <w:r>
        <w:t>receding and the two hours immediately following the hour(s) in which the Incremental Energy Bids submitted in the Real-Time Market for that Generator exceed the Incremental Energy Bids submitted in the Day-Ahead Market, or the mitigated Day-Ahead Incremen</w:t>
      </w:r>
      <w:r>
        <w:t>tal Energy Bids where appropriate, for the portion of that Generator’s Capacity that was scheduled in the Day-Ahead Market.</w:t>
      </w:r>
    </w:p>
    <w:p w:rsidR="00FE0C7C" w:rsidRDefault="00C5516C">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Payments, for (i)</w:t>
      </w:r>
      <w:r>
        <w:rPr>
          <w:szCs w:val="24"/>
        </w:rPr>
        <w:t> any hour in which the Start-Up Bids submitted in the Real-Time Market for that Generator exceed the Start-Up Bids submitted in the Day-Ahead Market, or the mitigated Day-Ahead Start-Up Bids where appropriate, and that Generator was scheduled for Energy in</w:t>
      </w:r>
      <w:r>
        <w:rPr>
          <w:szCs w:val="24"/>
        </w:rPr>
        <w:t xml:space="preserve"> that hour in the Day-Ahead Market; and (ii) the two hours immediately preceding and the two hours immediately following the hour(s) in which the Start-Up Bids submitted in the Real-Time Market for that Generator exceed the Start-Up Bids submitted  in the </w:t>
      </w:r>
      <w:r>
        <w:rPr>
          <w:szCs w:val="24"/>
        </w:rPr>
        <w:t>Day-Ahead Market, or the mitigated Day-Ahead Start-Up Bids where appropriate, and that Generator was scheduled for Energy or Regulation Service in that hour in the Day-Ahead Market.</w:t>
      </w:r>
    </w:p>
    <w:p w:rsidR="00FE0C7C" w:rsidRDefault="00C5516C">
      <w:pPr>
        <w:pStyle w:val="alphapara"/>
        <w:rPr>
          <w:szCs w:val="24"/>
        </w:rPr>
      </w:pPr>
      <w:r>
        <w:t>25.2.2.6</w:t>
      </w:r>
      <w:r>
        <w:tab/>
        <w:t>A Generator that is available for commitment by RTC and otherwise</w:t>
      </w:r>
      <w:r>
        <w:t xml:space="preserve"> eligible for Day-Ahead Margin Assurance Payments, for (i) any hour in which the dollar component of the Minimum Generation Bids submitted in the Real-Time Market for that Generator exceed the dollar component of the Minimum Generation Bids submitted in th</w:t>
      </w:r>
      <w:r>
        <w:t>e Day-Ahead Market, or the dollar component of the mitigated Day-Ahead Minimum Generation Bids where appropriate, and that Generator was scheduled for Energy in that hour in the Day-Ahead Market; and (ii) the two hours immediately preceding and the two hou</w:t>
      </w:r>
      <w:r>
        <w:t>rs immediately following the hour(s) in which the dollar component of the Minimum Generation Bids submitted in the Real-Time Market for that Generator exceed the dollar component of the Minimum Generation Bids submitted in the Day-Ahead Market, or the doll</w:t>
      </w:r>
      <w:r>
        <w:t>ar component of the mitigated Day-Ahead Minimum Generation Bids where appropriate, and that Generator was scheduled for Energy in that hour in the Day-Ahead Market.</w:t>
      </w:r>
    </w:p>
    <w:p w:rsidR="00FE0C7C" w:rsidRDefault="00C5516C">
      <w:pPr>
        <w:pStyle w:val="Heading3"/>
      </w:pPr>
      <w:r>
        <w:t>25.3</w:t>
      </w:r>
      <w:r>
        <w:tab/>
        <w:t>Calculation of Day-Ahead Margin Assurance Payments</w:t>
      </w:r>
      <w:bookmarkEnd w:id="4"/>
    </w:p>
    <w:p w:rsidR="00FE0C7C" w:rsidRDefault="00C5516C">
      <w:pPr>
        <w:pStyle w:val="Heading3"/>
      </w:pPr>
      <w:bookmarkStart w:id="5" w:name="_Toc261252301"/>
      <w:r>
        <w:t>25.3.1</w:t>
      </w:r>
      <w:bookmarkEnd w:id="5"/>
      <w:r>
        <w:t xml:space="preserve">  </w:t>
      </w:r>
      <w:r>
        <w:tab/>
        <w:t>Formula for Day-Ahead Marg</w:t>
      </w:r>
      <w:r>
        <w:t>in Assurance Payments for Generators, Except for Limited Energy Storage Resources</w:t>
      </w:r>
    </w:p>
    <w:p w:rsidR="00FE0C7C" w:rsidRDefault="00C5516C">
      <w:pPr>
        <w:pStyle w:val="Bodypara"/>
      </w:pPr>
      <w:r>
        <w:t>Subject to Sections 25.4 and 25.5 of this Attachment J, Day-Ahead Margin Assurance Payments for Generators, except for Limited Energy Storage Resources,</w:t>
      </w:r>
      <w:r>
        <w:rPr>
          <w:i/>
          <w:iCs/>
        </w:rPr>
        <w:t xml:space="preserve"> </w:t>
      </w:r>
      <w:r>
        <w:t>shall be determined b</w:t>
      </w:r>
      <w:r>
        <w:t>y applying</w:t>
      </w:r>
      <w:r>
        <w:rPr>
          <w:i/>
          <w:iCs/>
        </w:rPr>
        <w:t xml:space="preserve"> </w:t>
      </w:r>
      <w:r>
        <w:t>the following equations to each individual Generator using the terms as defined in Section 25.3.4:</w:t>
      </w:r>
    </w:p>
    <w:p w:rsidR="00FE0C7C" w:rsidRDefault="00C5516C">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FE0C7C" w:rsidRDefault="00C5516C">
      <w:pPr>
        <w:pStyle w:val="equationtext"/>
        <w:tabs>
          <w:tab w:val="clear" w:pos="1800"/>
          <w:tab w:val="left" w:pos="1421"/>
        </w:tabs>
      </w:pPr>
      <w:r>
        <w:t>where:</w:t>
      </w:r>
      <w:r>
        <w:tab/>
      </w:r>
    </w:p>
    <w:p w:rsidR="00FE0C7C" w:rsidRDefault="00C5516C">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FE0C7C" w:rsidRDefault="00C5516C">
      <w:pPr>
        <w:pStyle w:val="Bodypara"/>
        <w:rPr>
          <w:b/>
        </w:rPr>
      </w:pPr>
      <w:r>
        <w:rPr>
          <w:b/>
        </w:rPr>
        <w:t xml:space="preserve">25.3.1.1  </w:t>
      </w:r>
      <w:r>
        <w:rPr>
          <w:b/>
        </w:rPr>
        <w:tab/>
        <w:t>Ener</w:t>
      </w:r>
      <w:r>
        <w:rPr>
          <w:b/>
        </w:rPr>
        <w:t>gy Contribution for Day-Ahead Margin Assurance Payments</w:t>
      </w:r>
    </w:p>
    <w:p w:rsidR="00FE0C7C" w:rsidRDefault="00C5516C">
      <w:pPr>
        <w:pStyle w:val="Bodypara"/>
      </w:pPr>
      <w:r>
        <w:t>If the Generator’s (i) Day-Ahead schedule is to inject Energy (</w:t>
      </w:r>
      <w:r>
        <w:rPr>
          <w:i/>
        </w:rPr>
        <w:t>i.e.</w:t>
      </w:r>
      <w:r>
        <w:t xml:space="preserve">, greater than zero MW) and its real-time Energy schedule is lower than its Day-Ahead Energy schedule; or (ii) Day-Ahead schedule is </w:t>
      </w:r>
      <w:r>
        <w:t>to withdraw Energy (</w:t>
      </w:r>
      <w:r>
        <w:rPr>
          <w:i/>
        </w:rPr>
        <w:t>i.e.</w:t>
      </w:r>
      <w:r>
        <w:t>, less than zero MW) and its real-time Energy schedule is greater than its Day-Ahead Energy schedule, then:</w:t>
      </w:r>
    </w:p>
    <w:p w:rsidR="00FE0C7C" w:rsidRDefault="00C5516C">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E0C7C" w:rsidRDefault="00C5516C">
      <w:pPr>
        <w:pStyle w:val="Bodypara"/>
      </w:pPr>
      <w:r>
        <w:t>If the</w:t>
      </w:r>
      <w:r>
        <w:t xml:space="preserve"> Generator’s (i) Day-Ahead Energy schedule is to inject Energy (</w:t>
      </w:r>
      <w:r>
        <w:rPr>
          <w:i/>
        </w:rPr>
        <w:t>i.e.</w:t>
      </w:r>
      <w:r>
        <w:t>, greater than zero MW) and its real-time Energy schedule is greater than or equal to its Day-Ahead Energy schedule; or (ii) Day-Ahead Energy schedule is to withdraw Energy (</w:t>
      </w:r>
      <w:r>
        <w:rPr>
          <w:i/>
        </w:rPr>
        <w:t>i.e.</w:t>
      </w:r>
      <w:r>
        <w:t>, less tha</w:t>
      </w:r>
      <w:r>
        <w:t>n zero MW), and its real-time Energy schedule is less than or equal to its Day-Ahead Energy schedule; or (iii) Day-Ahead Energy schedule is for zero MW, then:</w:t>
      </w:r>
    </w:p>
    <w:p w:rsidR="00FE0C7C" w:rsidRDefault="00C5516C">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FE0C7C" w:rsidRDefault="00C5516C">
      <w:pPr>
        <w:pStyle w:val="Bodypara"/>
        <w:spacing w:line="240" w:lineRule="auto"/>
        <w:ind w:left="2160" w:hanging="1440"/>
      </w:pPr>
      <w:r>
        <w:rPr>
          <w:b/>
        </w:rPr>
        <w:t>25.3.1.2</w:t>
      </w:r>
      <w:r>
        <w:rPr>
          <w:b/>
        </w:rPr>
        <w:tab/>
        <w:t>Operating Reserve Contribution for Day-Ahead Margin Assurance Payments</w:t>
      </w:r>
      <w:r>
        <w:t xml:space="preserve"> </w:t>
      </w:r>
    </w:p>
    <w:p w:rsidR="00FE0C7C" w:rsidRDefault="00C5516C">
      <w:pPr>
        <w:pStyle w:val="Bodypara"/>
      </w:pPr>
    </w:p>
    <w:p w:rsidR="00FE0C7C" w:rsidRDefault="00C5516C">
      <w:pPr>
        <w:pStyle w:val="Bodypara"/>
      </w:pPr>
      <w:r>
        <w:t xml:space="preserve">If the Generator’s real-time schedule for a given Operating Reserve product, p, is lower than its Day-Ahead Operating Reserve schedule for that </w:t>
      </w:r>
      <w:r>
        <w:t>product then:</w:t>
      </w:r>
    </w:p>
    <w:p w:rsidR="00FE0C7C" w:rsidRDefault="00C5516C">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E0C7C" w:rsidRDefault="00C5516C">
      <w:pPr>
        <w:pStyle w:val="Bodypara"/>
      </w:pPr>
      <w:r>
        <w:t>If the Generator’s real-time schedule for a given Operating Reserve product, p, is greater than or equal to its Day-Ahe</w:t>
      </w:r>
      <w:r>
        <w:t>ad Operating Reserve schedule for that product then:</w:t>
      </w:r>
    </w:p>
    <w:p w:rsidR="00FE0C7C" w:rsidRDefault="00C5516C">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E0C7C" w:rsidRDefault="00C5516C">
      <w:pPr>
        <w:pStyle w:val="Bodypara"/>
        <w:ind w:firstLine="0"/>
      </w:pPr>
    </w:p>
    <w:p w:rsidR="00FE0C7C" w:rsidRDefault="00C5516C">
      <w:pPr>
        <w:pStyle w:val="Bodypara"/>
        <w:spacing w:line="240" w:lineRule="auto"/>
        <w:ind w:left="2160" w:hanging="1440"/>
      </w:pPr>
      <w:r>
        <w:rPr>
          <w:b/>
        </w:rPr>
        <w:t>25.3.1.3</w:t>
      </w:r>
      <w:r>
        <w:rPr>
          <w:b/>
        </w:rPr>
        <w:tab/>
        <w:t>Regulation Service Contribution for Day-Ahead Margin Assurance Payments</w:t>
      </w:r>
      <w:r>
        <w:t xml:space="preserve"> </w:t>
      </w:r>
    </w:p>
    <w:p w:rsidR="00FE0C7C" w:rsidRDefault="00C5516C">
      <w:pPr>
        <w:pStyle w:val="Bodypara"/>
      </w:pPr>
    </w:p>
    <w:p w:rsidR="00FE0C7C" w:rsidRDefault="00C5516C">
      <w:pPr>
        <w:pStyle w:val="Bodypara"/>
      </w:pPr>
      <w:r>
        <w:t>If the Generato</w:t>
      </w:r>
      <w:r>
        <w:t>r’s real-time Regulation Service schedule is less than its Day-Ahead</w:t>
      </w:r>
      <w:r>
        <w:rPr>
          <w:i/>
          <w:iCs/>
        </w:rPr>
        <w:t xml:space="preserve"> </w:t>
      </w:r>
      <w:r>
        <w:t>Regulation Service schedule then:</w:t>
      </w:r>
    </w:p>
    <w:p w:rsidR="00FE0C7C" w:rsidRDefault="00C5516C">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m:t>
                      </m:r>
                      <m:r>
                        <w:rPr>
                          <w:rFonts w:ascii="Cambria Math" w:hAnsi="Cambria Math"/>
                        </w:rPr>
                        <m:t>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E0C7C" w:rsidRDefault="00C5516C">
      <w:pPr>
        <w:pStyle w:val="Bodypara"/>
      </w:pPr>
    </w:p>
    <w:p w:rsidR="00FE0C7C" w:rsidRDefault="00C5516C">
      <w:pPr>
        <w:pStyle w:val="Bodypara"/>
      </w:pPr>
      <w:r>
        <w:t>If the Generator’s real-time Regulation Schedule is greater than or equal to the Day-Ahead Regulation Service schedule then:</w:t>
      </w:r>
    </w:p>
    <w:p w:rsidR="00FE0C7C" w:rsidRDefault="00C5516C">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FE0C7C" w:rsidRDefault="00C5516C">
      <w:pPr>
        <w:pStyle w:val="equationtext"/>
      </w:pPr>
      <w:r>
        <w:t xml:space="preserve">            </w:t>
      </w:r>
    </w:p>
    <w:p w:rsidR="00FE0C7C" w:rsidRDefault="00C5516C">
      <w:pPr>
        <w:pStyle w:val="Heading3"/>
      </w:pPr>
      <w:bookmarkStart w:id="6" w:name="_Toc261252302"/>
      <w:r>
        <w:t>25.3.2</w:t>
      </w:r>
      <w:bookmarkEnd w:id="6"/>
      <w:r>
        <w:tab/>
        <w:t>Formula for Day-Ahead Margin Assurance Payments for Demand Side Resources</w:t>
      </w:r>
    </w:p>
    <w:p w:rsidR="00FE0C7C" w:rsidRDefault="00C5516C">
      <w:pPr>
        <w:pStyle w:val="Heading4"/>
      </w:pPr>
      <w:r>
        <w:t>25.3.2.1</w:t>
      </w:r>
      <w:r>
        <w:tab/>
        <w:t xml:space="preserve">Formula for Day-Ahead Margin Assurance Payment for Demand Side </w:t>
      </w:r>
      <w:r>
        <w:t xml:space="preserve">Resources  </w:t>
      </w:r>
    </w:p>
    <w:p w:rsidR="00FE0C7C" w:rsidRDefault="00C5516C">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the following equations to each individual</w:t>
      </w:r>
      <w:r>
        <w:t xml:space="preserve"> Demand Side Resource using the terms as defined in Section 25.3.4, except for RPIiu, which is defined in Section 25.3.2.2:</w:t>
      </w:r>
    </w:p>
    <w:p w:rsidR="00FE0C7C" w:rsidRDefault="00C5516C">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FE0C7C" w:rsidRDefault="00C5516C">
      <w:pPr>
        <w:pStyle w:val="equationtext"/>
      </w:pPr>
      <w:r>
        <w:t>where:</w:t>
      </w:r>
    </w:p>
    <w:p w:rsidR="00FE0C7C" w:rsidRDefault="00C5516C">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FE0C7C" w:rsidRDefault="00C5516C">
      <w:pPr>
        <w:pStyle w:val="equationtext"/>
      </w:pPr>
      <w:r>
        <w:t xml:space="preserve"> </w:t>
      </w:r>
    </w:p>
    <w:p w:rsidR="00FE0C7C" w:rsidRDefault="00C5516C">
      <w:pPr>
        <w:pStyle w:val="Bodypara"/>
      </w:pPr>
      <w:r>
        <w:t xml:space="preserve">If the Demand Side </w:t>
      </w:r>
      <w:r>
        <w:t>Resource’s real-time schedule for a given Operating Reserve product, p, is lower than its Day-Ahead Operating Reserve schedule for that product then:</w:t>
      </w:r>
    </w:p>
    <w:p w:rsidR="00FE0C7C" w:rsidRDefault="00C5516C">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m:t>
              </m:r>
              <m:r>
                <w:rPr>
                  <w:rFonts w:ascii="Cambria Math" w:hAnsi="Cambria Math"/>
                  <w:sz w:val="22"/>
                </w:rPr>
                <m:t>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FE0C7C" w:rsidRDefault="00C5516C">
      <w:pPr>
        <w:pStyle w:val="Bodypara"/>
      </w:pPr>
    </w:p>
    <w:p w:rsidR="00FE0C7C" w:rsidRDefault="00C5516C">
      <w:pPr>
        <w:pStyle w:val="Bodypara"/>
      </w:pPr>
      <w:r>
        <w:t>If the Demand Side Resource’s real-time schedule for a given Operating Reserve product, p, is greater than or equal to its Day-Ahead Operating Reserve schedule for that product then:</w:t>
      </w:r>
    </w:p>
    <w:p w:rsidR="00FE0C7C" w:rsidRDefault="00C5516C">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E0C7C" w:rsidRDefault="00C5516C">
      <w:pPr>
        <w:pStyle w:val="Bodypara"/>
      </w:pPr>
    </w:p>
    <w:p w:rsidR="00FE0C7C" w:rsidRDefault="00C5516C">
      <w:pPr>
        <w:pStyle w:val="Bodypara"/>
      </w:pPr>
      <w:r>
        <w:t>If the Demand Side Resource’s real-time Regulation Service schedule is less than its Day-Ahead</w:t>
      </w:r>
      <w:r>
        <w:rPr>
          <w:i/>
          <w:iCs/>
        </w:rPr>
        <w:t xml:space="preserve"> </w:t>
      </w:r>
      <w:r>
        <w:t>Regulation Service schedule then:</w:t>
      </w:r>
    </w:p>
    <w:p w:rsidR="00FE0C7C" w:rsidRDefault="00C5516C">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E0C7C" w:rsidRDefault="00C5516C">
      <w:pPr>
        <w:pStyle w:val="Bodypara"/>
      </w:pPr>
    </w:p>
    <w:p w:rsidR="00FE0C7C" w:rsidRDefault="00C5516C">
      <w:pPr>
        <w:pStyle w:val="Bodypara"/>
      </w:pPr>
      <w:r>
        <w:t>If the Demand Side Resource’s real-time Regulation Schedule is greater than or equal to the Day-Ahead Regulation Service sc</w:t>
      </w:r>
      <w:r>
        <w:t>hedule then:</w:t>
      </w:r>
    </w:p>
    <w:p w:rsidR="00FE0C7C" w:rsidRDefault="00C5516C">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E0C7C" w:rsidRDefault="00C5516C">
      <w:pPr>
        <w:pStyle w:val="equationtext"/>
        <w:ind w:left="0" w:firstLine="0"/>
      </w:pPr>
    </w:p>
    <w:p w:rsidR="00FE0C7C" w:rsidRDefault="00C5516C">
      <w:pPr>
        <w:pStyle w:val="Heading4"/>
      </w:pPr>
      <w:bookmarkStart w:id="7" w:name="_Toc261252303"/>
      <w:r>
        <w:t>25.3.2.2</w:t>
      </w:r>
      <w:r>
        <w:tab/>
        <w:t xml:space="preserve">Reserve Performance Index for Demand Side </w:t>
      </w:r>
      <w:r>
        <w:t>Resource Suppliers of Operating Reserves</w:t>
      </w:r>
    </w:p>
    <w:p w:rsidR="00FE0C7C" w:rsidRDefault="00C5516C">
      <w:pPr>
        <w:pStyle w:val="Bodypara"/>
      </w:pPr>
      <w:r>
        <w:t>The ISO shall produce a Reserve Performance Index for purposes of calculating a Day Ahead Margin Assurance Payment for a Demand Side Resource providing Operating Reserves.  The Reserve Performance Index shall take a</w:t>
      </w:r>
      <w:r>
        <w:t>ccount of the actual Demand Reduction achieved by the Supplier of Operating Reserves following the ISO’s instruction to convert Operating Reserves to Demand Reduction.</w:t>
      </w:r>
    </w:p>
    <w:p w:rsidR="00FE0C7C" w:rsidRDefault="00C5516C">
      <w:pPr>
        <w:pStyle w:val="Bodypara"/>
        <w:rPr>
          <w:iCs/>
        </w:rPr>
      </w:pPr>
      <w:r>
        <w:t>The Reserve Performance Index shall be a factor with a value between 0.0 and 1.0 inclusi</w:t>
      </w:r>
      <w:r>
        <w:t>ve.  For each interval in which the ISO has not instructed the Demand Side Resource to convert its Operating Reserves to Demand Reduction, the Reserve Performance Index shall have a value of one.  For each interval in which the ISO has instructed the Deman</w:t>
      </w:r>
      <w:r>
        <w:t>d Side Resource to convert its Operating Reserves to Demand Reduction the Reserve Performance Index shall be calculated pursuant to the following formula, provided however when UAGi is zero or less, the Reserve Performance Index shall be set to zero:</w:t>
      </w:r>
      <w:r>
        <w:rPr>
          <w:iCs/>
        </w:rPr>
        <w:t xml:space="preserve"> </w:t>
      </w:r>
    </w:p>
    <w:p w:rsidR="00FE0C7C" w:rsidRDefault="00C5516C">
      <w:pPr>
        <w:pStyle w:val="Bodypara"/>
        <w:rPr>
          <w:iCs/>
          <w:lang w:val="fr-FR"/>
        </w:rPr>
      </w:pPr>
      <m:oMathPara>
        <m:oMath>
          <m:sSub>
            <m:sSubPr>
              <m:ctrlPr>
                <w:rPr>
                  <w:rFonts w:ascii="Cambria Math" w:hAnsi="Cambria Math"/>
                  <w:i/>
                  <w:iCs/>
                  <w:lang w:val="fr-FR"/>
                </w:rPr>
              </m:ctrlPr>
            </m:sSubPr>
            <m:e>
              <m:r>
                <w:rPr>
                  <w:rFonts w:ascii="Cambria Math" w:hAnsi="Cambria Math"/>
                  <w:lang w:val="fr-FR"/>
                </w:rPr>
                <m:t>RP</m:t>
              </m:r>
              <m:r>
                <w:rPr>
                  <w:rFonts w:ascii="Cambria Math" w:hAnsi="Cambria Math"/>
                  <w:lang w:val="fr-FR"/>
                </w:rPr>
                <m:t>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FE0C7C" w:rsidRDefault="00C5516C">
      <w:pPr>
        <w:rPr>
          <w:iCs/>
        </w:rPr>
      </w:pPr>
      <w:r>
        <w:rPr>
          <w:iCs/>
        </w:rPr>
        <w:t xml:space="preserve">Where: </w:t>
      </w:r>
      <w:r>
        <w:rPr>
          <w:iCs/>
        </w:rPr>
        <w:tab/>
      </w:r>
    </w:p>
    <w:p w:rsidR="00FE0C7C" w:rsidRDefault="00C5516C">
      <w:pPr>
        <w:rPr>
          <w:iCs/>
        </w:rPr>
      </w:pPr>
    </w:p>
    <w:p w:rsidR="00FE0C7C" w:rsidRDefault="00C5516C">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FE0C7C" w:rsidRDefault="00C5516C">
      <w:pPr>
        <w:rPr>
          <w:iCs/>
        </w:rPr>
      </w:pPr>
    </w:p>
    <w:p w:rsidR="00FE0C7C" w:rsidRDefault="00C5516C">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represented as a positive generation value; and</w:t>
      </w:r>
    </w:p>
    <w:p w:rsidR="00FE0C7C" w:rsidRDefault="00C5516C">
      <w:pPr>
        <w:ind w:firstLine="720"/>
        <w:rPr>
          <w:iCs/>
        </w:rPr>
      </w:pPr>
    </w:p>
    <w:p w:rsidR="00FE0C7C" w:rsidRDefault="00C5516C">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r>
      <w:r>
        <w:rPr>
          <w:iCs w:val="0"/>
        </w:rPr>
        <w:t xml:space="preserve">average scheduled Demand Reduction for interval </w:t>
      </w:r>
      <w:r>
        <w:rPr>
          <w:i/>
          <w:iCs w:val="0"/>
        </w:rPr>
        <w:t>i</w:t>
      </w:r>
      <w:r>
        <w:rPr>
          <w:iCs w:val="0"/>
        </w:rPr>
        <w:t>, represented as a positive generation base point.</w:t>
      </w:r>
    </w:p>
    <w:p w:rsidR="00FE0C7C" w:rsidRDefault="00C5516C"/>
    <w:p w:rsidR="00FE0C7C" w:rsidRDefault="00C5516C">
      <w:pPr>
        <w:pStyle w:val="Heading3"/>
      </w:pPr>
      <w:r>
        <w:t>25.3.3</w:t>
      </w:r>
      <w:r>
        <w:tab/>
        <w:t>Formula for Day-Ahead Margin Assurance Payments for Limited Energy Storage Resources</w:t>
      </w:r>
    </w:p>
    <w:p w:rsidR="00FE0C7C" w:rsidRDefault="00C5516C">
      <w:pPr>
        <w:pStyle w:val="Bodypara"/>
      </w:pPr>
      <w:r>
        <w:t xml:space="preserve">Day-Ahead Margin Assurance Payments for Limited Energy Storage </w:t>
      </w:r>
      <w:r>
        <w:t>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w:t>
      </w:r>
      <w:r>
        <w:t>vals in which the NYISO has reduced the real-time Regulation Service offer (in MWs) of a Limited Energy Storage Resource and the NYISO is not pursuing LESR Energy Management for such Resource for such interval, pursuant to ISO Procedures:</w:t>
      </w:r>
    </w:p>
    <w:p w:rsidR="00FE0C7C" w:rsidRDefault="00C5516C">
      <w:pPr>
        <w:pStyle w:val="Bodypara"/>
      </w:pPr>
      <w:r>
        <w:t>If the LESR’s rea</w:t>
      </w:r>
      <w:r>
        <w:t>l-time Regulation Service schedule is less than its Day-Ahead Regulation Service schedule and the real-time Regulation Capacity Market Price is greater than the Day-Ahead Regulation Capacity Bid price then:</w:t>
      </w:r>
    </w:p>
    <w:p w:rsidR="00FE0C7C" w:rsidRDefault="00C5516C">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m:t>
                      </m:r>
                      <m:r>
                        <w:rPr>
                          <w:rFonts w:ascii="Cambria Math" w:hAnsi="Cambria Math"/>
                        </w:rPr>
                        <m:t>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E0C7C" w:rsidRDefault="00C5516C">
      <w:pPr>
        <w:pStyle w:val="Bodypara"/>
      </w:pPr>
      <w:r>
        <w:t>If the LESR’s real-time Regulation Service schedule is less than its Day-Ahead Regulation Service schedule and the r</w:t>
      </w:r>
      <w:r>
        <w:t>eal-time Regulation Capacity Market price is less than or equal to the Day-Ahead Regulation Capacity Bid price then:</w:t>
      </w:r>
    </w:p>
    <w:p w:rsidR="00FE0C7C" w:rsidRDefault="00C5516C">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m:t>
              </m:r>
              <m:r>
                <w:rPr>
                  <w:rFonts w:ascii="Cambria Math" w:hAnsi="Cambria Math"/>
                </w:rPr>
                <m:t>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FE0C7C" w:rsidRDefault="00C5516C">
      <w:pPr>
        <w:pStyle w:val="Bodypara"/>
      </w:pPr>
    </w:p>
    <w:p w:rsidR="00FE0C7C" w:rsidRDefault="00C5516C">
      <w:pPr>
        <w:pStyle w:val="Bodypara"/>
        <w:rPr>
          <w:noProof/>
        </w:rPr>
      </w:pPr>
      <w:r>
        <w:t>If the LESR’s real-time Regulation Service schedule is greater than or equal to the Day-Ahead Regulation Service schedule then:</w:t>
      </w:r>
    </w:p>
    <w:p w:rsidR="00FE0C7C" w:rsidRDefault="00C5516C">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FE0C7C" w:rsidRDefault="00C5516C">
      <w:pPr>
        <w:pStyle w:val="equationtext"/>
        <w:tabs>
          <w:tab w:val="clear" w:pos="1800"/>
        </w:tabs>
        <w:spacing w:after="240"/>
        <w:ind w:left="0" w:firstLine="0"/>
        <w:rPr>
          <w:noProof/>
        </w:rPr>
      </w:pPr>
    </w:p>
    <w:p w:rsidR="00FE0C7C" w:rsidRDefault="00C5516C">
      <w:pPr>
        <w:pStyle w:val="Heading3"/>
      </w:pPr>
      <w:r>
        <w:t>25.3.4</w:t>
      </w:r>
      <w:r>
        <w:tab/>
        <w:t>Terms Used in this Attachment J</w:t>
      </w:r>
      <w:bookmarkEnd w:id="7"/>
    </w:p>
    <w:p w:rsidR="00FE0C7C" w:rsidRDefault="00C5516C">
      <w:pPr>
        <w:pStyle w:val="Bodypara"/>
        <w:rPr>
          <w:iCs/>
        </w:rPr>
      </w:pPr>
      <w:r>
        <w:rPr>
          <w:iCs/>
        </w:rPr>
        <w:t xml:space="preserve"> The terms used in the formulas in this Attachment J shall be defined as follows:</w:t>
      </w:r>
    </w:p>
    <w:p w:rsidR="00FE0C7C" w:rsidRDefault="00C5516C">
      <w:pPr>
        <w:pStyle w:val="Bodypara"/>
      </w:pPr>
      <w:r>
        <w:rPr>
          <w:i/>
          <w:iCs/>
        </w:rPr>
        <w:t>h</w:t>
      </w:r>
      <w:r>
        <w:t xml:space="preserve"> is the hour that inc</w:t>
      </w:r>
      <w:r>
        <w:t xml:space="preserve">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xml:space="preserve">, </w:t>
            </w:r>
            <w:r>
              <w:rPr>
                <w:sz w:val="20"/>
                <w:szCs w:val="20"/>
              </w:rPr>
              <w:t>including the Minimum Generation Bid and Incremental Energy Bids;</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vertAlign w:val="subscript"/>
              </w:rPr>
            </w:pPr>
            <w:r>
              <w:rPr>
                <w:vertAlign w:val="subscript"/>
              </w:rP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B502B0">
        <w:trPr>
          <w:gridAfter w:val="2"/>
          <w:wAfter w:w="17640" w:type="dxa"/>
        </w:trPr>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w:t>
            </w:r>
            <w:r>
              <w:rPr>
                <w:sz w:val="20"/>
                <w:szCs w:val="20"/>
              </w:rPr>
              <w:t xml:space="preserv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pPr>
            <w:r>
              <w:t>=</w:t>
            </w:r>
          </w:p>
        </w:tc>
        <w:tc>
          <w:tcPr>
            <w:tcW w:w="8820" w:type="dxa"/>
          </w:tcPr>
          <w:p w:rsidR="00FE0C7C" w:rsidRDefault="00C5516C">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rPr>
                <w:iCs w:val="0"/>
              </w:rPr>
            </w:pPr>
            <w:r>
              <w:rPr>
                <w:iCs w:val="0"/>
              </w:rPr>
              <w:t>=</w:t>
            </w:r>
          </w:p>
        </w:tc>
        <w:tc>
          <w:tcPr>
            <w:tcW w:w="8820" w:type="dxa"/>
          </w:tcPr>
          <w:p w:rsidR="00FE0C7C" w:rsidRDefault="00C5516C">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B502B0">
        <w:trPr>
          <w:gridAfter w:val="2"/>
          <w:wAfter w:w="17640" w:type="dxa"/>
        </w:trPr>
        <w:tc>
          <w:tcPr>
            <w:tcW w:w="1440" w:type="dxa"/>
          </w:tcPr>
          <w:p w:rsidR="00FE0C7C" w:rsidRDefault="00C5516C">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i/>
                <w:iCs w:val="0"/>
              </w:rPr>
            </w:pPr>
            <w:r>
              <w:rPr>
                <w:iCs w:val="0"/>
              </w:rPr>
              <w:t>=</w:t>
            </w:r>
          </w:p>
        </w:tc>
        <w:tc>
          <w:tcPr>
            <w:tcW w:w="8820" w:type="dxa"/>
          </w:tcPr>
          <w:p w:rsidR="00FE0C7C" w:rsidRDefault="00C5516C">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B502B0">
        <w:trPr>
          <w:gridAfter w:val="2"/>
          <w:wAfter w:w="17640" w:type="dxa"/>
        </w:trPr>
        <w:tc>
          <w:tcPr>
            <w:tcW w:w="1440" w:type="dxa"/>
          </w:tcPr>
          <w:p w:rsidR="00FE0C7C" w:rsidRDefault="00C5516C">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iCs w:val="0"/>
              </w:rPr>
            </w:pPr>
            <w:r>
              <w:rPr>
                <w:iCs w:val="0"/>
              </w:rPr>
              <w:t>=</w:t>
            </w:r>
          </w:p>
        </w:tc>
        <w:tc>
          <w:tcPr>
            <w:tcW w:w="8820" w:type="dxa"/>
          </w:tcPr>
          <w:p w:rsidR="00FE0C7C" w:rsidRDefault="00C5516C">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B502B0">
        <w:trPr>
          <w:gridAfter w:val="2"/>
          <w:wAfter w:w="17640" w:type="dxa"/>
        </w:trPr>
        <w:tc>
          <w:tcPr>
            <w:tcW w:w="1440" w:type="dxa"/>
          </w:tcPr>
          <w:p w:rsidR="00FE0C7C" w:rsidRDefault="00C5516C">
            <w:pPr>
              <w:pStyle w:val="equationtext"/>
              <w:tabs>
                <w:tab w:val="clear" w:pos="1800"/>
              </w:tabs>
              <w:ind w:left="0" w:firstLine="0"/>
              <w:jc w:val="both"/>
              <w:rPr>
                <w:i/>
                <w:sz w:val="20"/>
                <w:szCs w:val="20"/>
              </w:rPr>
            </w:pPr>
          </w:p>
        </w:tc>
        <w:tc>
          <w:tcPr>
            <w:tcW w:w="270" w:type="dxa"/>
          </w:tcPr>
          <w:p w:rsidR="00FE0C7C" w:rsidRDefault="00C5516C">
            <w:pPr>
              <w:pStyle w:val="equationtext"/>
              <w:tabs>
                <w:tab w:val="clear" w:pos="1800"/>
              </w:tabs>
              <w:ind w:left="-108" w:right="-108" w:firstLine="0"/>
              <w:jc w:val="center"/>
              <w:rPr>
                <w:iCs w:val="0"/>
              </w:rPr>
            </w:pP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B502B0">
        <w:trPr>
          <w:gridAfter w:val="2"/>
          <w:wAfter w:w="17640" w:type="dxa"/>
        </w:trPr>
        <w:tc>
          <w:tcPr>
            <w:tcW w:w="1440" w:type="dxa"/>
          </w:tcPr>
          <w:p w:rsidR="00FE0C7C" w:rsidRDefault="00C5516C">
            <w:pPr>
              <w:pStyle w:val="equationtext"/>
              <w:tabs>
                <w:tab w:val="clear" w:pos="1800"/>
              </w:tabs>
              <w:ind w:left="0" w:firstLine="0"/>
              <w:jc w:val="both"/>
              <w:rPr>
                <w:i/>
                <w:sz w:val="20"/>
                <w:szCs w:val="20"/>
              </w:rPr>
            </w:pPr>
          </w:p>
        </w:tc>
        <w:tc>
          <w:tcPr>
            <w:tcW w:w="270" w:type="dxa"/>
          </w:tcPr>
          <w:p w:rsidR="00FE0C7C" w:rsidRDefault="00C5516C">
            <w:pPr>
              <w:pStyle w:val="equationtext"/>
              <w:tabs>
                <w:tab w:val="clear" w:pos="1800"/>
              </w:tabs>
              <w:ind w:left="-108" w:right="-108" w:firstLine="0"/>
              <w:jc w:val="center"/>
              <w:rPr>
                <w:iCs w:val="0"/>
              </w:rPr>
            </w:pP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B502B0">
        <w:trPr>
          <w:gridAfter w:val="2"/>
          <w:wAfter w:w="17640" w:type="dxa"/>
        </w:trPr>
        <w:tc>
          <w:tcPr>
            <w:tcW w:w="1440" w:type="dxa"/>
          </w:tcPr>
          <w:p w:rsidR="00FE0C7C" w:rsidRDefault="00C5516C">
            <w:pPr>
              <w:pStyle w:val="equationtext"/>
              <w:tabs>
                <w:tab w:val="clear" w:pos="1800"/>
              </w:tabs>
              <w:ind w:left="0" w:firstLine="0"/>
              <w:jc w:val="both"/>
              <w:rPr>
                <w:i/>
                <w:sz w:val="20"/>
                <w:szCs w:val="20"/>
              </w:rPr>
            </w:pPr>
          </w:p>
        </w:tc>
        <w:tc>
          <w:tcPr>
            <w:tcW w:w="270" w:type="dxa"/>
          </w:tcPr>
          <w:p w:rsidR="00FE0C7C" w:rsidRDefault="00C5516C">
            <w:pPr>
              <w:pStyle w:val="equationtext"/>
              <w:tabs>
                <w:tab w:val="clear" w:pos="1800"/>
              </w:tabs>
              <w:ind w:left="-108" w:right="-108" w:firstLine="0"/>
              <w:jc w:val="center"/>
              <w:rPr>
                <w:iCs w:val="0"/>
              </w:rPr>
            </w:pPr>
          </w:p>
        </w:tc>
        <w:tc>
          <w:tcPr>
            <w:tcW w:w="8820" w:type="dxa"/>
          </w:tcPr>
          <w:p w:rsidR="00FE0C7C" w:rsidRDefault="00C5516C">
            <w:pPr>
              <w:pStyle w:val="equationtext"/>
              <w:tabs>
                <w:tab w:val="clear" w:pos="1800"/>
              </w:tabs>
              <w:ind w:left="0" w:right="72" w:firstLine="0"/>
              <w:rPr>
                <w:sz w:val="20"/>
                <w:szCs w:val="20"/>
              </w:rPr>
            </w:pPr>
            <w:r>
              <w:rPr>
                <w:sz w:val="20"/>
                <w:szCs w:val="20"/>
              </w:rPr>
              <w:t>When the Day-Ahead Energy schedule is t</w:t>
            </w:r>
            <w:r>
              <w:rPr>
                <w:sz w:val="20"/>
                <w:szCs w:val="20"/>
              </w:rPr>
              <w: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FE0C7C" w:rsidRDefault="00C5516C">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B502B0">
        <w:tc>
          <w:tcPr>
            <w:tcW w:w="1440" w:type="dxa"/>
          </w:tcPr>
          <w:p w:rsidR="00FE0C7C" w:rsidRDefault="00C5516C">
            <w:pPr>
              <w:pStyle w:val="equationtext"/>
              <w:tabs>
                <w:tab w:val="clear" w:pos="1800"/>
              </w:tabs>
              <w:ind w:left="0" w:firstLine="0"/>
              <w:jc w:val="both"/>
              <w:rPr>
                <w:i/>
                <w:sz w:val="20"/>
                <w:szCs w:val="20"/>
              </w:rPr>
            </w:pPr>
          </w:p>
        </w:tc>
        <w:tc>
          <w:tcPr>
            <w:tcW w:w="270" w:type="dxa"/>
          </w:tcPr>
          <w:p w:rsidR="00FE0C7C" w:rsidRDefault="00C5516C">
            <w:pPr>
              <w:pStyle w:val="equationtext"/>
              <w:tabs>
                <w:tab w:val="clear" w:pos="1800"/>
              </w:tabs>
              <w:ind w:left="-108" w:right="-108" w:firstLine="0"/>
              <w:jc w:val="center"/>
              <w:rPr>
                <w:iCs w:val="0"/>
              </w:rPr>
            </w:pPr>
          </w:p>
        </w:tc>
        <w:tc>
          <w:tcPr>
            <w:tcW w:w="8820" w:type="dxa"/>
          </w:tcPr>
          <w:p w:rsidR="00FE0C7C" w:rsidRDefault="00C5516C">
            <w:pPr>
              <w:pStyle w:val="equationtext"/>
              <w:tabs>
                <w:tab w:val="clear" w:pos="1800"/>
              </w:tabs>
              <w:ind w:left="0" w:right="72" w:firstLine="0"/>
              <w:rPr>
                <w:iCs w:val="0"/>
                <w:sz w:val="20"/>
                <w:szCs w:val="20"/>
              </w:rPr>
            </w:pPr>
          </w:p>
        </w:tc>
        <w:tc>
          <w:tcPr>
            <w:tcW w:w="8820" w:type="dxa"/>
          </w:tcPr>
          <w:p w:rsidR="00FE0C7C" w:rsidRDefault="00C5516C"/>
        </w:tc>
        <w:tc>
          <w:tcPr>
            <w:tcW w:w="8820" w:type="dxa"/>
          </w:tcPr>
          <w:p w:rsidR="00FE0C7C" w:rsidRDefault="00C5516C">
            <w:pPr>
              <w:rPr>
                <w:sz w:val="20"/>
                <w:szCs w:val="20"/>
              </w:rPr>
            </w:pPr>
          </w:p>
        </w:tc>
      </w:tr>
      <w:tr w:rsidR="00B502B0">
        <w:trPr>
          <w:gridAfter w:val="2"/>
          <w:wAfter w:w="17640" w:type="dxa"/>
        </w:trPr>
        <w:tc>
          <w:tcPr>
            <w:tcW w:w="1440" w:type="dxa"/>
          </w:tcPr>
          <w:p w:rsidR="00FE0C7C" w:rsidRDefault="00C5516C">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iCs w:val="0"/>
              </w:rPr>
            </w:pPr>
            <w:r>
              <w:rPr>
                <w:iCs w:val="0"/>
              </w:rPr>
              <w:t>=</w:t>
            </w: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w:p>
        </w:tc>
        <w:tc>
          <w:tcPr>
            <w:tcW w:w="270" w:type="dxa"/>
          </w:tcPr>
          <w:p w:rsidR="00FE0C7C" w:rsidRDefault="00C5516C">
            <w:pPr>
              <w:pStyle w:val="equationtext"/>
              <w:tabs>
                <w:tab w:val="clear" w:pos="1800"/>
              </w:tabs>
              <w:ind w:left="-108" w:right="-108" w:firstLine="0"/>
              <w:jc w:val="center"/>
              <w:rPr>
                <w:iCs w:val="0"/>
              </w:rPr>
            </w:pPr>
          </w:p>
        </w:tc>
        <w:tc>
          <w:tcPr>
            <w:tcW w:w="8820" w:type="dxa"/>
          </w:tcPr>
          <w:p w:rsidR="00FE0C7C" w:rsidRDefault="00C5516C">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FE0C7C" w:rsidRDefault="00C5516C">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w:p>
        </w:tc>
        <w:tc>
          <w:tcPr>
            <w:tcW w:w="270" w:type="dxa"/>
          </w:tcPr>
          <w:p w:rsidR="00FE0C7C" w:rsidRDefault="00C5516C">
            <w:pPr>
              <w:pStyle w:val="equationtext"/>
              <w:tabs>
                <w:tab w:val="clear" w:pos="1800"/>
              </w:tabs>
              <w:ind w:left="-108" w:right="-108" w:firstLine="0"/>
              <w:jc w:val="center"/>
              <w:rPr>
                <w:iCs w:val="0"/>
                <w:sz w:val="20"/>
                <w:szCs w:val="20"/>
              </w:rPr>
            </w:pP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FE0C7C" w:rsidRDefault="00C5516C">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FE0C7C" w:rsidRDefault="00C5516C">
            <w:pPr>
              <w:pStyle w:val="equationtext"/>
              <w:tabs>
                <w:tab w:val="clear" w:pos="1800"/>
              </w:tabs>
              <w:ind w:left="0" w:right="72" w:firstLine="0"/>
              <w:rPr>
                <w:iCs w:val="0"/>
                <w:sz w:val="20"/>
                <w:szCs w:val="20"/>
              </w:rPr>
            </w:pP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FE0C7C" w:rsidRDefault="00C5516C">
            <w:pPr>
              <w:pStyle w:val="equationtext"/>
              <w:tabs>
                <w:tab w:val="clear" w:pos="1800"/>
              </w:tabs>
              <w:ind w:left="-108" w:right="-108" w:firstLine="0"/>
              <w:jc w:val="center"/>
              <w:rPr>
                <w:iCs w:val="0"/>
              </w:rPr>
            </w:pPr>
            <w:r>
              <w:rPr>
                <w:iCs w:val="0"/>
              </w:rPr>
              <w:t>=</w:t>
            </w: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E0C7C" w:rsidRDefault="00C5516C">
            <w:pPr>
              <w:pStyle w:val="equationtext"/>
              <w:tabs>
                <w:tab w:val="clear" w:pos="1800"/>
              </w:tabs>
              <w:ind w:left="-108" w:right="-108" w:firstLine="0"/>
              <w:jc w:val="center"/>
              <w:rPr>
                <w:iCs w:val="0"/>
              </w:rPr>
            </w:pPr>
            <w:r>
              <w:rPr>
                <w:iCs w:val="0"/>
              </w:rPr>
              <w:t>=</w:t>
            </w: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B502B0">
        <w:trPr>
          <w:gridAfter w:val="2"/>
          <w:wAfter w:w="17640" w:type="dxa"/>
        </w:trPr>
        <w:tc>
          <w:tcPr>
            <w:tcW w:w="1440" w:type="dxa"/>
          </w:tcPr>
          <w:p w:rsidR="00FE0C7C" w:rsidRDefault="00C5516C">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E0C7C" w:rsidRDefault="00C5516C">
            <w:pPr>
              <w:pStyle w:val="equationtext"/>
              <w:tabs>
                <w:tab w:val="clear" w:pos="1800"/>
              </w:tabs>
              <w:ind w:left="-108" w:right="-108" w:firstLine="0"/>
              <w:jc w:val="center"/>
              <w:rPr>
                <w:iCs w:val="0"/>
              </w:rPr>
            </w:pPr>
            <w:r>
              <w:rPr>
                <w:iCs w:val="0"/>
              </w:rPr>
              <w:t>=</w:t>
            </w:r>
          </w:p>
        </w:tc>
        <w:tc>
          <w:tcPr>
            <w:tcW w:w="8820" w:type="dxa"/>
          </w:tcPr>
          <w:p w:rsidR="00FE0C7C" w:rsidRDefault="00C5516C">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FE0C7C" w:rsidRDefault="00C5516C">
      <w:pPr>
        <w:pStyle w:val="Heading2"/>
      </w:pPr>
      <w:bookmarkStart w:id="8" w:name="_Toc261252304"/>
      <w:bookmarkStart w:id="9" w:name="_Toc261252305"/>
      <w:bookmarkEnd w:id="8"/>
      <w:r>
        <w:t>25.4</w:t>
      </w:r>
      <w:r>
        <w:tab/>
        <w:t>Exception for Generators Lagging Behind RTD Base Point Signals</w:t>
      </w:r>
      <w:bookmarkEnd w:id="9"/>
    </w:p>
    <w:p w:rsidR="00FE0C7C" w:rsidRDefault="00C5516C">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FE0C7C" w:rsidRDefault="00C5516C">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FE0C7C" w:rsidRDefault="00C5516C">
      <w:pPr>
        <w:pStyle w:val="Heading2"/>
      </w:pPr>
      <w:bookmarkStart w:id="10" w:name="_Toc261252306"/>
      <w:r>
        <w:t>25.5</w:t>
      </w:r>
      <w:r>
        <w:tab/>
        <w:t>Rules Applicable to Supplier Derates</w:t>
      </w:r>
      <w:bookmarkEnd w:id="10"/>
    </w:p>
    <w:p w:rsidR="00FE0C7C" w:rsidRDefault="00C5516C">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w:t>
      </w:r>
      <w:r>
        <w:t xml:space="preserve">l consistent with their revised Emergency Upper Operating Limit or Normal Upper Operating Limit, whichever is applicable.  The foregoing rule shall also apply to a Generator otherwise eligible for a Day-Ahead Margin Assurance Payment in hours in which the </w:t>
      </w:r>
      <w:r>
        <w:t xml:space="preserve">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w:t>
      </w:r>
      <w:r>
        <w:t>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w:t>
      </w:r>
      <w:r>
        <w:t>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vAlign w:val="center"/>
          </w:tcPr>
          <w:p w:rsidR="00FE0C7C" w:rsidRDefault="00C5516C">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vAlign w:val="center"/>
          </w:tcPr>
          <w:p w:rsidR="00FE0C7C" w:rsidRDefault="00C5516C">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vAlign w:val="center"/>
          </w:tcPr>
          <w:p w:rsidR="00FE0C7C" w:rsidRDefault="00C5516C">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vAlign w:val="center"/>
          </w:tcPr>
          <w:p w:rsidR="00FE0C7C" w:rsidRDefault="00C5516C">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vAlign w:val="center"/>
          </w:tcPr>
          <w:p w:rsidR="00FE0C7C" w:rsidRDefault="00C5516C">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B502B0">
        <w:tc>
          <w:tcPr>
            <w:tcW w:w="1440" w:type="dxa"/>
            <w:vAlign w:val="center"/>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vAlign w:val="center"/>
          </w:tcPr>
          <w:p w:rsidR="00FE0C7C" w:rsidRDefault="00C5516C">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FE0C7C" w:rsidRDefault="00C5516C">
      <w:pPr>
        <w:pStyle w:val="Bodypara"/>
        <w:ind w:firstLine="0"/>
      </w:pPr>
      <w:r>
        <w:tab/>
        <w:t>where:</w:t>
      </w:r>
    </w:p>
    <w:p w:rsidR="00FE0C7C" w:rsidRDefault="00C5516C">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w:t>
            </w:r>
            <w:r>
              <w:rPr>
                <w:sz w:val="18"/>
                <w:szCs w:val="20"/>
              </w:rPr>
              <w:t xml:space="preserve">is reduced for the purposes of calculating the Day-Ahead Margin Assurance Payment in interval </w:t>
            </w:r>
            <w:r>
              <w:rPr>
                <w:i/>
                <w:sz w:val="18"/>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B502B0">
        <w:tc>
          <w:tcPr>
            <w:tcW w:w="1440" w:type="dxa"/>
          </w:tcPr>
          <w:p w:rsidR="00FE0C7C" w:rsidRDefault="00C5516C">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FE0C7C" w:rsidRDefault="00C5516C">
            <w:pPr>
              <w:pStyle w:val="equationtext"/>
              <w:tabs>
                <w:tab w:val="clear" w:pos="1800"/>
              </w:tabs>
              <w:ind w:left="-108" w:right="-108" w:firstLine="0"/>
              <w:jc w:val="center"/>
              <w:rPr>
                <w:sz w:val="20"/>
                <w:szCs w:val="20"/>
              </w:rPr>
            </w:pPr>
            <w:r>
              <w:rPr>
                <w:sz w:val="20"/>
                <w:szCs w:val="20"/>
              </w:rPr>
              <w:t>=</w:t>
            </w:r>
          </w:p>
        </w:tc>
        <w:tc>
          <w:tcPr>
            <w:tcW w:w="7398" w:type="dxa"/>
          </w:tcPr>
          <w:p w:rsidR="00FE0C7C" w:rsidRDefault="00C5516C">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FE0C7C" w:rsidRDefault="00C5516C">
      <w:pPr>
        <w:pStyle w:val="equationtext"/>
      </w:pPr>
    </w:p>
    <w:p w:rsidR="00FE0C7C" w:rsidRDefault="00C5516C">
      <w:pPr>
        <w:pStyle w:val="Bodypara"/>
      </w:pPr>
      <w:r>
        <w:t>All other variables are as defined above.</w:t>
      </w:r>
    </w:p>
    <w:p w:rsidR="00FE0C7C" w:rsidRDefault="00C5516C">
      <w:pPr>
        <w:pStyle w:val="Heading2"/>
      </w:pPr>
      <w:bookmarkStart w:id="11" w:name="_Toc261252307"/>
      <w:r>
        <w:t xml:space="preserve"> 25.6</w:t>
      </w:r>
      <w:r>
        <w:tab/>
        <w:t>Import Curtailment Guarantee Payments</w:t>
      </w:r>
    </w:p>
    <w:p w:rsidR="00FE0C7C" w:rsidRDefault="00C5516C">
      <w:pPr>
        <w:pStyle w:val="Heading3"/>
        <w:rPr>
          <w:u w:val="double"/>
        </w:rPr>
      </w:pPr>
      <w:r>
        <w:t xml:space="preserve">25.6.1 </w:t>
      </w:r>
      <w:r>
        <w:tab/>
        <w:t xml:space="preserve">Eligibility for an Import Curtailment Guarantee Payment for an </w:t>
      </w:r>
      <w:r>
        <w:t>Import Curtailed by the ISO</w:t>
      </w:r>
    </w:p>
    <w:p w:rsidR="00FE0C7C" w:rsidRDefault="00C5516C">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FE0C7C" w:rsidRDefault="00C5516C">
      <w:pPr>
        <w:pStyle w:val="Heading3"/>
      </w:pPr>
      <w:r>
        <w:t xml:space="preserve">25.6.2 </w:t>
      </w:r>
      <w:r>
        <w:tab/>
        <w:t>Formula for an Import Curtailment Guarantee Payment for a Supplier Whose Import Was Curtailed by the ISO</w:t>
      </w:r>
    </w:p>
    <w:p w:rsidR="00FE0C7C" w:rsidRDefault="00C5516C">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FE0C7C" w:rsidRDefault="00C5516C">
      <w:pPr>
        <w:widowControl w:val="0"/>
      </w:pPr>
      <w:r>
        <w:t xml:space="preserve">Import Curtailment Guarantee Payment to Supplier u in association with Import t = </w:t>
      </w:r>
    </w:p>
    <w:p w:rsidR="00FE0C7C" w:rsidRDefault="00C5516C">
      <w:pPr>
        <w:widowControl w:val="0"/>
      </w:pPr>
    </w:p>
    <w:p w:rsidR="00FE0C7C" w:rsidRDefault="00C5516C">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FE0C7C" w:rsidRDefault="00C5516C">
      <w:pPr>
        <w:widowControl w:val="0"/>
      </w:pPr>
    </w:p>
    <w:p w:rsidR="00FE0C7C" w:rsidRDefault="00C5516C">
      <w:pPr>
        <w:widowControl w:val="0"/>
      </w:pPr>
    </w:p>
    <w:p w:rsidR="00FE0C7C" w:rsidRDefault="00C5516C">
      <w:pPr>
        <w:widowControl w:val="0"/>
      </w:pPr>
      <w:r>
        <w:t>Where</w:t>
      </w:r>
    </w:p>
    <w:p w:rsidR="00FE0C7C" w:rsidRDefault="00C5516C">
      <w:pPr>
        <w:widowControl w:val="0"/>
      </w:pPr>
    </w:p>
    <w:bookmarkEnd w:id="11"/>
    <w:p w:rsidR="00FE0C7C" w:rsidRDefault="00C5516C">
      <w:pPr>
        <w:widowControl w:val="0"/>
        <w:tabs>
          <w:tab w:val="left" w:pos="1260"/>
          <w:tab w:val="left" w:pos="1620"/>
        </w:tabs>
        <w:ind w:left="1620" w:hanging="1620"/>
      </w:pPr>
      <w:r>
        <w:rPr>
          <w:i/>
        </w:rPr>
        <w:t>N</w:t>
      </w:r>
      <w:r>
        <w:tab/>
        <w:t xml:space="preserve">=   the number of hours in the Dispatch Day </w:t>
      </w:r>
    </w:p>
    <w:p w:rsidR="00FE0C7C" w:rsidRDefault="00C5516C">
      <w:pPr>
        <w:widowControl w:val="0"/>
        <w:tabs>
          <w:tab w:val="left" w:pos="1260"/>
          <w:tab w:val="left" w:pos="1620"/>
        </w:tabs>
        <w:ind w:left="1620" w:hanging="1620"/>
      </w:pPr>
    </w:p>
    <w:p w:rsidR="00FE0C7C" w:rsidRDefault="00C5516C">
      <w:pPr>
        <w:widowControl w:val="0"/>
        <w:tabs>
          <w:tab w:val="left" w:pos="1260"/>
          <w:tab w:val="left" w:pos="1620"/>
        </w:tabs>
        <w:ind w:left="1620" w:hanging="1620"/>
      </w:pPr>
      <w:r>
        <w:rPr>
          <w:i/>
        </w:rPr>
        <w:t>H</w:t>
      </w:r>
      <w:r>
        <w:tab/>
        <w:t xml:space="preserve">=    the number of intervals in hour </w:t>
      </w:r>
      <w:r>
        <w:rPr>
          <w:i/>
        </w:rPr>
        <w:t>h</w:t>
      </w:r>
    </w:p>
    <w:p w:rsidR="00FE0C7C" w:rsidRDefault="00C5516C">
      <w:pPr>
        <w:widowControl w:val="0"/>
        <w:tabs>
          <w:tab w:val="left" w:pos="1260"/>
          <w:tab w:val="left" w:pos="1620"/>
        </w:tabs>
        <w:ind w:left="1620" w:hanging="1620"/>
      </w:pPr>
    </w:p>
    <w:p w:rsidR="00FE0C7C" w:rsidRDefault="00C5516C">
      <w:pPr>
        <w:widowControl w:val="0"/>
        <w:tabs>
          <w:tab w:val="left" w:pos="1260"/>
          <w:tab w:val="left" w:pos="1620"/>
        </w:tabs>
        <w:ind w:left="1620" w:hanging="1620"/>
      </w:pPr>
      <w:r>
        <w:rPr>
          <w:i/>
        </w:rPr>
        <w:t>i</w:t>
      </w:r>
      <w:r>
        <w:tab/>
        <w:t>=</w:t>
      </w:r>
      <w:r>
        <w:tab/>
        <w:t xml:space="preserve">the relevant interval in hour </w:t>
      </w:r>
      <w:r>
        <w:rPr>
          <w:i/>
        </w:rPr>
        <w:t>h</w:t>
      </w:r>
      <w:r>
        <w:t>;</w:t>
      </w:r>
    </w:p>
    <w:p w:rsidR="00FE0C7C" w:rsidRDefault="00C5516C">
      <w:pPr>
        <w:widowControl w:val="0"/>
        <w:tabs>
          <w:tab w:val="left" w:pos="1260"/>
          <w:tab w:val="left" w:pos="1620"/>
        </w:tabs>
        <w:ind w:left="1620" w:hanging="1620"/>
      </w:pPr>
    </w:p>
    <w:p w:rsidR="00FE0C7C" w:rsidRDefault="00C5516C">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FE0C7C" w:rsidRDefault="00C5516C">
      <w:pPr>
        <w:widowControl w:val="0"/>
        <w:tabs>
          <w:tab w:val="left" w:pos="1260"/>
          <w:tab w:val="left" w:pos="1620"/>
        </w:tabs>
        <w:ind w:left="1620" w:hanging="1620"/>
      </w:pPr>
    </w:p>
    <w:p w:rsidR="00FE0C7C" w:rsidRDefault="00C5516C">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w:t>
      </w:r>
      <w:r>
        <w:t xml:space="preserve">y Generator Bus which is the source of the Import </w:t>
      </w:r>
      <w:r>
        <w:rPr>
          <w:i/>
        </w:rPr>
        <w:t>t</w:t>
      </w:r>
      <w:r>
        <w:t>.</w:t>
      </w:r>
    </w:p>
    <w:p w:rsidR="00FE0C7C" w:rsidRDefault="00C5516C">
      <w:pPr>
        <w:widowControl w:val="0"/>
        <w:tabs>
          <w:tab w:val="left" w:pos="1260"/>
          <w:tab w:val="left" w:pos="1620"/>
        </w:tabs>
        <w:ind w:left="1620" w:hanging="1620"/>
      </w:pPr>
    </w:p>
    <w:p w:rsidR="00FE0C7C" w:rsidRDefault="00C5516C">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FE0C7C" w:rsidRDefault="00C5516C">
      <w:pPr>
        <w:widowControl w:val="0"/>
        <w:tabs>
          <w:tab w:val="left" w:pos="1260"/>
          <w:tab w:val="left" w:pos="1620"/>
        </w:tabs>
        <w:ind w:left="1620" w:hanging="1620"/>
      </w:pPr>
    </w:p>
    <w:p w:rsidR="00FE0C7C" w:rsidRDefault="00C5516C">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FE0C7C" w:rsidRDefault="00C5516C">
      <w:pPr>
        <w:widowControl w:val="0"/>
        <w:tabs>
          <w:tab w:val="left" w:pos="1260"/>
          <w:tab w:val="left" w:pos="1620"/>
        </w:tabs>
        <w:ind w:left="1620" w:hanging="1620"/>
      </w:pPr>
    </w:p>
    <w:p w:rsidR="00FE0C7C" w:rsidRDefault="00C5516C">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FE0C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16C">
      <w:r>
        <w:separator/>
      </w:r>
    </w:p>
  </w:endnote>
  <w:endnote w:type="continuationSeparator" w:id="0">
    <w:p w:rsidR="00000000" w:rsidRDefault="00C5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B0" w:rsidRDefault="00C5516C">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B0" w:rsidRDefault="00C5516C">
    <w:pPr>
      <w:jc w:val="right"/>
    </w:pPr>
    <w:r>
      <w:rPr>
        <w:rFonts w:ascii="Arial" w:eastAsia="Arial" w:hAnsi="Arial" w:cs="Arial"/>
        <w:color w:val="000000"/>
        <w:sz w:val="16"/>
      </w:rPr>
      <w:t xml:space="preserve">Effective Date: 8/26/2020 - Docket #: ER20-1696-001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B0" w:rsidRDefault="00C5516C">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16C">
      <w:r>
        <w:separator/>
      </w:r>
    </w:p>
  </w:footnote>
  <w:footnote w:type="continuationSeparator" w:id="0">
    <w:p w:rsidR="00000000" w:rsidRDefault="00C55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B0" w:rsidRDefault="00C5516C">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B0" w:rsidRDefault="00C5516C">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B0" w:rsidRDefault="00C5516C">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018FB80">
      <w:start w:val="1"/>
      <w:numFmt w:val="bullet"/>
      <w:pStyle w:val="Bulletpara"/>
      <w:lvlText w:val=""/>
      <w:lvlJc w:val="left"/>
      <w:pPr>
        <w:tabs>
          <w:tab w:val="num" w:pos="720"/>
        </w:tabs>
        <w:ind w:left="720" w:hanging="360"/>
      </w:pPr>
      <w:rPr>
        <w:rFonts w:ascii="Symbol" w:hAnsi="Symbol" w:hint="default"/>
      </w:rPr>
    </w:lvl>
    <w:lvl w:ilvl="1" w:tplc="26CCC5D8" w:tentative="1">
      <w:start w:val="1"/>
      <w:numFmt w:val="bullet"/>
      <w:lvlText w:val="o"/>
      <w:lvlJc w:val="left"/>
      <w:pPr>
        <w:tabs>
          <w:tab w:val="num" w:pos="1440"/>
        </w:tabs>
        <w:ind w:left="1440" w:hanging="360"/>
      </w:pPr>
      <w:rPr>
        <w:rFonts w:ascii="Courier New" w:hAnsi="Courier New" w:hint="default"/>
      </w:rPr>
    </w:lvl>
    <w:lvl w:ilvl="2" w:tplc="8A5C5762" w:tentative="1">
      <w:start w:val="1"/>
      <w:numFmt w:val="bullet"/>
      <w:lvlText w:val=""/>
      <w:lvlJc w:val="left"/>
      <w:pPr>
        <w:tabs>
          <w:tab w:val="num" w:pos="2160"/>
        </w:tabs>
        <w:ind w:left="2160" w:hanging="360"/>
      </w:pPr>
      <w:rPr>
        <w:rFonts w:ascii="Wingdings" w:hAnsi="Wingdings" w:hint="default"/>
      </w:rPr>
    </w:lvl>
    <w:lvl w:ilvl="3" w:tplc="B738588C" w:tentative="1">
      <w:start w:val="1"/>
      <w:numFmt w:val="bullet"/>
      <w:lvlText w:val=""/>
      <w:lvlJc w:val="left"/>
      <w:pPr>
        <w:tabs>
          <w:tab w:val="num" w:pos="2880"/>
        </w:tabs>
        <w:ind w:left="2880" w:hanging="360"/>
      </w:pPr>
      <w:rPr>
        <w:rFonts w:ascii="Symbol" w:hAnsi="Symbol" w:hint="default"/>
      </w:rPr>
    </w:lvl>
    <w:lvl w:ilvl="4" w:tplc="878C950C" w:tentative="1">
      <w:start w:val="1"/>
      <w:numFmt w:val="bullet"/>
      <w:lvlText w:val="o"/>
      <w:lvlJc w:val="left"/>
      <w:pPr>
        <w:tabs>
          <w:tab w:val="num" w:pos="3600"/>
        </w:tabs>
        <w:ind w:left="3600" w:hanging="360"/>
      </w:pPr>
      <w:rPr>
        <w:rFonts w:ascii="Courier New" w:hAnsi="Courier New" w:hint="default"/>
      </w:rPr>
    </w:lvl>
    <w:lvl w:ilvl="5" w:tplc="65525F6E" w:tentative="1">
      <w:start w:val="1"/>
      <w:numFmt w:val="bullet"/>
      <w:lvlText w:val=""/>
      <w:lvlJc w:val="left"/>
      <w:pPr>
        <w:tabs>
          <w:tab w:val="num" w:pos="4320"/>
        </w:tabs>
        <w:ind w:left="4320" w:hanging="360"/>
      </w:pPr>
      <w:rPr>
        <w:rFonts w:ascii="Wingdings" w:hAnsi="Wingdings" w:hint="default"/>
      </w:rPr>
    </w:lvl>
    <w:lvl w:ilvl="6" w:tplc="85A457C0" w:tentative="1">
      <w:start w:val="1"/>
      <w:numFmt w:val="bullet"/>
      <w:lvlText w:val=""/>
      <w:lvlJc w:val="left"/>
      <w:pPr>
        <w:tabs>
          <w:tab w:val="num" w:pos="5040"/>
        </w:tabs>
        <w:ind w:left="5040" w:hanging="360"/>
      </w:pPr>
      <w:rPr>
        <w:rFonts w:ascii="Symbol" w:hAnsi="Symbol" w:hint="default"/>
      </w:rPr>
    </w:lvl>
    <w:lvl w:ilvl="7" w:tplc="CC6CBEE2" w:tentative="1">
      <w:start w:val="1"/>
      <w:numFmt w:val="bullet"/>
      <w:lvlText w:val="o"/>
      <w:lvlJc w:val="left"/>
      <w:pPr>
        <w:tabs>
          <w:tab w:val="num" w:pos="5760"/>
        </w:tabs>
        <w:ind w:left="5760" w:hanging="360"/>
      </w:pPr>
      <w:rPr>
        <w:rFonts w:ascii="Courier New" w:hAnsi="Courier New" w:hint="default"/>
      </w:rPr>
    </w:lvl>
    <w:lvl w:ilvl="8" w:tplc="7684471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92265EA0">
      <w:start w:val="1"/>
      <w:numFmt w:val="lowerLetter"/>
      <w:lvlText w:val="(%1)"/>
      <w:lvlJc w:val="left"/>
      <w:pPr>
        <w:ind w:left="720" w:hanging="360"/>
      </w:pPr>
      <w:rPr>
        <w:rFonts w:hint="default"/>
      </w:rPr>
    </w:lvl>
    <w:lvl w:ilvl="1" w:tplc="9A72A72E" w:tentative="1">
      <w:start w:val="1"/>
      <w:numFmt w:val="lowerLetter"/>
      <w:lvlText w:val="%2."/>
      <w:lvlJc w:val="left"/>
      <w:pPr>
        <w:ind w:left="1440" w:hanging="360"/>
      </w:pPr>
    </w:lvl>
    <w:lvl w:ilvl="2" w:tplc="FD0667CC" w:tentative="1">
      <w:start w:val="1"/>
      <w:numFmt w:val="lowerRoman"/>
      <w:lvlText w:val="%3."/>
      <w:lvlJc w:val="right"/>
      <w:pPr>
        <w:ind w:left="2160" w:hanging="180"/>
      </w:pPr>
    </w:lvl>
    <w:lvl w:ilvl="3" w:tplc="52E0D2AC" w:tentative="1">
      <w:start w:val="1"/>
      <w:numFmt w:val="decimal"/>
      <w:lvlText w:val="%4."/>
      <w:lvlJc w:val="left"/>
      <w:pPr>
        <w:ind w:left="2880" w:hanging="360"/>
      </w:pPr>
    </w:lvl>
    <w:lvl w:ilvl="4" w:tplc="8E7A82DE" w:tentative="1">
      <w:start w:val="1"/>
      <w:numFmt w:val="lowerLetter"/>
      <w:lvlText w:val="%5."/>
      <w:lvlJc w:val="left"/>
      <w:pPr>
        <w:ind w:left="3600" w:hanging="360"/>
      </w:pPr>
    </w:lvl>
    <w:lvl w:ilvl="5" w:tplc="DC9831DE" w:tentative="1">
      <w:start w:val="1"/>
      <w:numFmt w:val="lowerRoman"/>
      <w:lvlText w:val="%6."/>
      <w:lvlJc w:val="right"/>
      <w:pPr>
        <w:ind w:left="4320" w:hanging="180"/>
      </w:pPr>
    </w:lvl>
    <w:lvl w:ilvl="6" w:tplc="A054583A" w:tentative="1">
      <w:start w:val="1"/>
      <w:numFmt w:val="decimal"/>
      <w:lvlText w:val="%7."/>
      <w:lvlJc w:val="left"/>
      <w:pPr>
        <w:ind w:left="5040" w:hanging="360"/>
      </w:pPr>
    </w:lvl>
    <w:lvl w:ilvl="7" w:tplc="FA9249F4" w:tentative="1">
      <w:start w:val="1"/>
      <w:numFmt w:val="lowerLetter"/>
      <w:lvlText w:val="%8."/>
      <w:lvlJc w:val="left"/>
      <w:pPr>
        <w:ind w:left="5760" w:hanging="360"/>
      </w:pPr>
    </w:lvl>
    <w:lvl w:ilvl="8" w:tplc="7B420CF8"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9DAFB94">
      <w:start w:val="1"/>
      <w:numFmt w:val="lowerRoman"/>
      <w:lvlText w:val="(%1)"/>
      <w:lvlJc w:val="left"/>
      <w:pPr>
        <w:tabs>
          <w:tab w:val="num" w:pos="2448"/>
        </w:tabs>
        <w:ind w:left="2448" w:hanging="648"/>
      </w:pPr>
      <w:rPr>
        <w:rFonts w:cs="Times New Roman" w:hint="default"/>
        <w:b w:val="0"/>
        <w:i w:val="0"/>
        <w:u w:val="none"/>
      </w:rPr>
    </w:lvl>
    <w:lvl w:ilvl="1" w:tplc="F6B419CC" w:tentative="1">
      <w:start w:val="1"/>
      <w:numFmt w:val="lowerLetter"/>
      <w:lvlText w:val="%2."/>
      <w:lvlJc w:val="left"/>
      <w:pPr>
        <w:tabs>
          <w:tab w:val="num" w:pos="1440"/>
        </w:tabs>
        <w:ind w:left="1440" w:hanging="360"/>
      </w:pPr>
      <w:rPr>
        <w:rFonts w:cs="Times New Roman"/>
      </w:rPr>
    </w:lvl>
    <w:lvl w:ilvl="2" w:tplc="F718F3C2" w:tentative="1">
      <w:start w:val="1"/>
      <w:numFmt w:val="lowerRoman"/>
      <w:lvlText w:val="%3."/>
      <w:lvlJc w:val="right"/>
      <w:pPr>
        <w:tabs>
          <w:tab w:val="num" w:pos="2160"/>
        </w:tabs>
        <w:ind w:left="2160" w:hanging="180"/>
      </w:pPr>
      <w:rPr>
        <w:rFonts w:cs="Times New Roman"/>
      </w:rPr>
    </w:lvl>
    <w:lvl w:ilvl="3" w:tplc="DCD8CD92" w:tentative="1">
      <w:start w:val="1"/>
      <w:numFmt w:val="decimal"/>
      <w:lvlText w:val="%4."/>
      <w:lvlJc w:val="left"/>
      <w:pPr>
        <w:tabs>
          <w:tab w:val="num" w:pos="2880"/>
        </w:tabs>
        <w:ind w:left="2880" w:hanging="360"/>
      </w:pPr>
      <w:rPr>
        <w:rFonts w:cs="Times New Roman"/>
      </w:rPr>
    </w:lvl>
    <w:lvl w:ilvl="4" w:tplc="F2E49640" w:tentative="1">
      <w:start w:val="1"/>
      <w:numFmt w:val="lowerLetter"/>
      <w:lvlText w:val="%5."/>
      <w:lvlJc w:val="left"/>
      <w:pPr>
        <w:tabs>
          <w:tab w:val="num" w:pos="3600"/>
        </w:tabs>
        <w:ind w:left="3600" w:hanging="360"/>
      </w:pPr>
      <w:rPr>
        <w:rFonts w:cs="Times New Roman"/>
      </w:rPr>
    </w:lvl>
    <w:lvl w:ilvl="5" w:tplc="8B9C6058" w:tentative="1">
      <w:start w:val="1"/>
      <w:numFmt w:val="lowerRoman"/>
      <w:lvlText w:val="%6."/>
      <w:lvlJc w:val="right"/>
      <w:pPr>
        <w:tabs>
          <w:tab w:val="num" w:pos="4320"/>
        </w:tabs>
        <w:ind w:left="4320" w:hanging="180"/>
      </w:pPr>
      <w:rPr>
        <w:rFonts w:cs="Times New Roman"/>
      </w:rPr>
    </w:lvl>
    <w:lvl w:ilvl="6" w:tplc="75EE8AAC" w:tentative="1">
      <w:start w:val="1"/>
      <w:numFmt w:val="decimal"/>
      <w:lvlText w:val="%7."/>
      <w:lvlJc w:val="left"/>
      <w:pPr>
        <w:tabs>
          <w:tab w:val="num" w:pos="5040"/>
        </w:tabs>
        <w:ind w:left="5040" w:hanging="360"/>
      </w:pPr>
      <w:rPr>
        <w:rFonts w:cs="Times New Roman"/>
      </w:rPr>
    </w:lvl>
    <w:lvl w:ilvl="7" w:tplc="6A968646" w:tentative="1">
      <w:start w:val="1"/>
      <w:numFmt w:val="lowerLetter"/>
      <w:lvlText w:val="%8."/>
      <w:lvlJc w:val="left"/>
      <w:pPr>
        <w:tabs>
          <w:tab w:val="num" w:pos="5760"/>
        </w:tabs>
        <w:ind w:left="5760" w:hanging="360"/>
      </w:pPr>
      <w:rPr>
        <w:rFonts w:cs="Times New Roman"/>
      </w:rPr>
    </w:lvl>
    <w:lvl w:ilvl="8" w:tplc="9AE850F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B9AA95A">
      <w:start w:val="1"/>
      <w:numFmt w:val="decimal"/>
      <w:lvlText w:val="%1."/>
      <w:lvlJc w:val="left"/>
      <w:pPr>
        <w:tabs>
          <w:tab w:val="num" w:pos="720"/>
        </w:tabs>
        <w:ind w:left="720" w:hanging="360"/>
      </w:pPr>
      <w:rPr>
        <w:rFonts w:cs="Times New Roman"/>
      </w:rPr>
    </w:lvl>
    <w:lvl w:ilvl="1" w:tplc="88964DE4" w:tentative="1">
      <w:start w:val="1"/>
      <w:numFmt w:val="lowerLetter"/>
      <w:lvlText w:val="%2."/>
      <w:lvlJc w:val="left"/>
      <w:pPr>
        <w:tabs>
          <w:tab w:val="num" w:pos="1440"/>
        </w:tabs>
        <w:ind w:left="1440" w:hanging="360"/>
      </w:pPr>
      <w:rPr>
        <w:rFonts w:cs="Times New Roman"/>
      </w:rPr>
    </w:lvl>
    <w:lvl w:ilvl="2" w:tplc="7DF22AF0" w:tentative="1">
      <w:start w:val="1"/>
      <w:numFmt w:val="lowerRoman"/>
      <w:lvlText w:val="%3."/>
      <w:lvlJc w:val="right"/>
      <w:pPr>
        <w:tabs>
          <w:tab w:val="num" w:pos="2160"/>
        </w:tabs>
        <w:ind w:left="2160" w:hanging="180"/>
      </w:pPr>
      <w:rPr>
        <w:rFonts w:cs="Times New Roman"/>
      </w:rPr>
    </w:lvl>
    <w:lvl w:ilvl="3" w:tplc="C80062C4" w:tentative="1">
      <w:start w:val="1"/>
      <w:numFmt w:val="decimal"/>
      <w:lvlText w:val="%4."/>
      <w:lvlJc w:val="left"/>
      <w:pPr>
        <w:tabs>
          <w:tab w:val="num" w:pos="2880"/>
        </w:tabs>
        <w:ind w:left="2880" w:hanging="360"/>
      </w:pPr>
      <w:rPr>
        <w:rFonts w:cs="Times New Roman"/>
      </w:rPr>
    </w:lvl>
    <w:lvl w:ilvl="4" w:tplc="6522315A" w:tentative="1">
      <w:start w:val="1"/>
      <w:numFmt w:val="lowerLetter"/>
      <w:lvlText w:val="%5."/>
      <w:lvlJc w:val="left"/>
      <w:pPr>
        <w:tabs>
          <w:tab w:val="num" w:pos="3600"/>
        </w:tabs>
        <w:ind w:left="3600" w:hanging="360"/>
      </w:pPr>
      <w:rPr>
        <w:rFonts w:cs="Times New Roman"/>
      </w:rPr>
    </w:lvl>
    <w:lvl w:ilvl="5" w:tplc="C3809E00" w:tentative="1">
      <w:start w:val="1"/>
      <w:numFmt w:val="lowerRoman"/>
      <w:lvlText w:val="%6."/>
      <w:lvlJc w:val="right"/>
      <w:pPr>
        <w:tabs>
          <w:tab w:val="num" w:pos="4320"/>
        </w:tabs>
        <w:ind w:left="4320" w:hanging="180"/>
      </w:pPr>
      <w:rPr>
        <w:rFonts w:cs="Times New Roman"/>
      </w:rPr>
    </w:lvl>
    <w:lvl w:ilvl="6" w:tplc="F626BCE6" w:tentative="1">
      <w:start w:val="1"/>
      <w:numFmt w:val="decimal"/>
      <w:lvlText w:val="%7."/>
      <w:lvlJc w:val="left"/>
      <w:pPr>
        <w:tabs>
          <w:tab w:val="num" w:pos="5040"/>
        </w:tabs>
        <w:ind w:left="5040" w:hanging="360"/>
      </w:pPr>
      <w:rPr>
        <w:rFonts w:cs="Times New Roman"/>
      </w:rPr>
    </w:lvl>
    <w:lvl w:ilvl="7" w:tplc="4F1E9C42" w:tentative="1">
      <w:start w:val="1"/>
      <w:numFmt w:val="lowerLetter"/>
      <w:lvlText w:val="%8."/>
      <w:lvlJc w:val="left"/>
      <w:pPr>
        <w:tabs>
          <w:tab w:val="num" w:pos="5760"/>
        </w:tabs>
        <w:ind w:left="5760" w:hanging="360"/>
      </w:pPr>
      <w:rPr>
        <w:rFonts w:cs="Times New Roman"/>
      </w:rPr>
    </w:lvl>
    <w:lvl w:ilvl="8" w:tplc="27DA279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130C0942">
      <w:start w:val="1"/>
      <w:numFmt w:val="bullet"/>
      <w:lvlText w:val=""/>
      <w:lvlJc w:val="left"/>
      <w:pPr>
        <w:tabs>
          <w:tab w:val="num" w:pos="5760"/>
        </w:tabs>
        <w:ind w:left="5760" w:hanging="360"/>
      </w:pPr>
      <w:rPr>
        <w:rFonts w:ascii="Symbol" w:hAnsi="Symbol" w:hint="default"/>
        <w:color w:val="auto"/>
        <w:u w:val="none"/>
      </w:rPr>
    </w:lvl>
    <w:lvl w:ilvl="1" w:tplc="A5460CB2" w:tentative="1">
      <w:start w:val="1"/>
      <w:numFmt w:val="bullet"/>
      <w:lvlText w:val="o"/>
      <w:lvlJc w:val="left"/>
      <w:pPr>
        <w:tabs>
          <w:tab w:val="num" w:pos="3600"/>
        </w:tabs>
        <w:ind w:left="3600" w:hanging="360"/>
      </w:pPr>
      <w:rPr>
        <w:rFonts w:ascii="Courier New" w:hAnsi="Courier New" w:hint="default"/>
      </w:rPr>
    </w:lvl>
    <w:lvl w:ilvl="2" w:tplc="616AA34E" w:tentative="1">
      <w:start w:val="1"/>
      <w:numFmt w:val="bullet"/>
      <w:lvlText w:val=""/>
      <w:lvlJc w:val="left"/>
      <w:pPr>
        <w:tabs>
          <w:tab w:val="num" w:pos="4320"/>
        </w:tabs>
        <w:ind w:left="4320" w:hanging="360"/>
      </w:pPr>
      <w:rPr>
        <w:rFonts w:ascii="Wingdings" w:hAnsi="Wingdings" w:hint="default"/>
      </w:rPr>
    </w:lvl>
    <w:lvl w:ilvl="3" w:tplc="6FF6CEA4">
      <w:start w:val="1"/>
      <w:numFmt w:val="bullet"/>
      <w:lvlText w:val=""/>
      <w:lvlJc w:val="left"/>
      <w:pPr>
        <w:tabs>
          <w:tab w:val="num" w:pos="5040"/>
        </w:tabs>
        <w:ind w:left="5040" w:hanging="360"/>
      </w:pPr>
      <w:rPr>
        <w:rFonts w:ascii="Symbol" w:hAnsi="Symbol" w:hint="default"/>
      </w:rPr>
    </w:lvl>
    <w:lvl w:ilvl="4" w:tplc="05C8146E" w:tentative="1">
      <w:start w:val="1"/>
      <w:numFmt w:val="bullet"/>
      <w:lvlText w:val="o"/>
      <w:lvlJc w:val="left"/>
      <w:pPr>
        <w:tabs>
          <w:tab w:val="num" w:pos="5760"/>
        </w:tabs>
        <w:ind w:left="5760" w:hanging="360"/>
      </w:pPr>
      <w:rPr>
        <w:rFonts w:ascii="Courier New" w:hAnsi="Courier New" w:hint="default"/>
      </w:rPr>
    </w:lvl>
    <w:lvl w:ilvl="5" w:tplc="253E26C8" w:tentative="1">
      <w:start w:val="1"/>
      <w:numFmt w:val="bullet"/>
      <w:lvlText w:val=""/>
      <w:lvlJc w:val="left"/>
      <w:pPr>
        <w:tabs>
          <w:tab w:val="num" w:pos="6480"/>
        </w:tabs>
        <w:ind w:left="6480" w:hanging="360"/>
      </w:pPr>
      <w:rPr>
        <w:rFonts w:ascii="Wingdings" w:hAnsi="Wingdings" w:hint="default"/>
      </w:rPr>
    </w:lvl>
    <w:lvl w:ilvl="6" w:tplc="20E8AEF4" w:tentative="1">
      <w:start w:val="1"/>
      <w:numFmt w:val="bullet"/>
      <w:lvlText w:val=""/>
      <w:lvlJc w:val="left"/>
      <w:pPr>
        <w:tabs>
          <w:tab w:val="num" w:pos="7200"/>
        </w:tabs>
        <w:ind w:left="7200" w:hanging="360"/>
      </w:pPr>
      <w:rPr>
        <w:rFonts w:ascii="Symbol" w:hAnsi="Symbol" w:hint="default"/>
      </w:rPr>
    </w:lvl>
    <w:lvl w:ilvl="7" w:tplc="4BEE570C" w:tentative="1">
      <w:start w:val="1"/>
      <w:numFmt w:val="bullet"/>
      <w:lvlText w:val="o"/>
      <w:lvlJc w:val="left"/>
      <w:pPr>
        <w:tabs>
          <w:tab w:val="num" w:pos="7920"/>
        </w:tabs>
        <w:ind w:left="7920" w:hanging="360"/>
      </w:pPr>
      <w:rPr>
        <w:rFonts w:ascii="Courier New" w:hAnsi="Courier New" w:hint="default"/>
      </w:rPr>
    </w:lvl>
    <w:lvl w:ilvl="8" w:tplc="E95025D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BEB48314">
      <w:start w:val="1"/>
      <w:numFmt w:val="decimal"/>
      <w:lvlText w:val="(%1)"/>
      <w:lvlJc w:val="left"/>
      <w:pPr>
        <w:tabs>
          <w:tab w:val="num" w:pos="2520"/>
        </w:tabs>
        <w:ind w:left="2520" w:hanging="720"/>
      </w:pPr>
      <w:rPr>
        <w:rFonts w:cs="Times New Roman" w:hint="default"/>
      </w:rPr>
    </w:lvl>
    <w:lvl w:ilvl="1" w:tplc="F60CEBBE">
      <w:start w:val="1"/>
      <w:numFmt w:val="lowerRoman"/>
      <w:lvlText w:val="(%2)"/>
      <w:lvlJc w:val="left"/>
      <w:pPr>
        <w:tabs>
          <w:tab w:val="num" w:pos="1800"/>
        </w:tabs>
        <w:ind w:left="1800" w:hanging="720"/>
      </w:pPr>
      <w:rPr>
        <w:rFonts w:cs="Times New Roman" w:hint="default"/>
        <w:b w:val="0"/>
      </w:rPr>
    </w:lvl>
    <w:lvl w:ilvl="2" w:tplc="A162AFE0">
      <w:start w:val="1"/>
      <w:numFmt w:val="decimal"/>
      <w:lvlText w:val="(%3)"/>
      <w:lvlJc w:val="right"/>
      <w:pPr>
        <w:tabs>
          <w:tab w:val="num" w:pos="2160"/>
        </w:tabs>
        <w:ind w:left="2160" w:hanging="180"/>
      </w:pPr>
      <w:rPr>
        <w:rFonts w:ascii="Times New Roman" w:eastAsia="Times New Roman" w:hAnsi="Times New Roman" w:cs="Times New Roman"/>
        <w:b w:val="0"/>
      </w:rPr>
    </w:lvl>
    <w:lvl w:ilvl="3" w:tplc="9B0493DE">
      <w:start w:val="1"/>
      <w:numFmt w:val="lowerRoman"/>
      <w:lvlText w:val="(%4)"/>
      <w:lvlJc w:val="left"/>
      <w:pPr>
        <w:tabs>
          <w:tab w:val="num" w:pos="2520"/>
        </w:tabs>
        <w:ind w:left="2880" w:hanging="360"/>
      </w:pPr>
      <w:rPr>
        <w:rFonts w:cs="Times New Roman" w:hint="default"/>
        <w:b w:val="0"/>
      </w:rPr>
    </w:lvl>
    <w:lvl w:ilvl="4" w:tplc="26E815FA" w:tentative="1">
      <w:start w:val="1"/>
      <w:numFmt w:val="lowerLetter"/>
      <w:lvlText w:val="%5."/>
      <w:lvlJc w:val="left"/>
      <w:pPr>
        <w:tabs>
          <w:tab w:val="num" w:pos="3600"/>
        </w:tabs>
        <w:ind w:left="3600" w:hanging="360"/>
      </w:pPr>
      <w:rPr>
        <w:rFonts w:cs="Times New Roman"/>
      </w:rPr>
    </w:lvl>
    <w:lvl w:ilvl="5" w:tplc="72E0A068" w:tentative="1">
      <w:start w:val="1"/>
      <w:numFmt w:val="lowerRoman"/>
      <w:lvlText w:val="%6."/>
      <w:lvlJc w:val="right"/>
      <w:pPr>
        <w:tabs>
          <w:tab w:val="num" w:pos="4320"/>
        </w:tabs>
        <w:ind w:left="4320" w:hanging="180"/>
      </w:pPr>
      <w:rPr>
        <w:rFonts w:cs="Times New Roman"/>
      </w:rPr>
    </w:lvl>
    <w:lvl w:ilvl="6" w:tplc="3B405C90" w:tentative="1">
      <w:start w:val="1"/>
      <w:numFmt w:val="decimal"/>
      <w:lvlText w:val="%7."/>
      <w:lvlJc w:val="left"/>
      <w:pPr>
        <w:tabs>
          <w:tab w:val="num" w:pos="5040"/>
        </w:tabs>
        <w:ind w:left="5040" w:hanging="360"/>
      </w:pPr>
      <w:rPr>
        <w:rFonts w:cs="Times New Roman"/>
      </w:rPr>
    </w:lvl>
    <w:lvl w:ilvl="7" w:tplc="8CDA14BA" w:tentative="1">
      <w:start w:val="1"/>
      <w:numFmt w:val="lowerLetter"/>
      <w:lvlText w:val="%8."/>
      <w:lvlJc w:val="left"/>
      <w:pPr>
        <w:tabs>
          <w:tab w:val="num" w:pos="5760"/>
        </w:tabs>
        <w:ind w:left="5760" w:hanging="360"/>
      </w:pPr>
      <w:rPr>
        <w:rFonts w:cs="Times New Roman"/>
      </w:rPr>
    </w:lvl>
    <w:lvl w:ilvl="8" w:tplc="8860701A"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525AA0EA">
      <w:start w:val="1"/>
      <w:numFmt w:val="bullet"/>
      <w:lvlText w:val=""/>
      <w:lvlJc w:val="left"/>
      <w:pPr>
        <w:tabs>
          <w:tab w:val="num" w:pos="720"/>
        </w:tabs>
        <w:ind w:left="720" w:hanging="360"/>
      </w:pPr>
      <w:rPr>
        <w:rFonts w:ascii="Symbol" w:hAnsi="Symbol" w:hint="default"/>
      </w:rPr>
    </w:lvl>
    <w:lvl w:ilvl="1" w:tplc="A3BE2724" w:tentative="1">
      <w:start w:val="1"/>
      <w:numFmt w:val="bullet"/>
      <w:lvlText w:val="o"/>
      <w:lvlJc w:val="left"/>
      <w:pPr>
        <w:tabs>
          <w:tab w:val="num" w:pos="1440"/>
        </w:tabs>
        <w:ind w:left="1440" w:hanging="360"/>
      </w:pPr>
      <w:rPr>
        <w:rFonts w:ascii="Courier New" w:hAnsi="Courier New" w:hint="default"/>
      </w:rPr>
    </w:lvl>
    <w:lvl w:ilvl="2" w:tplc="FBEC263E" w:tentative="1">
      <w:start w:val="1"/>
      <w:numFmt w:val="bullet"/>
      <w:lvlText w:val=""/>
      <w:lvlJc w:val="left"/>
      <w:pPr>
        <w:tabs>
          <w:tab w:val="num" w:pos="2160"/>
        </w:tabs>
        <w:ind w:left="2160" w:hanging="360"/>
      </w:pPr>
      <w:rPr>
        <w:rFonts w:ascii="Wingdings" w:hAnsi="Wingdings" w:hint="default"/>
      </w:rPr>
    </w:lvl>
    <w:lvl w:ilvl="3" w:tplc="9BB6001A" w:tentative="1">
      <w:start w:val="1"/>
      <w:numFmt w:val="bullet"/>
      <w:lvlText w:val=""/>
      <w:lvlJc w:val="left"/>
      <w:pPr>
        <w:tabs>
          <w:tab w:val="num" w:pos="2880"/>
        </w:tabs>
        <w:ind w:left="2880" w:hanging="360"/>
      </w:pPr>
      <w:rPr>
        <w:rFonts w:ascii="Symbol" w:hAnsi="Symbol" w:hint="default"/>
      </w:rPr>
    </w:lvl>
    <w:lvl w:ilvl="4" w:tplc="44026232" w:tentative="1">
      <w:start w:val="1"/>
      <w:numFmt w:val="bullet"/>
      <w:lvlText w:val="o"/>
      <w:lvlJc w:val="left"/>
      <w:pPr>
        <w:tabs>
          <w:tab w:val="num" w:pos="3600"/>
        </w:tabs>
        <w:ind w:left="3600" w:hanging="360"/>
      </w:pPr>
      <w:rPr>
        <w:rFonts w:ascii="Courier New" w:hAnsi="Courier New" w:hint="default"/>
      </w:rPr>
    </w:lvl>
    <w:lvl w:ilvl="5" w:tplc="97B8E81E" w:tentative="1">
      <w:start w:val="1"/>
      <w:numFmt w:val="bullet"/>
      <w:lvlText w:val=""/>
      <w:lvlJc w:val="left"/>
      <w:pPr>
        <w:tabs>
          <w:tab w:val="num" w:pos="4320"/>
        </w:tabs>
        <w:ind w:left="4320" w:hanging="360"/>
      </w:pPr>
      <w:rPr>
        <w:rFonts w:ascii="Wingdings" w:hAnsi="Wingdings" w:hint="default"/>
      </w:rPr>
    </w:lvl>
    <w:lvl w:ilvl="6" w:tplc="71B47BF6" w:tentative="1">
      <w:start w:val="1"/>
      <w:numFmt w:val="bullet"/>
      <w:lvlText w:val=""/>
      <w:lvlJc w:val="left"/>
      <w:pPr>
        <w:tabs>
          <w:tab w:val="num" w:pos="5040"/>
        </w:tabs>
        <w:ind w:left="5040" w:hanging="360"/>
      </w:pPr>
      <w:rPr>
        <w:rFonts w:ascii="Symbol" w:hAnsi="Symbol" w:hint="default"/>
      </w:rPr>
    </w:lvl>
    <w:lvl w:ilvl="7" w:tplc="23B09524" w:tentative="1">
      <w:start w:val="1"/>
      <w:numFmt w:val="bullet"/>
      <w:lvlText w:val="o"/>
      <w:lvlJc w:val="left"/>
      <w:pPr>
        <w:tabs>
          <w:tab w:val="num" w:pos="5760"/>
        </w:tabs>
        <w:ind w:left="5760" w:hanging="360"/>
      </w:pPr>
      <w:rPr>
        <w:rFonts w:ascii="Courier New" w:hAnsi="Courier New" w:hint="default"/>
      </w:rPr>
    </w:lvl>
    <w:lvl w:ilvl="8" w:tplc="FBDCBA94"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502B0"/>
    <w:rsid w:val="00B502B0"/>
    <w:rsid w:val="00C5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AE1C1F-E439-4DD6-B9D2-E26C6A2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3968</Words>
  <Characters>22618</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2021-05-24T18:44:00Z</dcterms:created>
  <dcterms:modified xsi:type="dcterms:W3CDTF">2021-05-24T18:44:00Z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