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C8" w:rsidRDefault="00302FA9">
      <w:pPr>
        <w:pStyle w:val="Heading2"/>
      </w:pPr>
      <w:bookmarkStart w:id="0" w:name="_Toc261252178"/>
      <w:bookmarkStart w:id="1" w:name="_GoBack"/>
      <w:bookmarkEnd w:id="1"/>
      <w:r>
        <w:t>23.5</w:t>
      </w:r>
      <w:r>
        <w:tab/>
        <w:t>Other Mitigation Measures</w:t>
      </w:r>
      <w:bookmarkEnd w:id="0"/>
    </w:p>
    <w:p w:rsidR="007212C8" w:rsidRDefault="00302FA9">
      <w:pPr>
        <w:pStyle w:val="Heading3"/>
      </w:pPr>
      <w:bookmarkStart w:id="2" w:name="_Toc261252179"/>
      <w:r>
        <w:t>23.5.1</w:t>
      </w:r>
      <w:r>
        <w:tab/>
        <w:t>Facilitation of Real-Time Mitigation in Constrained Areas</w:t>
      </w:r>
      <w:bookmarkEnd w:id="2"/>
    </w:p>
    <w:p w:rsidR="007212C8" w:rsidRDefault="00302FA9">
      <w:pPr>
        <w:pStyle w:val="Bodypara"/>
      </w:pPr>
      <w:r>
        <w:t xml:space="preserve">To facilitate the application of the Real-Time mitigation measures specified in this Attachment H for Constrained Areas, all Generators located in a </w:t>
      </w:r>
      <w:r>
        <w:t>Constrained Area that are capable of doing so shall respond to RTD Base Point Signals, unless such a Generator is subject to contractual obligations in existence prior to June 1, 2002 that would preclude such operation.</w:t>
      </w:r>
    </w:p>
    <w:p w:rsidR="007212C8" w:rsidRDefault="00302FA9">
      <w:pPr>
        <w:pStyle w:val="Heading3"/>
      </w:pPr>
      <w:bookmarkStart w:id="3" w:name="_Toc261252180"/>
      <w:r>
        <w:t>23.5.2</w:t>
      </w:r>
      <w:r>
        <w:tab/>
        <w:t>Market Power Mitigation Measu</w:t>
      </w:r>
      <w:r>
        <w:t>res Applicable to In-City Unit Commitments for Local Reliability</w:t>
      </w:r>
      <w:bookmarkEnd w:id="3"/>
    </w:p>
    <w:p w:rsidR="007212C8" w:rsidRDefault="00302FA9">
      <w:pPr>
        <w:pStyle w:val="alphapara"/>
      </w:pPr>
      <w:r>
        <w:t>23.5.2.1</w:t>
      </w:r>
      <w:r>
        <w:tab/>
        <w:t>If an In-City Generator is scheduled in any hour in the Day-Ahead Market to meet the reliability needs of a local system, the ISO will set the In-City Generator’s Start-Up Bid to the</w:t>
      </w:r>
      <w:r>
        <w:t xml:space="preserve"> lower of the Bid or the applicable reference level, which may include a Start-Up reference level calculated in accordance with Section 23.3.1.4.4.3 of these Mitigation Measures.  In each hour an In-City Generator is scheduled in the Day-Ahead Market to me</w:t>
      </w:r>
      <w:r>
        <w:t>et the reliability needs of a local system, the ISO will set the In-City Generator’s Minimum Generation Bid to the lower of the Bid or the applicable reference level.</w:t>
      </w:r>
    </w:p>
    <w:p w:rsidR="007212C8" w:rsidRDefault="00302FA9">
      <w:pPr>
        <w:pStyle w:val="Heading3"/>
      </w:pPr>
      <w:bookmarkStart w:id="4" w:name="_Toc261252181"/>
      <w:r>
        <w:t>23.5.3</w:t>
      </w:r>
      <w:r>
        <w:tab/>
        <w:t>Market Power Mitigation Measures Applicable to Sales of Spinning Reserves</w:t>
      </w:r>
      <w:bookmarkEnd w:id="4"/>
    </w:p>
    <w:p w:rsidR="007212C8" w:rsidRDefault="00302FA9">
      <w:pPr>
        <w:pStyle w:val="alphapara"/>
      </w:pPr>
      <w:r>
        <w:t>23.5.3.1</w:t>
      </w:r>
      <w:r>
        <w:tab/>
        <w:t xml:space="preserve">Local reliability rules require that specified amounts of Spinning Reserves be provided by In-City Generators.  The Spinning Reserve-capable portion of each Generator located in </w:t>
      </w:r>
      <w:smartTag w:uri="urn:schemas-microsoft-com:office:smarttags" w:element="place">
        <w:smartTag w:uri="urn:schemas-microsoft-com:office:smarttags" w:element="City">
          <w:r>
            <w:t>New York City</w:t>
          </w:r>
        </w:smartTag>
      </w:smartTag>
      <w:r>
        <w:t xml:space="preserve"> must be made available to the ISO for purposes of meeting the N</w:t>
      </w:r>
      <w:r>
        <w:t>ew York City Spinning Reserve requirement.</w:t>
      </w:r>
    </w:p>
    <w:p w:rsidR="007212C8" w:rsidRDefault="00302FA9">
      <w:pPr>
        <w:pStyle w:val="alphapara"/>
      </w:pPr>
      <w:r>
        <w:lastRenderedPageBreak/>
        <w:t>23.5.3.2</w:t>
      </w:r>
      <w:r>
        <w:tab/>
        <w:t xml:space="preserve">The market power mitigation measures applicable to Spinning Reserves will be implemented when the ISO’s least-cost dispatch requires that one or more of the Generators located in </w:t>
      </w:r>
      <w:smartTag w:uri="urn:schemas-microsoft-com:office:smarttags" w:element="place">
        <w:smartTag w:uri="urn:schemas-microsoft-com:office:smarttags" w:element="City">
          <w:r>
            <w:t>New York City</w:t>
          </w:r>
        </w:smartTag>
      </w:smartTag>
      <w:r>
        <w:t xml:space="preserve"> be committe</w:t>
      </w:r>
      <w:r>
        <w:t>d to meet the In-City Spinning Reserve requirement.  For any day that an In-City Generator is committed to meet the In-City Spinning Reserve requirement under circumstances where the Generator would not otherwise have been committed under the ISO’s least-c</w:t>
      </w:r>
      <w:r>
        <w:t>ost dispatch, the market power mitigation measures applicable to unit commitments, as described in Section 23.5.2, would apply.</w:t>
      </w:r>
    </w:p>
    <w:p w:rsidR="002E57FA" w:rsidRDefault="00302FA9" w:rsidP="002E57FA">
      <w:pPr>
        <w:pStyle w:val="alphapara"/>
        <w:ind w:firstLine="720"/>
      </w:pPr>
      <w:r>
        <w:t xml:space="preserve">  </w:t>
      </w:r>
    </w:p>
    <w:p w:rsidR="007212C8" w:rsidRDefault="00302FA9">
      <w:pPr>
        <w:pStyle w:val="Heading3"/>
      </w:pPr>
      <w:bookmarkStart w:id="5" w:name="_Toc261252182"/>
      <w:r>
        <w:t>23.5.4</w:t>
      </w:r>
      <w:r>
        <w:tab/>
        <w:t>FERC-Ordered Measures</w:t>
      </w:r>
      <w:bookmarkEnd w:id="5"/>
    </w:p>
    <w:p w:rsidR="007212C8" w:rsidRDefault="00302FA9">
      <w:pPr>
        <w:pStyle w:val="Bodypara"/>
      </w:pPr>
      <w:r>
        <w:t>In addition to any mitigation measures specified above, the ISO shall administer, and apply when</w:t>
      </w:r>
      <w:r>
        <w:t xml:space="preserve"> appropriate in accordance with their terms, such other mitigation measures as it may be directed to implement by order of the FERC.</w:t>
      </w:r>
    </w:p>
    <w:p w:rsidR="007212C8" w:rsidRDefault="00302FA9">
      <w:pPr>
        <w:pStyle w:val="Bodypara"/>
      </w:pPr>
      <w:bookmarkStart w:id="6" w:name="_Toc261252183"/>
      <w:bookmarkEnd w:id="6"/>
    </w:p>
    <w:sectPr w:rsidR="007212C8" w:rsidSect="00D53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02FA9">
      <w:r>
        <w:separator/>
      </w:r>
    </w:p>
  </w:endnote>
  <w:endnote w:type="continuationSeparator" w:id="0">
    <w:p w:rsidR="00000000" w:rsidRDefault="0030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B6" w:rsidRDefault="00302FA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8/25/2014 - Docket #: ER13-298-003 -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B6" w:rsidRDefault="00302FA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8/25/2014 - Docket #: ER13-298-003 -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B6" w:rsidRDefault="00302FA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8/25/2014 - Docket #: ER13-298-003 -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02FA9">
      <w:r>
        <w:separator/>
      </w:r>
    </w:p>
  </w:footnote>
  <w:footnote w:type="continuationSeparator" w:id="0">
    <w:p w:rsidR="00000000" w:rsidRDefault="00302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B6" w:rsidRDefault="00302FA9">
    <w:r>
      <w:rPr>
        <w:rFonts w:ascii="Arial" w:eastAsia="Arial" w:hAnsi="Arial" w:cs="Arial"/>
        <w:color w:val="000000"/>
        <w:sz w:val="16"/>
      </w:rPr>
      <w:t xml:space="preserve">NYISO Tariffs --&gt; Market Administration and Control </w:t>
    </w:r>
    <w:r>
      <w:rPr>
        <w:rFonts w:ascii="Arial" w:eastAsia="Arial" w:hAnsi="Arial" w:cs="Arial"/>
        <w:color w:val="000000"/>
        <w:sz w:val="16"/>
      </w:rPr>
      <w:t>Area Services Tariff (MST) --&gt; 23 MST Att H - ISO Market Power Mitigation Measures --&gt; 23.5 MST Att H Other Mitigation Measures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B6" w:rsidRDefault="00302FA9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</w:t>
    </w:r>
    <w:r>
      <w:rPr>
        <w:rFonts w:ascii="Arial" w:eastAsia="Arial" w:hAnsi="Arial" w:cs="Arial"/>
        <w:color w:val="000000"/>
        <w:sz w:val="16"/>
      </w:rPr>
      <w:t>asures --&gt; 23.5 MST Att H Other Mitigation Measures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B6" w:rsidRDefault="00302FA9">
    <w:r>
      <w:rPr>
        <w:rFonts w:ascii="Arial" w:eastAsia="Arial" w:hAnsi="Arial" w:cs="Arial"/>
        <w:color w:val="000000"/>
        <w:sz w:val="16"/>
      </w:rPr>
      <w:t>NYISO Tariffs --&gt; Market Administration and Control Area Services Tariff (</w:t>
    </w:r>
    <w:r>
      <w:rPr>
        <w:rFonts w:ascii="Arial" w:eastAsia="Arial" w:hAnsi="Arial" w:cs="Arial"/>
        <w:color w:val="000000"/>
        <w:sz w:val="16"/>
      </w:rPr>
      <w:t>MST) --&gt; 23 MST Att H - ISO Market Power Mitigation Measures --&gt; 23.5 MST Att H Other Mitigation Measures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75374A"/>
    <w:multiLevelType w:val="hybridMultilevel"/>
    <w:tmpl w:val="F5EC19CC"/>
    <w:lvl w:ilvl="0" w:tplc="27F2EC3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BC8F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26F6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27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8CA5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F86E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EE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675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D00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2A749B"/>
    <w:multiLevelType w:val="hybridMultilevel"/>
    <w:tmpl w:val="EBD879C0"/>
    <w:lvl w:ilvl="0" w:tplc="320A383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52BA29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33C73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82A8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4648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C640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4944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D222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661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8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6A2B64"/>
    <w:multiLevelType w:val="hybridMultilevel"/>
    <w:tmpl w:val="BFF24B80"/>
    <w:lvl w:ilvl="0" w:tplc="13B2D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1817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1E60B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20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4C7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95E3E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6D6C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1C9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E5CA9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71739E9"/>
    <w:multiLevelType w:val="hybridMultilevel"/>
    <w:tmpl w:val="B29C98A0"/>
    <w:lvl w:ilvl="0" w:tplc="AF20F97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AF1AEE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44031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C9003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968F5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9CAABC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6FC075F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BE084F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198DDC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7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C6C4BCD"/>
    <w:multiLevelType w:val="hybridMultilevel"/>
    <w:tmpl w:val="D486CF1A"/>
    <w:lvl w:ilvl="0" w:tplc="2E640F1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4B6840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44503BF6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B03CA0F2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plc="107CBB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DE56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38E9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A4C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2E3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1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3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8"/>
  </w:num>
  <w:num w:numId="7">
    <w:abstractNumId w:val="7"/>
  </w:num>
  <w:num w:numId="8">
    <w:abstractNumId w:val="5"/>
  </w:num>
  <w:num w:numId="9">
    <w:abstractNumId w:val="23"/>
  </w:num>
  <w:num w:numId="10">
    <w:abstractNumId w:val="21"/>
  </w:num>
  <w:num w:numId="11">
    <w:abstractNumId w:val="4"/>
  </w:num>
  <w:num w:numId="12">
    <w:abstractNumId w:val="25"/>
  </w:num>
  <w:num w:numId="13">
    <w:abstractNumId w:val="8"/>
  </w:num>
  <w:num w:numId="14">
    <w:abstractNumId w:val="22"/>
  </w:num>
  <w:num w:numId="15">
    <w:abstractNumId w:val="18"/>
  </w:num>
  <w:num w:numId="16">
    <w:abstractNumId w:val="15"/>
  </w:num>
  <w:num w:numId="17">
    <w:abstractNumId w:val="14"/>
  </w:num>
  <w:num w:numId="18">
    <w:abstractNumId w:val="6"/>
  </w:num>
  <w:num w:numId="19">
    <w:abstractNumId w:val="19"/>
  </w:num>
  <w:num w:numId="20">
    <w:abstractNumId w:val="1"/>
  </w:num>
  <w:num w:numId="21">
    <w:abstractNumId w:val="33"/>
  </w:num>
  <w:num w:numId="22">
    <w:abstractNumId w:val="24"/>
  </w:num>
  <w:num w:numId="23">
    <w:abstractNumId w:val="27"/>
  </w:num>
  <w:num w:numId="24">
    <w:abstractNumId w:val="3"/>
  </w:num>
  <w:num w:numId="25">
    <w:abstractNumId w:val="34"/>
  </w:num>
  <w:num w:numId="26">
    <w:abstractNumId w:val="31"/>
  </w:num>
  <w:num w:numId="27">
    <w:abstractNumId w:val="32"/>
  </w:num>
  <w:num w:numId="28">
    <w:abstractNumId w:val="11"/>
  </w:num>
  <w:num w:numId="29">
    <w:abstractNumId w:val="12"/>
  </w:num>
  <w:num w:numId="30">
    <w:abstractNumId w:val="29"/>
  </w:num>
  <w:num w:numId="31">
    <w:abstractNumId w:val="10"/>
  </w:num>
  <w:num w:numId="32">
    <w:abstractNumId w:val="30"/>
  </w:num>
  <w:num w:numId="33">
    <w:abstractNumId w:val="17"/>
  </w:num>
  <w:num w:numId="34">
    <w:abstractNumId w:val="16"/>
  </w:num>
  <w:num w:numId="35">
    <w:abstractNumId w:val="13"/>
  </w:num>
  <w:num w:numId="36">
    <w:abstractNumId w:val="9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FC72B6"/>
    <w:rsid w:val="00302FA9"/>
    <w:rsid w:val="00FC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D2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4D21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4D21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0C4D21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4D21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0C4D21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C4D21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0C4D21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0C4D21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0C4D21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0C4D21"/>
    <w:rPr>
      <w:b/>
      <w:sz w:val="24"/>
      <w:szCs w:val="24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uiPriority w:val="99"/>
    <w:rsid w:val="000C4D21"/>
    <w:pPr>
      <w:spacing w:line="480" w:lineRule="auto"/>
      <w:ind w:left="1440" w:hanging="720"/>
    </w:pPr>
  </w:style>
  <w:style w:type="paragraph" w:styleId="Footer">
    <w:name w:val="footer"/>
    <w:basedOn w:val="Normal"/>
    <w:link w:val="FooterChar"/>
    <w:uiPriority w:val="99"/>
    <w:rsid w:val="000C4D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0C4D21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0C4D21"/>
    <w:pPr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0C4D2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C4D21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uiPriority w:val="99"/>
    <w:semiHidden/>
    <w:rsid w:val="000C4D21"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0C4D21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uiPriority w:val="99"/>
    <w:rsid w:val="000C4D21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0C4D21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uiPriority w:val="99"/>
    <w:rsid w:val="000C4D21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0C4D21"/>
    <w:pPr>
      <w:ind w:left="1440" w:hanging="720"/>
    </w:pPr>
  </w:style>
  <w:style w:type="paragraph" w:customStyle="1" w:styleId="TOCHeading1">
    <w:name w:val="TOC Heading1"/>
    <w:basedOn w:val="Normal"/>
    <w:uiPriority w:val="99"/>
    <w:rsid w:val="000C4D21"/>
    <w:pPr>
      <w:spacing w:before="240" w:after="24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0C4D21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uiPriority w:val="99"/>
    <w:rsid w:val="000C4D21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0C4D21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Bulletpara">
    <w:name w:val="Bullet para"/>
    <w:basedOn w:val="Normal"/>
    <w:uiPriority w:val="99"/>
    <w:rsid w:val="000C4D21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sid w:val="000C4D21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0C4D21"/>
    <w:pPr>
      <w:ind w:left="240"/>
    </w:pPr>
  </w:style>
  <w:style w:type="character" w:styleId="Hyperlink">
    <w:name w:val="Hyperlink"/>
    <w:basedOn w:val="DefaultParagraphFont"/>
    <w:uiPriority w:val="99"/>
    <w:rsid w:val="000C4D21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0C4D21"/>
    <w:pPr>
      <w:ind w:left="480"/>
    </w:pPr>
  </w:style>
  <w:style w:type="paragraph" w:styleId="TOC4">
    <w:name w:val="toc 4"/>
    <w:basedOn w:val="Normal"/>
    <w:next w:val="Normal"/>
    <w:uiPriority w:val="99"/>
    <w:semiHidden/>
    <w:rsid w:val="000C4D21"/>
    <w:pPr>
      <w:ind w:left="720"/>
    </w:pPr>
  </w:style>
  <w:style w:type="paragraph" w:customStyle="1" w:styleId="Level1">
    <w:name w:val="Level 1"/>
    <w:basedOn w:val="Normal"/>
    <w:uiPriority w:val="99"/>
    <w:rsid w:val="000C4D21"/>
    <w:pPr>
      <w:ind w:left="1890" w:hanging="720"/>
    </w:pPr>
  </w:style>
  <w:style w:type="paragraph" w:styleId="Date">
    <w:name w:val="Date"/>
    <w:basedOn w:val="Normal"/>
    <w:next w:val="Normal"/>
    <w:link w:val="DateChar"/>
    <w:uiPriority w:val="99"/>
    <w:rsid w:val="000C4D21"/>
  </w:style>
  <w:style w:type="paragraph" w:customStyle="1" w:styleId="Footers">
    <w:name w:val="Footers"/>
    <w:basedOn w:val="Heading1"/>
    <w:uiPriority w:val="99"/>
    <w:rsid w:val="000C4D2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uiPriority w:val="99"/>
    <w:rPr>
      <w:sz w:val="24"/>
      <w:szCs w:val="24"/>
    </w:rPr>
  </w:style>
  <w:style w:type="character" w:customStyle="1" w:styleId="alphaparaChar">
    <w:name w:val="alpha para Char"/>
    <w:basedOn w:val="DefaultParagraphFont"/>
    <w:link w:val="alphapara"/>
    <w:uiPriority w:val="99"/>
    <w:rsid w:val="000C4D21"/>
    <w:rPr>
      <w:sz w:val="24"/>
      <w:szCs w:val="24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uiPriority w:val="99"/>
    <w:rPr>
      <w:sz w:val="24"/>
      <w:szCs w:val="24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z w:val="24"/>
      <w:szCs w:val="24"/>
      <w:u w:val="double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0C4D21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C4D21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C4D21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C4D21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C4D21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C4D21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C4D21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C4D21"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4D21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0C4D21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C4D21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4D21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C4D21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C4D21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0C4D21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0C4D21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C4D21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4D2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C4D2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2010-03-11T20:38:00Z</cp:lastPrinted>
  <dcterms:created xsi:type="dcterms:W3CDTF">2024-03-25T17:45:00Z</dcterms:created>
  <dcterms:modified xsi:type="dcterms:W3CDTF">2024-03-25T17:45:00Z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  <property fmtid="{D5CDD505-2E9C-101B-9397-08002B2CF9AE}" pid="5" name="_AdHocReviewCycleID">
    <vt:i4>1123769762</vt:i4>
  </property>
  <property fmtid="{D5CDD505-2E9C-101B-9397-08002B2CF9AE}" pid="6" name="_NewReviewCycle">
    <vt:lpwstr/>
  </property>
  <property fmtid="{D5CDD505-2E9C-101B-9397-08002B2CF9AE}" pid="7" name="_PreviousAdHocReviewCycleID">
    <vt:i4>572952301</vt:i4>
  </property>
  <property fmtid="{D5CDD505-2E9C-101B-9397-08002B2CF9AE}" pid="8" name="_ReviewingToolsShownOnce">
    <vt:lpwstr/>
  </property>
</Properties>
</file>