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E0953">
      <w:pPr>
        <w:pStyle w:val="alphapara"/>
      </w:pPr>
      <w:bookmarkStart w:id="0" w:name="_DV_C103"/>
      <w:bookmarkStart w:id="1" w:name="_GoBack"/>
      <w:bookmarkEnd w:id="1"/>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For purposes of determining if</w:t>
      </w:r>
      <w:r>
        <w:t xml:space="preserve"> a Responsible Market Party is a Pivotal Supplier in a Mitigated Capacity Zone, the presumption of Control of Unforced Capacity can be rebutted by demonstrating to the reasonable satisfaction of the ISO </w:t>
      </w:r>
      <w:r>
        <w:rPr>
          <w:bCs/>
        </w:rPr>
        <w:t xml:space="preserve">that the ability to determine the price and quantity </w:t>
      </w:r>
      <w:r>
        <w:rPr>
          <w:bCs/>
        </w:rPr>
        <w:t>of offers to supply Unforced Capacity has been conveyed to a person or entity that is not an Affiliated Entity without limitation or condition</w:t>
      </w:r>
      <w:r>
        <w:t>, but cannot be rebutted by the sale of Unforced Capacity in a Capability Period or Monthly Auction.  For any Miti</w:t>
      </w:r>
      <w:r>
        <w:t>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 xml:space="preserve">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Unit that are addressed in thi</w:t>
      </w:r>
      <w:r>
        <w:t xml:space="preserve">s section of the Mitigation Measures are also addressed in Section 30.4.6.2.9 of Attachment O to this Services Tariff.  </w:t>
      </w:r>
    </w:p>
    <w:bookmarkEnd w:id="0"/>
    <w:p w:rsidR="006E0953"/>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2/20/2021 - Docket #: ER16-1404-005 -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2/20/2021 - Docket #: ER16-1404-005 -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2/20/2021 - Docket #: ER16-1404-005 -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23.4.5.5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23.4.5.5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23.4.5.5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53"/>
    <w:rsid w:val="006E0953"/>
    <w:rsid w:val="00E252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EA621-5688-4CC0-A2C6-3AAE0863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3</cp:revision>
  <cp:lastPrinted>2018-05-21T20:56:00Z</cp:lastPrinted>
  <dcterms:created xsi:type="dcterms:W3CDTF">2021-08-03T20:32:00Z</dcterms:created>
  <dcterms:modified xsi:type="dcterms:W3CDTF">2021-08-04T19:04:00Z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