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4D47BB">
      <w:pPr>
        <w:pStyle w:val="Heading2"/>
        <w:rPr>
          <w:bCs/>
          <w:i/>
          <w:iCs/>
        </w:rPr>
      </w:pPr>
      <w:bookmarkStart w:id="0" w:name="_Toc261446001"/>
      <w:r>
        <w:t>2.9</w:t>
      </w:r>
      <w:r>
        <w:tab/>
        <w:t>Definitions - I</w:t>
      </w:r>
      <w:bookmarkEnd w:id="0"/>
    </w:p>
    <w:p w:rsidR="00B07283" w:rsidRDefault="004D47BB">
      <w:pPr>
        <w:pStyle w:val="Definition"/>
      </w:pPr>
      <w:r>
        <w:rPr>
          <w:b/>
          <w:bCs/>
        </w:rPr>
        <w:t>ICAP Demand Curve</w:t>
      </w:r>
      <w:r>
        <w:t>: A series of prices which decline until reaching zero as the amount of Installed Capacity increases.</w:t>
      </w:r>
    </w:p>
    <w:p w:rsidR="00B07283" w:rsidRDefault="004D47BB">
      <w:pPr>
        <w:pStyle w:val="Definition"/>
      </w:pPr>
      <w:r>
        <w:rPr>
          <w:b/>
        </w:rPr>
        <w:t xml:space="preserve">ICAP Demand Curve Reset Filing Year:  </w:t>
      </w:r>
      <w:r>
        <w:t xml:space="preserve">A calendar year in which the ISO files ICAP Demand Curves, in accordance with </w:t>
      </w:r>
      <w:r>
        <w:t>Section 5.14.1.2.</w:t>
      </w:r>
      <w:r>
        <w:t>1.</w:t>
      </w:r>
      <w:r>
        <w:t>11</w:t>
      </w:r>
      <w:r w:rsidRPr="002A3691">
        <w:t xml:space="preserve"> </w:t>
      </w:r>
      <w:r w:rsidRPr="00893F28">
        <w:t>or Section 5.14.1.2.2.4.11</w:t>
      </w:r>
      <w:r>
        <w:t>.</w:t>
      </w:r>
    </w:p>
    <w:p w:rsidR="00223E37" w:rsidRPr="00E0476A" w:rsidRDefault="004D47BB">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4D47BB">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B07283" w:rsidRDefault="004D47BB" w:rsidP="00B07283">
      <w:pPr>
        <w:pStyle w:val="Definition"/>
      </w:pPr>
      <w:r>
        <w:rPr>
          <w:b/>
        </w:rPr>
        <w:t>Import Credit Requirement:</w:t>
      </w:r>
      <w:r>
        <w:t xml:space="preserve">  A component of the External Tran</w:t>
      </w:r>
      <w:r>
        <w:t>saction Component of the Operating Requirement, calculated in accordance with Section 26.4.2 of Attachment K to this Services Tariff.</w:t>
      </w:r>
    </w:p>
    <w:p w:rsidR="00B07283" w:rsidRDefault="004D47BB">
      <w:pPr>
        <w:pStyle w:val="Definition"/>
        <w:rPr>
          <w:u w:val="double"/>
        </w:rPr>
      </w:pPr>
      <w:r>
        <w:rPr>
          <w:b/>
        </w:rPr>
        <w:t>Import Curtailment Guarantee Payment</w:t>
      </w:r>
      <w:r>
        <w:t>: A payment made in accordance with Section 4.5.3.2 and Attachment J of this ISO Servi</w:t>
      </w:r>
      <w:r>
        <w:t xml:space="preserve">ces Tariff to compensate a Supplier whose Import is Curtailed by the ISO. </w:t>
      </w:r>
    </w:p>
    <w:p w:rsidR="00B07283" w:rsidRDefault="004D47BB">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4D47BB">
      <w:pPr>
        <w:pStyle w:val="Definition"/>
      </w:pPr>
      <w:r>
        <w:rPr>
          <w:b/>
        </w:rPr>
        <w:t xml:space="preserve">Imputed LBMP Revenue: </w:t>
      </w:r>
      <w:r>
        <w:t>Revenue developed fo</w:t>
      </w:r>
      <w:r>
        <w:t xml:space="preserve">r calculating a Generator or Import Bid Production Cost guarantee, for any interval, which equals the product of (i) the Bilateral Transaction scheduled MW in the Day-Ahead Market or real-time market, as appropriate,  from the Generator </w:t>
      </w:r>
      <w:r>
        <w:t>bus</w:t>
      </w:r>
      <w:r>
        <w:t xml:space="preserve"> or Proxy Genera</w:t>
      </w:r>
      <w:r>
        <w:t>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4D47BB">
      <w:pPr>
        <w:pStyle w:val="Definition"/>
      </w:pPr>
      <w:r w:rsidRPr="00677908">
        <w:rPr>
          <w:rFonts w:eastAsia="Calibri"/>
          <w:b/>
        </w:rPr>
        <w:t>Inactive Reserves:</w:t>
      </w:r>
      <w:r w:rsidRPr="00677908">
        <w:rPr>
          <w:rFonts w:eastAsia="Calibri"/>
          <w:b/>
        </w:rPr>
        <w:t xml:space="preserve">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w:t>
      </w:r>
      <w:r w:rsidRPr="00677908">
        <w:rPr>
          <w:rFonts w:eastAsia="Calibri"/>
        </w:rPr>
        <w:t>ther outage pursuant to the provisions of this Services Tariff or of ISO Procedures. A Generator in Inactive Reserves is ineligible to participate in the Installed Capacity market.</w:t>
      </w:r>
    </w:p>
    <w:p w:rsidR="00B07283" w:rsidRDefault="004D47BB">
      <w:pPr>
        <w:pStyle w:val="Definition"/>
      </w:pPr>
      <w:r>
        <w:rPr>
          <w:b/>
          <w:bCs/>
        </w:rPr>
        <w:lastRenderedPageBreak/>
        <w:t>Inadvertent Energy Accounting</w:t>
      </w:r>
      <w:r>
        <w:t xml:space="preserve">: The </w:t>
      </w:r>
      <w:r>
        <w:rPr>
          <w:bCs/>
          <w:iCs/>
        </w:rPr>
        <w:t>accounting</w:t>
      </w:r>
      <w:r>
        <w:t xml:space="preserve"> performed to track and reconc</w:t>
      </w:r>
      <w:r>
        <w:t>ile the difference between net actual Energy interchange and schedu</w:t>
      </w:r>
      <w:r>
        <w:rPr>
          <w:bCs/>
          <w:iCs/>
        </w:rPr>
        <w:t>l</w:t>
      </w:r>
      <w:r>
        <w:t>ed Energy interchange of a Control Area with adjacent Control Areas.</w:t>
      </w:r>
    </w:p>
    <w:p w:rsidR="00B07283" w:rsidRDefault="004D47BB">
      <w:pPr>
        <w:pStyle w:val="Definition"/>
      </w:pPr>
      <w:r>
        <w:rPr>
          <w:b/>
        </w:rPr>
        <w:t xml:space="preserve">In-City: </w:t>
      </w:r>
      <w:r>
        <w:t xml:space="preserve">Located electrically within the New </w:t>
      </w:r>
      <w:r>
        <w:rPr>
          <w:bCs/>
          <w:iCs/>
        </w:rPr>
        <w:t>York</w:t>
      </w:r>
      <w:r>
        <w:t xml:space="preserve"> City Locality (LBMP Load Zone J).</w:t>
      </w:r>
    </w:p>
    <w:p w:rsidR="00C64DFB" w:rsidRDefault="004D47BB">
      <w:pPr>
        <w:pStyle w:val="Definition"/>
        <w:rPr>
          <w:b/>
        </w:rPr>
      </w:pPr>
      <w:r w:rsidRPr="00243C93">
        <w:rPr>
          <w:b/>
        </w:rPr>
        <w:t>Incremental Average Coincident Load</w:t>
      </w:r>
      <w:r w:rsidRPr="00243C93">
        <w:rPr>
          <w:b/>
        </w:rPr>
        <w:t xml:space="preserve"> (“Incremental ACL</w:t>
      </w:r>
      <w:r w:rsidRPr="00243C93">
        <w:t xml:space="preserve">”): Beginning with the Summer 2014 Capability Period, the amount of qualifying Load that may be added to the Average Coincident Load of a Special Case Resource.   In order to qualify to use Incremental ACL the SCR must enroll with an ACL </w:t>
      </w:r>
      <w:r w:rsidRPr="00243C93">
        <w:t xml:space="preserve">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The Incremental ACL report</w:t>
      </w:r>
      <w:r w:rsidRPr="00243C93">
        <w:t>ed in a Capability Period cannot exceed one-hundred percent (100%) of the ACL that has been calculated for the SCR when it first enrolls in the Capability Period.  For resources reporting an Incremental ACL</w:t>
      </w:r>
      <w:r>
        <w:t>,</w:t>
      </w:r>
      <w:r w:rsidRPr="00243C93">
        <w:t xml:space="preserve"> the Net Average Coincident Load shall equal the </w:t>
      </w:r>
      <w:r w:rsidRPr="00243C93">
        <w:t>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w:t>
      </w:r>
      <w:r w:rsidRPr="00243C93">
        <w:t>tions using the SCR’s metered Load values provided in Section 5.12.11.1.5 of this Services Tariff and ISO Procedures.</w:t>
      </w:r>
    </w:p>
    <w:p w:rsidR="00B07283" w:rsidRDefault="004D47BB">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indicate the quantities of Energy</w:t>
      </w:r>
      <w:r>
        <w:rPr>
          <w:iCs/>
        </w:rPr>
        <w:t xml:space="preserve">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4D47BB">
      <w:pPr>
        <w:pStyle w:val="Definition"/>
      </w:pPr>
      <w:r>
        <w:rPr>
          <w:b/>
        </w:rPr>
        <w:t xml:space="preserve">Incremental TCC: </w:t>
      </w:r>
      <w:r>
        <w:t>A set of point-to-point Transmission Congestion Contract(s) that is awarded pursuant to Section 19.2.2 of Attachment M to the ISO OATT.</w:t>
      </w:r>
    </w:p>
    <w:p w:rsidR="00B07283" w:rsidRDefault="004D47BB">
      <w:pPr>
        <w:pStyle w:val="Definition"/>
      </w:pPr>
      <w:r>
        <w:rPr>
          <w:b/>
        </w:rPr>
        <w:t>Independent Sys</w:t>
      </w:r>
      <w:r>
        <w:rPr>
          <w:b/>
        </w:rPr>
        <w:t>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4D47BB">
      <w:pPr>
        <w:pStyle w:val="Definition"/>
      </w:pPr>
      <w:r>
        <w:rPr>
          <w:b/>
        </w:rPr>
        <w:t>Independent System Operator Agreement (“ISO Agreement”)</w:t>
      </w:r>
      <w:r>
        <w:t>: The agreement that establishes the New York ISO.</w:t>
      </w:r>
    </w:p>
    <w:p w:rsidR="00B07283" w:rsidRDefault="004D47BB">
      <w:pPr>
        <w:pStyle w:val="Definition"/>
      </w:pPr>
      <w:r>
        <w:rPr>
          <w:b/>
        </w:rPr>
        <w:t>Independ</w:t>
      </w:r>
      <w:r>
        <w:rPr>
          <w:b/>
        </w:rPr>
        <w:t>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4D47BB">
      <w:pPr>
        <w:pStyle w:val="Definition"/>
      </w:pPr>
      <w:r>
        <w:rPr>
          <w:b/>
        </w:rPr>
        <w:t>Independent System Operator</w:t>
      </w:r>
      <w:r>
        <w:rPr>
          <w:b/>
        </w:rPr>
        <w:noBreakHyphen/>
        <w:t>Transmission Owne</w:t>
      </w:r>
      <w:r>
        <w:rPr>
          <w:b/>
        </w:rPr>
        <w:t>r Agreement (“ISO/TO Agreement”)</w:t>
      </w:r>
      <w:r>
        <w:t xml:space="preserve">: The agreement that establishes the terms and conditions under which the </w:t>
      </w:r>
      <w:r>
        <w:t>Transmission Owners</w:t>
      </w:r>
      <w:r>
        <w:t xml:space="preserve"> transferred to the ISO Operational Control over designated transmission facilities.</w:t>
      </w:r>
    </w:p>
    <w:p w:rsidR="00B07283" w:rsidRDefault="004D47BB">
      <w:pPr>
        <w:pStyle w:val="Definition"/>
        <w:rPr>
          <w:rFonts w:eastAsia="Calibri"/>
        </w:rPr>
      </w:pPr>
      <w:r>
        <w:rPr>
          <w:rFonts w:eastAsia="Calibri"/>
          <w:b/>
          <w:bCs/>
        </w:rPr>
        <w:t>Indicative NCZ Locational Minimum Installed Ca</w:t>
      </w:r>
      <w:r>
        <w:rPr>
          <w:rFonts w:eastAsia="Calibri"/>
          <w:b/>
          <w:bCs/>
        </w:rPr>
        <w:t xml:space="preserve">pacity Requirement: </w:t>
      </w:r>
      <w:r>
        <w:rPr>
          <w:rFonts w:eastAsia="Calibri"/>
        </w:rPr>
        <w:t>The amount of  capacity that must be electrically located within a New Capacity Zone, or possess an approved Unforced Capacity Deliverability Right, in order to ensure that sufficient Energy and Capacity are available in that NCZ and th</w:t>
      </w:r>
      <w:r>
        <w:rPr>
          <w:rFonts w:eastAsia="Calibri"/>
        </w:rPr>
        <w:t>at appropriate reliability criteria are met.</w:t>
      </w:r>
    </w:p>
    <w:p w:rsidR="00EE7367" w:rsidRPr="00EE7367" w:rsidRDefault="004D47BB">
      <w:pPr>
        <w:pStyle w:val="Definition"/>
        <w:rPr>
          <w:bCs/>
        </w:rPr>
      </w:pPr>
      <w:r w:rsidRPr="003D045C">
        <w:rPr>
          <w:b/>
        </w:rPr>
        <w:lastRenderedPageBreak/>
        <w:t>Injection Limit:</w:t>
      </w:r>
      <w:r>
        <w:rPr>
          <w:b/>
        </w:rPr>
        <w:t xml:space="preserve"> </w:t>
      </w:r>
      <w:r>
        <w:rPr>
          <w:bCs/>
        </w:rPr>
        <w:t xml:space="preserve">The maximum injection of a BTM:NG Resource, in MW, </w:t>
      </w:r>
      <w:r>
        <w:rPr>
          <w:bCs/>
        </w:rPr>
        <w:t>i</w:t>
      </w:r>
      <w:r>
        <w:rPr>
          <w:bCs/>
        </w:rPr>
        <w:t xml:space="preserve">nto the NYS Transmission System </w:t>
      </w:r>
      <w:r w:rsidRPr="00C7513D">
        <w:rPr>
          <w:bCs/>
        </w:rPr>
        <w:t>or distribution system</w:t>
      </w:r>
      <w:r>
        <w:rPr>
          <w:bCs/>
        </w:rPr>
        <w:t xml:space="preserve"> </w:t>
      </w:r>
      <w:r w:rsidRPr="00DA01CD">
        <w:t>at</w:t>
      </w:r>
      <w:r>
        <w:rPr>
          <w:bCs/>
        </w:rPr>
        <w:t xml:space="preserve"> the BTM:NG Resource’s Point of Injection.  </w:t>
      </w:r>
      <w:r w:rsidRPr="00C7513D">
        <w:rPr>
          <w:bCs/>
        </w:rPr>
        <w:t>The Injection Limit for a BTM:NG Resource</w:t>
      </w:r>
      <w:r w:rsidRPr="00C7513D">
        <w:rPr>
          <w:bCs/>
        </w:rPr>
        <w:t xml:space="preserve"> must be at least 1 MW.</w:t>
      </w:r>
    </w:p>
    <w:p w:rsidR="00B07283" w:rsidRDefault="004D47BB">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4D47BB">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w:t>
      </w:r>
      <w:r>
        <w:rPr>
          <w:bCs/>
        </w:rPr>
        <w:t>to it</w:t>
      </w:r>
      <w:r w:rsidRPr="002A5375">
        <w:rPr>
          <w:bCs/>
          <w:iCs/>
        </w:rPr>
        <w:t>s</w:t>
      </w:r>
      <w:r>
        <w:rPr>
          <w:bCs/>
        </w:rPr>
        <w:t xml:space="preserve"> Unforced Capacity, calculated in accordance with ISO Procedures.</w:t>
      </w:r>
    </w:p>
    <w:p w:rsidR="00B07283" w:rsidRDefault="004D47BB">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w:t>
      </w:r>
      <w:r>
        <w:t xml:space="preserve"> Capacity, either bilaterally or through an ISO-administered auction.  Installed Capacity Marketers that purchase Unforced Capacity through an ISO-administered auction may only resell Unforced Capacity purchased in such auctions in the NYCA.</w:t>
      </w:r>
    </w:p>
    <w:p w:rsidR="00B07283" w:rsidRDefault="004D47BB">
      <w:pPr>
        <w:pStyle w:val="Definition"/>
      </w:pPr>
      <w:r>
        <w:rPr>
          <w:b/>
        </w:rPr>
        <w:t>Installed Capa</w:t>
      </w:r>
      <w:r>
        <w:rPr>
          <w:b/>
        </w:rPr>
        <w:t>city Supplier</w:t>
      </w:r>
      <w:r>
        <w:t xml:space="preserve">: An Energy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w:t>
      </w:r>
      <w:r>
        <w:t xml:space="preserve">BTM:NG Resource, </w:t>
      </w:r>
      <w:r>
        <w:t>System Resource or Cont</w:t>
      </w:r>
      <w:r>
        <w:t>rol Area System Resource that satisfies the ISO’s qualification requirements for supplying Unforced Capacity to the NYCA.</w:t>
      </w:r>
    </w:p>
    <w:p w:rsidR="00B07283" w:rsidRDefault="004D47BB">
      <w:pPr>
        <w:pStyle w:val="Definition"/>
      </w:pPr>
      <w:r>
        <w:rPr>
          <w:b/>
        </w:rPr>
        <w:t>Interconnection or Interconnection Points (“IP”)</w:t>
      </w:r>
      <w:r>
        <w:t>: The point(s) at which the NYCA connects with a distribution system or adjacent Contr</w:t>
      </w:r>
      <w:r>
        <w:t>ol Area.  The IP may be a single tie line or several tie lines that are operated in parallel.</w:t>
      </w:r>
    </w:p>
    <w:p w:rsidR="00B07283" w:rsidRDefault="004D47BB">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4D47BB">
      <w:pPr>
        <w:pStyle w:val="Definition"/>
      </w:pPr>
      <w:r>
        <w:rPr>
          <w:b/>
        </w:rPr>
        <w:t xml:space="preserve">Interface MW </w:t>
      </w:r>
      <w:r>
        <w:rPr>
          <w:b/>
        </w:rPr>
        <w:noBreakHyphen/>
        <w:t xml:space="preserve"> Mile Methodolo</w:t>
      </w:r>
      <w:r>
        <w:rPr>
          <w:b/>
        </w:rPr>
        <w:t xml:space="preserve">gy: </w:t>
      </w:r>
      <w:r>
        <w:t>The procedure used to allocate Original Residual TCCs determined prior to the first Centralized TCC Auction to Transmission Owners.</w:t>
      </w:r>
    </w:p>
    <w:p w:rsidR="00B07283" w:rsidRDefault="004D47BB">
      <w:pPr>
        <w:pStyle w:val="Definition"/>
      </w:pPr>
      <w:r>
        <w:rPr>
          <w:b/>
        </w:rPr>
        <w:t xml:space="preserve">Intermittent Power Resource: </w:t>
      </w:r>
      <w:r w:rsidRPr="00C04E0A">
        <w:rPr>
          <w:bCs/>
        </w:rPr>
        <w:t xml:space="preserve">A device for the production of electricity that is characterized by an energy source that: </w:t>
      </w:r>
      <w:r w:rsidRPr="00C04E0A">
        <w:rPr>
          <w:bCs/>
        </w:rPr>
        <w:t xml:space="preserve"> (1) is 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have</w:t>
      </w:r>
      <w:r>
        <w:t xml:space="preserve"> been classified as Intermittent Power Resources. </w:t>
      </w:r>
      <w:r>
        <w:t>Each Intermittent Power Resource that depends on wind as its fuel shall include all turbines metered at a single scheduling point identifier (PTID).</w:t>
      </w:r>
    </w:p>
    <w:p w:rsidR="00B07283" w:rsidRDefault="004D47BB">
      <w:pPr>
        <w:pStyle w:val="Definition"/>
      </w:pPr>
      <w:r>
        <w:rPr>
          <w:b/>
          <w:bCs/>
        </w:rPr>
        <w:t>Internal</w:t>
      </w:r>
      <w:r>
        <w:t>: An entity (</w:t>
      </w:r>
      <w:r>
        <w:rPr>
          <w:u w:val="single"/>
        </w:rPr>
        <w:t>e.g.</w:t>
      </w:r>
      <w:r>
        <w:t>, Supplier, Transmission Custome</w:t>
      </w:r>
      <w:r>
        <w:t>r) or facility (</w:t>
      </w:r>
      <w:r>
        <w:rPr>
          <w:u w:val="single"/>
        </w:rPr>
        <w:t>e.g.</w:t>
      </w:r>
      <w:r>
        <w:t>, Generator, Interface) located within the Control Area being referenced.  Where a specific Control Area is not referenced, internal means the NYCA.</w:t>
      </w:r>
    </w:p>
    <w:p w:rsidR="00B07283" w:rsidRDefault="004D47BB">
      <w:pPr>
        <w:pStyle w:val="Definition"/>
      </w:pPr>
      <w:r>
        <w:rPr>
          <w:b/>
          <w:bCs/>
        </w:rPr>
        <w:t>Internal Transactions</w:t>
      </w:r>
      <w:r>
        <w:t>: Purchases, sales or exchanges of Energy, Capacity or Ancillary S</w:t>
      </w:r>
      <w:r>
        <w:t xml:space="preserve">ervices where the Generator and Load are located </w:t>
      </w:r>
      <w:r>
        <w:rPr>
          <w:bCs/>
          <w:iCs/>
        </w:rPr>
        <w:t>within</w:t>
      </w:r>
      <w:r>
        <w:t xml:space="preserve"> the NYCA.</w:t>
      </w:r>
    </w:p>
    <w:p w:rsidR="00B07283" w:rsidRDefault="004D47BB">
      <w:pPr>
        <w:pStyle w:val="Definition"/>
      </w:pPr>
      <w:r>
        <w:rPr>
          <w:b/>
          <w:bCs/>
        </w:rPr>
        <w:t>Investment Grade Customer</w:t>
      </w:r>
      <w:r>
        <w:t>: A Customer that meets the criteria set forth in Section 26.3 of Attachment K to this Services Tariff.</w:t>
      </w:r>
    </w:p>
    <w:p w:rsidR="00B07283" w:rsidRDefault="004D47BB">
      <w:pPr>
        <w:pStyle w:val="Definition"/>
        <w:rPr>
          <w:b/>
          <w:bCs/>
        </w:rPr>
      </w:pPr>
      <w:r>
        <w:rPr>
          <w:b/>
          <w:bCs/>
        </w:rPr>
        <w:t>Investor</w:t>
      </w:r>
      <w:r>
        <w:rPr>
          <w:b/>
          <w:bCs/>
        </w:rPr>
        <w:noBreakHyphen/>
        <w:t>Owned Transmission Owners</w:t>
      </w:r>
      <w:r>
        <w:t>: At the present time these</w:t>
      </w:r>
      <w:r>
        <w:t xml:space="preserv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4D47BB">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4D47BB">
      <w:pPr>
        <w:pStyle w:val="Definition"/>
        <w:rPr>
          <w:iCs/>
        </w:rPr>
      </w:pPr>
      <w:r>
        <w:rPr>
          <w:b/>
          <w:bCs/>
          <w:iCs/>
        </w:rPr>
        <w:t>ISO-Committed Fixed</w:t>
      </w:r>
      <w:r>
        <w:t xml:space="preserve">: </w:t>
      </w:r>
      <w:r>
        <w:rPr>
          <w:iCs/>
        </w:rPr>
        <w:t xml:space="preserve">In the Day-Ahead </w:t>
      </w:r>
      <w:r>
        <w:rPr>
          <w:bCs/>
          <w:iCs/>
        </w:rPr>
        <w:t>Market</w:t>
      </w:r>
      <w:r>
        <w:rPr>
          <w:iCs/>
        </w:rPr>
        <w:t xml:space="preserve">, a bidding mode </w:t>
      </w:r>
      <w:r>
        <w:rPr>
          <w:iCs/>
        </w:rPr>
        <w:t>in which a Generator requests that the ISO commit and schedule it.  In the Real-Time Market, a bidding mode in which a Generator, with ISO approval, requests that the ISO schedule it no more frequently than every 15 minutes.  A Generator scheduled in the D</w:t>
      </w:r>
      <w:r>
        <w:rPr>
          <w:iCs/>
        </w:rPr>
        <w:t>ay-Ahead Market as ISO-Committed Fixed will participate as a Self-Committed Fixed Generator in the Real-Time Market unless it changes bidding mode, with ISO approval, to participate as an ISO-Committed Fixed Generator.</w:t>
      </w:r>
      <w:r>
        <w:rPr>
          <w:iCs/>
        </w:rPr>
        <w:t xml:space="preserve">  A BTM:NG Resource is not permitted t</w:t>
      </w:r>
      <w:r>
        <w:rPr>
          <w:iCs/>
        </w:rPr>
        <w:t>o utilize the ISO-Committed Fixed bidding mode.</w:t>
      </w:r>
      <w:r>
        <w:rPr>
          <w:iCs/>
        </w:rPr>
        <w:t xml:space="preserve">  </w:t>
      </w:r>
    </w:p>
    <w:p w:rsidR="00B07283" w:rsidRDefault="004D47BB">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r>
        <w:rPr>
          <w:iCs/>
        </w:rPr>
        <w:t xml:space="preserve"> </w:t>
      </w:r>
      <w:r>
        <w:rPr>
          <w:iCs/>
        </w:rPr>
        <w:t xml:space="preserve"> </w:t>
      </w:r>
      <w:r>
        <w:rPr>
          <w:iCs/>
        </w:rPr>
        <w:t>A BTM:NG Resource is not permitted to utilize the IS</w:t>
      </w:r>
      <w:r>
        <w:rPr>
          <w:iCs/>
        </w:rPr>
        <w:t>O-Committed Flexible bidding mode.</w:t>
      </w:r>
    </w:p>
    <w:p w:rsidR="00B07283" w:rsidRDefault="004D47BB">
      <w:pPr>
        <w:pStyle w:val="Definition"/>
      </w:pPr>
      <w:r>
        <w:rPr>
          <w:b/>
          <w:bCs/>
        </w:rPr>
        <w:t>ISO Market Power Monitoring Program</w:t>
      </w:r>
      <w:r>
        <w:t>: The monitoring program approved by the Commission and administered by the ISO and the Market Monitoring Unit that is designed to monitor the possible exercise of market power in ISO Ad</w:t>
      </w:r>
      <w:r>
        <w:t xml:space="preserve">ministered Markets. </w:t>
      </w:r>
    </w:p>
    <w:p w:rsidR="00B07283" w:rsidRDefault="004D47BB">
      <w:pPr>
        <w:pStyle w:val="Definition"/>
      </w:pPr>
      <w:r>
        <w:rPr>
          <w:b/>
          <w:bCs/>
        </w:rPr>
        <w:t>ISO OATT</w:t>
      </w:r>
      <w:r>
        <w:t xml:space="preserve">: The ISO Open Access Transmission </w:t>
      </w:r>
      <w:r>
        <w:rPr>
          <w:bCs/>
          <w:iCs/>
        </w:rPr>
        <w:t>Tariff</w:t>
      </w:r>
      <w:r>
        <w:t>.</w:t>
      </w:r>
    </w:p>
    <w:p w:rsidR="00B07283" w:rsidRDefault="004D47BB">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4D47BB">
      <w:pPr>
        <w:pStyle w:val="Definition"/>
      </w:pPr>
      <w:r>
        <w:rPr>
          <w:b/>
          <w:bCs/>
        </w:rPr>
        <w:t>ISO Related Agree</w:t>
      </w:r>
      <w:r>
        <w:rPr>
          <w:b/>
          <w:bCs/>
        </w:rPr>
        <w:t>ments</w:t>
      </w:r>
      <w:r>
        <w:t xml:space="preserve">: Collectively, the ISO </w:t>
      </w:r>
      <w:r>
        <w:rPr>
          <w:bCs/>
          <w:iCs/>
        </w:rPr>
        <w:t>Agreement</w:t>
      </w:r>
      <w:r>
        <w:t xml:space="preserve">, the ISO/TO Agreement, the NYSRC Agreement, </w:t>
      </w:r>
      <w:r>
        <w:t xml:space="preserve">and </w:t>
      </w:r>
      <w:r>
        <w:t>the ISO/NYSRC Agreement.</w:t>
      </w:r>
    </w:p>
    <w:p w:rsidR="00B07283" w:rsidRDefault="004D47BB">
      <w:pPr>
        <w:pStyle w:val="Definition"/>
      </w:pPr>
      <w:r>
        <w:rPr>
          <w:b/>
          <w:bCs/>
        </w:rPr>
        <w:t>ISO Services Tariff (the "Tariff")</w:t>
      </w:r>
      <w:r>
        <w:t xml:space="preserve">: The ISO </w:t>
      </w:r>
      <w:r>
        <w:rPr>
          <w:bCs/>
          <w:iCs/>
        </w:rPr>
        <w:t>Market</w:t>
      </w:r>
      <w:r>
        <w:t xml:space="preserve"> Administration and Control Area Services Tariff.</w:t>
      </w:r>
    </w:p>
    <w:p w:rsidR="00B07283" w:rsidRDefault="004D47BB">
      <w:pPr>
        <w:pStyle w:val="Definition"/>
      </w:pPr>
      <w:r>
        <w:rPr>
          <w:b/>
          <w:bCs/>
        </w:rPr>
        <w:t>ISO Tariffs</w:t>
      </w:r>
      <w:r>
        <w:t xml:space="preserve">: The ISO OATT and the ISO </w:t>
      </w:r>
      <w:r>
        <w:rPr>
          <w:bCs/>
          <w:iCs/>
        </w:rPr>
        <w:t>Servic</w:t>
      </w:r>
      <w:r>
        <w:rPr>
          <w:bCs/>
          <w:iCs/>
        </w:rPr>
        <w:t>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F2" w:rsidRDefault="00A147F2" w:rsidP="00A147F2">
      <w:r>
        <w:separator/>
      </w:r>
    </w:p>
  </w:endnote>
  <w:endnote w:type="continuationSeparator" w:id="0">
    <w:p w:rsidR="00A147F2" w:rsidRDefault="00A147F2" w:rsidP="00A14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2" w:rsidRDefault="004D47B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147F2">
      <w:rPr>
        <w:rFonts w:ascii="Arial" w:eastAsia="Arial" w:hAnsi="Arial" w:cs="Arial"/>
        <w:color w:val="000000"/>
        <w:sz w:val="16"/>
      </w:rPr>
      <w:fldChar w:fldCharType="begin"/>
    </w:r>
    <w:r>
      <w:rPr>
        <w:rFonts w:ascii="Arial" w:eastAsia="Arial" w:hAnsi="Arial" w:cs="Arial"/>
        <w:color w:val="000000"/>
        <w:sz w:val="16"/>
      </w:rPr>
      <w:instrText>PAGE</w:instrText>
    </w:r>
    <w:r w:rsidR="00A147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2" w:rsidRDefault="004D47B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147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47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2" w:rsidRDefault="004D47B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147F2">
      <w:rPr>
        <w:rFonts w:ascii="Arial" w:eastAsia="Arial" w:hAnsi="Arial" w:cs="Arial"/>
        <w:color w:val="000000"/>
        <w:sz w:val="16"/>
      </w:rPr>
      <w:fldChar w:fldCharType="begin"/>
    </w:r>
    <w:r>
      <w:rPr>
        <w:rFonts w:ascii="Arial" w:eastAsia="Arial" w:hAnsi="Arial" w:cs="Arial"/>
        <w:color w:val="000000"/>
        <w:sz w:val="16"/>
      </w:rPr>
      <w:instrText>PAGE</w:instrText>
    </w:r>
    <w:r w:rsidR="00A147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F2" w:rsidRDefault="00A147F2" w:rsidP="00A147F2">
      <w:r>
        <w:separator/>
      </w:r>
    </w:p>
  </w:footnote>
  <w:footnote w:type="continuationSeparator" w:id="0">
    <w:p w:rsidR="00A147F2" w:rsidRDefault="00A147F2" w:rsidP="00A14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2" w:rsidRDefault="004D47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2" w:rsidRDefault="004D47BB">
    <w:pPr>
      <w:rPr>
        <w:rFonts w:ascii="Arial" w:eastAsia="Arial" w:hAnsi="Arial" w:cs="Arial"/>
        <w:color w:val="000000"/>
        <w:sz w:val="16"/>
      </w:rPr>
    </w:pPr>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2" w:rsidRDefault="004D47BB">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83E7C30">
      <w:start w:val="1"/>
      <w:numFmt w:val="bullet"/>
      <w:pStyle w:val="Bulletpara"/>
      <w:lvlText w:val=""/>
      <w:lvlJc w:val="left"/>
      <w:pPr>
        <w:tabs>
          <w:tab w:val="num" w:pos="720"/>
        </w:tabs>
        <w:ind w:left="720" w:hanging="360"/>
      </w:pPr>
      <w:rPr>
        <w:rFonts w:ascii="Symbol" w:hAnsi="Symbol" w:hint="default"/>
      </w:rPr>
    </w:lvl>
    <w:lvl w:ilvl="1" w:tplc="B254C96C" w:tentative="1">
      <w:start w:val="1"/>
      <w:numFmt w:val="bullet"/>
      <w:lvlText w:val="o"/>
      <w:lvlJc w:val="left"/>
      <w:pPr>
        <w:tabs>
          <w:tab w:val="num" w:pos="1440"/>
        </w:tabs>
        <w:ind w:left="1440" w:hanging="360"/>
      </w:pPr>
      <w:rPr>
        <w:rFonts w:ascii="Courier New" w:hAnsi="Courier New" w:hint="default"/>
      </w:rPr>
    </w:lvl>
    <w:lvl w:ilvl="2" w:tplc="C486FC2C" w:tentative="1">
      <w:start w:val="1"/>
      <w:numFmt w:val="bullet"/>
      <w:lvlText w:val=""/>
      <w:lvlJc w:val="left"/>
      <w:pPr>
        <w:tabs>
          <w:tab w:val="num" w:pos="2160"/>
        </w:tabs>
        <w:ind w:left="2160" w:hanging="360"/>
      </w:pPr>
      <w:rPr>
        <w:rFonts w:ascii="Wingdings" w:hAnsi="Wingdings" w:hint="default"/>
      </w:rPr>
    </w:lvl>
    <w:lvl w:ilvl="3" w:tplc="EC0076DC" w:tentative="1">
      <w:start w:val="1"/>
      <w:numFmt w:val="bullet"/>
      <w:lvlText w:val=""/>
      <w:lvlJc w:val="left"/>
      <w:pPr>
        <w:tabs>
          <w:tab w:val="num" w:pos="2880"/>
        </w:tabs>
        <w:ind w:left="2880" w:hanging="360"/>
      </w:pPr>
      <w:rPr>
        <w:rFonts w:ascii="Symbol" w:hAnsi="Symbol" w:hint="default"/>
      </w:rPr>
    </w:lvl>
    <w:lvl w:ilvl="4" w:tplc="55D644CA" w:tentative="1">
      <w:start w:val="1"/>
      <w:numFmt w:val="bullet"/>
      <w:lvlText w:val="o"/>
      <w:lvlJc w:val="left"/>
      <w:pPr>
        <w:tabs>
          <w:tab w:val="num" w:pos="3600"/>
        </w:tabs>
        <w:ind w:left="3600" w:hanging="360"/>
      </w:pPr>
      <w:rPr>
        <w:rFonts w:ascii="Courier New" w:hAnsi="Courier New" w:hint="default"/>
      </w:rPr>
    </w:lvl>
    <w:lvl w:ilvl="5" w:tplc="582C212A" w:tentative="1">
      <w:start w:val="1"/>
      <w:numFmt w:val="bullet"/>
      <w:lvlText w:val=""/>
      <w:lvlJc w:val="left"/>
      <w:pPr>
        <w:tabs>
          <w:tab w:val="num" w:pos="4320"/>
        </w:tabs>
        <w:ind w:left="4320" w:hanging="360"/>
      </w:pPr>
      <w:rPr>
        <w:rFonts w:ascii="Wingdings" w:hAnsi="Wingdings" w:hint="default"/>
      </w:rPr>
    </w:lvl>
    <w:lvl w:ilvl="6" w:tplc="D13C7E7E" w:tentative="1">
      <w:start w:val="1"/>
      <w:numFmt w:val="bullet"/>
      <w:lvlText w:val=""/>
      <w:lvlJc w:val="left"/>
      <w:pPr>
        <w:tabs>
          <w:tab w:val="num" w:pos="5040"/>
        </w:tabs>
        <w:ind w:left="5040" w:hanging="360"/>
      </w:pPr>
      <w:rPr>
        <w:rFonts w:ascii="Symbol" w:hAnsi="Symbol" w:hint="default"/>
      </w:rPr>
    </w:lvl>
    <w:lvl w:ilvl="7" w:tplc="4934B7D2" w:tentative="1">
      <w:start w:val="1"/>
      <w:numFmt w:val="bullet"/>
      <w:lvlText w:val="o"/>
      <w:lvlJc w:val="left"/>
      <w:pPr>
        <w:tabs>
          <w:tab w:val="num" w:pos="5760"/>
        </w:tabs>
        <w:ind w:left="5760" w:hanging="360"/>
      </w:pPr>
      <w:rPr>
        <w:rFonts w:ascii="Courier New" w:hAnsi="Courier New" w:hint="default"/>
      </w:rPr>
    </w:lvl>
    <w:lvl w:ilvl="8" w:tplc="6454480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147F2"/>
    <w:rsid w:val="004D47BB"/>
    <w:rsid w:val="00A147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7">
    <w:name w:val="Definition_7"/>
    <w:basedOn w:val="Normal"/>
    <w:uiPriority w:val="99"/>
    <w:rsid w:val="00216878"/>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