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3" w:rsidRDefault="00333C13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B07283" w:rsidRDefault="00333C13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333C13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333C13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333C13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EB43FF" w:rsidRDefault="00333C13" w:rsidP="00EB43FF">
      <w:pPr>
        <w:pStyle w:val="Definition8"/>
      </w:pPr>
      <w:r w:rsidRPr="00EB43FF">
        <w:rPr>
          <w:b/>
        </w:rPr>
        <w:t>Import Constrained Locality:</w:t>
      </w:r>
      <w:r w:rsidRPr="00DC1A4F">
        <w:rPr>
          <w:b/>
        </w:rPr>
        <w:t xml:space="preserve"> </w:t>
      </w:r>
      <w:r>
        <w:rPr>
          <w:b/>
        </w:rPr>
        <w:t xml:space="preserve"> </w:t>
      </w:r>
      <w:r>
        <w:t xml:space="preserve">New York City and the </w:t>
      </w:r>
      <w:r w:rsidRPr="00DC1A4F">
        <w:t>G-J Loca</w:t>
      </w:r>
      <w:r w:rsidRPr="00DC1A4F">
        <w:t xml:space="preserve">lity. </w:t>
      </w:r>
    </w:p>
    <w:p w:rsidR="00B07283" w:rsidRDefault="00333C13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333C13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</w:t>
      </w:r>
      <w:r>
        <w:t xml:space="preserve"> accordance with Section 4.5.</w:t>
      </w:r>
      <w:r>
        <w:t>2</w:t>
      </w:r>
      <w:r>
        <w:t xml:space="preserve">.2 and Attachment J of this ISO Services Tariff to compensate a Supplier whose Import is Curtailed by the ISO. </w:t>
      </w:r>
    </w:p>
    <w:p w:rsidR="00B07283" w:rsidRDefault="00333C13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</w:t>
      </w:r>
      <w:r>
        <w:t xml:space="preserve">om another Control </w:t>
      </w:r>
      <w:r>
        <w:rPr>
          <w:bCs/>
          <w:iCs/>
        </w:rPr>
        <w:t>Area</w:t>
      </w:r>
      <w:r>
        <w:t>.</w:t>
      </w:r>
    </w:p>
    <w:p w:rsidR="00B07283" w:rsidRDefault="00333C13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</w:t>
      </w:r>
      <w:r>
        <w:t xml:space="preserve">ime market, as appropriate, </w:t>
      </w:r>
      <w:r>
        <w:t xml:space="preserve"> </w:t>
      </w:r>
      <w:r>
        <w:t xml:space="preserve">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333C13">
      <w:pPr>
        <w:pStyle w:val="Definition"/>
      </w:pPr>
      <w:r w:rsidRPr="00677908">
        <w:rPr>
          <w:rFonts w:eastAsia="Calibri"/>
          <w:b/>
        </w:rPr>
        <w:t>In</w:t>
      </w:r>
      <w:r w:rsidRPr="00677908">
        <w:rPr>
          <w:rFonts w:eastAsia="Calibri"/>
          <w:b/>
        </w:rPr>
        <w:t xml:space="preserve">active Reserves: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</w:t>
      </w:r>
      <w:r w:rsidRPr="00677908">
        <w:rPr>
          <w:rFonts w:eastAsia="Calibri"/>
        </w:rPr>
        <w:t xml:space="preserve">ssified as any other outage </w:t>
      </w:r>
      <w:r w:rsidRPr="00677908">
        <w:rPr>
          <w:rFonts w:eastAsia="Calibri"/>
        </w:rPr>
        <w:lastRenderedPageBreak/>
        <w:t>pursuant to the provisions of this Services Tariff or of ISO Procedures. A Generator in Inactive Reserves is ineligible to participate in the Installed Capacity market.</w:t>
      </w:r>
    </w:p>
    <w:p w:rsidR="00B07283" w:rsidRDefault="00333C13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</w:t>
      </w:r>
      <w:r>
        <w:t>track and reconcile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333C13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333C13">
      <w:pPr>
        <w:pStyle w:val="Definition"/>
        <w:rPr>
          <w:b/>
        </w:rPr>
      </w:pPr>
      <w:r w:rsidRPr="00243C93">
        <w:rPr>
          <w:b/>
        </w:rPr>
        <w:t>Incremental Average</w:t>
      </w:r>
      <w:r w:rsidRPr="00243C93">
        <w:rPr>
          <w:b/>
        </w:rPr>
        <w:t xml:space="preserve"> Coincident Load (“Incremental ACL</w:t>
      </w:r>
      <w:r w:rsidRPr="00243C93">
        <w:t>”): Beginning with the Summer 2014 Capability Period, the amount of qualifying Load that may be added to the Average Coincident Load of a Special Case Resource.   In order to qualify to use Incremental ACL the SCR must enr</w:t>
      </w:r>
      <w:r w:rsidRPr="00243C93">
        <w:t xml:space="preserve">oll with an ACL 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</w:t>
      </w:r>
      <w:r w:rsidRPr="00243C93">
        <w:t>ental ACL reported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</w:t>
      </w:r>
      <w:r w:rsidRPr="00243C93">
        <w:t>shall equal the 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</w:t>
      </w:r>
      <w:r w:rsidRPr="00243C93">
        <w:t>ents and calculations using the SCR’s metered Load values provided in Section 5.12.11.1.5 of this Services Tariff and ISO Procedures.</w:t>
      </w:r>
    </w:p>
    <w:p w:rsidR="00B07283" w:rsidRDefault="00333C13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</w:t>
      </w:r>
      <w:r>
        <w:rPr>
          <w:iCs/>
        </w:rPr>
        <w:t xml:space="preserve">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333C13">
      <w:pPr>
        <w:pStyle w:val="Definition"/>
      </w:pPr>
      <w:r>
        <w:rPr>
          <w:b/>
        </w:rPr>
        <w:t xml:space="preserve">Incremental TCC: </w:t>
      </w:r>
      <w:r>
        <w:t>As defined in the ISO OATT</w:t>
      </w:r>
      <w:r>
        <w:t>.</w:t>
      </w:r>
    </w:p>
    <w:p w:rsidR="00B07283" w:rsidRDefault="00333C13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</w:t>
      </w:r>
      <w:r>
        <w:t>ration established pursuant to the ISO Agreement.</w:t>
      </w:r>
    </w:p>
    <w:p w:rsidR="00B07283" w:rsidRDefault="00333C13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333C13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>: The agreemen</w:t>
      </w:r>
      <w:r>
        <w:t xml:space="preserve">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333C13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333C13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>The amount of  ca</w:t>
      </w:r>
      <w:r>
        <w:rPr>
          <w:rFonts w:eastAsia="Calibri"/>
        </w:rPr>
        <w:t>pacity that must be electrically located within a New Capacity Zone, or possess an approved Unforced Capacity Deliverability Right, in order to ensure that sufficient Energy and Capacity are available in that NCZ and that appropriate reliability criteria a</w:t>
      </w:r>
      <w:r>
        <w:rPr>
          <w:rFonts w:eastAsia="Calibri"/>
        </w:rPr>
        <w:t>re met.</w:t>
      </w:r>
    </w:p>
    <w:p w:rsidR="00AD0248" w:rsidRDefault="00333C13">
      <w:pPr>
        <w:pStyle w:val="Definition"/>
        <w:rPr>
          <w:b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 xml:space="preserve">The maximum injection of a BTM:NG Resource, in MW, into the NYS Transmission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E36F28">
        <w:t>at</w:t>
      </w:r>
      <w:r>
        <w:rPr>
          <w:bCs/>
        </w:rPr>
        <w:t xml:space="preserve"> the BTM:NG Resource’s Point of Injection.  </w:t>
      </w:r>
      <w:r w:rsidRPr="00C7513D">
        <w:rPr>
          <w:bCs/>
        </w:rPr>
        <w:t>The Injection Limit for a BTM:NG Resource must be at least 1 MW.</w:t>
      </w:r>
    </w:p>
    <w:p w:rsidR="00B07283" w:rsidRDefault="00333C13">
      <w:pPr>
        <w:pStyle w:val="Definition"/>
      </w:pPr>
      <w:r>
        <w:rPr>
          <w:b/>
        </w:rPr>
        <w:t>Installed Cap</w:t>
      </w:r>
      <w:r>
        <w:rPr>
          <w:b/>
        </w:rPr>
        <w:t>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333C13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</w:t>
      </w:r>
      <w:r>
        <w:rPr>
          <w:bCs/>
        </w:rPr>
        <w:t>in accordance with ISO Procedures.</w:t>
      </w:r>
    </w:p>
    <w:p w:rsidR="00B07283" w:rsidRDefault="00333C13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 excess Unforced Capacity, either bilaterally or thro</w:t>
      </w:r>
      <w:r>
        <w:t>ugh an ISO-administered auction.  Installed Capacity Marketers that purchase Unforced Capacity through an ISO-administered auction may only resell Unforced Capacity purchased in such auctions in the NYCA.</w:t>
      </w:r>
    </w:p>
    <w:p w:rsidR="00B07283" w:rsidRDefault="00333C13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</w:t>
      </w:r>
      <w:r>
        <w:rPr>
          <w:bCs/>
          <w:iCs/>
        </w:rPr>
        <w:t>urce</w:t>
      </w:r>
      <w:r>
        <w:t>, Generator, Installed Capacity Marketer, Responsible Interface Party, Intermittent Power Resource, Limited Control Run of River Hydro Resource,</w:t>
      </w:r>
      <w:r w:rsidRPr="00EB43FF">
        <w:t xml:space="preserve"> </w:t>
      </w:r>
      <w:r>
        <w:t xml:space="preserve">municipally-owned generation, </w:t>
      </w:r>
      <w:r>
        <w:t xml:space="preserve">BTM:NG Resource, </w:t>
      </w:r>
      <w:r>
        <w:t>System Resource or Control Area System Resource that satisfi</w:t>
      </w:r>
      <w:r>
        <w:t>es the ISO’s qualification requirements for supplying Unforced Capacity to the NYCA.</w:t>
      </w:r>
    </w:p>
    <w:p w:rsidR="00B07283" w:rsidRDefault="00333C13">
      <w:pPr>
        <w:pStyle w:val="Definition"/>
      </w:pPr>
      <w:r>
        <w:rPr>
          <w:b/>
        </w:rPr>
        <w:t>Interconnection or Interconnection Points (“IP”)</w:t>
      </w:r>
      <w:r>
        <w:t xml:space="preserve">: The point(s) at which the NYCA connects with a distribution system or adjacent Control Area.  The IP may be a single tie </w:t>
      </w:r>
      <w:r>
        <w:t>line or several tie lines that are operated in parallel.</w:t>
      </w:r>
    </w:p>
    <w:p w:rsidR="00B07283" w:rsidRDefault="00333C13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333C13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As defined in the ISO OATT</w:t>
      </w:r>
      <w:r>
        <w:t>.</w:t>
      </w:r>
    </w:p>
    <w:p w:rsidR="00FE41EB" w:rsidRDefault="00333C13">
      <w:pPr>
        <w:pStyle w:val="Definition"/>
      </w:pPr>
      <w:r w:rsidRPr="00704750">
        <w:rPr>
          <w:b/>
        </w:rPr>
        <w:t>Interim Service Provider (“ISP”)</w:t>
      </w:r>
      <w:r>
        <w:t>:  As defined in Attachment FF to the OATT.</w:t>
      </w:r>
    </w:p>
    <w:p w:rsidR="00B07283" w:rsidRDefault="00333C13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 by the facility owne</w:t>
      </w:r>
      <w:r w:rsidRPr="00C04E0A">
        <w:rPr>
          <w:bCs/>
        </w:rPr>
        <w:t>r or operator; and (3) has variability that is beyond the control of the facility owner or operator.  In 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 xml:space="preserve">Each </w:t>
      </w:r>
      <w:r>
        <w:t>Intermittent Power Resource that depends on wind as its fuel shall include all turbines metered at a single scheduling point identifier (PTID).</w:t>
      </w:r>
    </w:p>
    <w:p w:rsidR="00B07283" w:rsidRDefault="00333C13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</w:t>
      </w:r>
      <w:r>
        <w:t>hin the Control Area being referenced.  Where a specific Control Area is not referenced, internal means the NYCA.</w:t>
      </w:r>
    </w:p>
    <w:p w:rsidR="00B07283" w:rsidRDefault="00333C13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333C13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Attachment K to this Services Tariff.</w:t>
      </w:r>
    </w:p>
    <w:p w:rsidR="00B07283" w:rsidRDefault="00333C13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</w:t>
      </w:r>
      <w:r>
        <w:t xml:space="preserve">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333C13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</w:t>
      </w:r>
      <w:r>
        <w:t>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333C13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</w:t>
      </w:r>
      <w:r>
        <w:rPr>
          <w:iCs/>
        </w:rPr>
        <w:t xml:space="preserve"> Market, a bidding mode in which a Generator, with ISO approval, requests that the ISO schedule it no more frequently than every 15 minutes.  A Generator scheduled in the Day-Ahead Market as ISO-Committed Fixed will participate as a Self-Committed Fixed Ge</w:t>
      </w:r>
      <w:r>
        <w:rPr>
          <w:iCs/>
        </w:rPr>
        <w:t>nerator in the Real-Time Market unless it changes bidding mode, with ISO approval, to participate as an ISO-Committed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333C13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</w:t>
      </w:r>
      <w:r>
        <w:rPr>
          <w:iCs/>
        </w:rPr>
        <w:t xml:space="preserve">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333C13">
      <w:pPr>
        <w:pStyle w:val="Definition"/>
      </w:pPr>
      <w:r>
        <w:rPr>
          <w:b/>
          <w:bCs/>
        </w:rPr>
        <w:t>ISO Market Power Monitoring Program</w:t>
      </w:r>
      <w:r>
        <w:t>: The monitorin</w:t>
      </w:r>
      <w:r>
        <w:t xml:space="preserve">g program approved by the Commission and administered by the ISO and the Market Monitoring Unit that is designed to monitor the possible exercise of market power in ISO Administered Markets. </w:t>
      </w:r>
    </w:p>
    <w:p w:rsidR="00B07283" w:rsidRDefault="00333C13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333C13">
      <w:pPr>
        <w:pStyle w:val="Definition"/>
      </w:pPr>
      <w:r>
        <w:rPr>
          <w:b/>
          <w:bCs/>
        </w:rPr>
        <w:t>ISO Procedure</w:t>
      </w:r>
      <w:r>
        <w:rPr>
          <w:b/>
          <w:bCs/>
        </w:rPr>
        <w:t>s</w:t>
      </w:r>
      <w:r>
        <w:t xml:space="preserve">: The procedures adopted by the ISO in order to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333C13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</w:t>
      </w:r>
      <w:r>
        <w:t>e ISO/NYSRC Agreement</w:t>
      </w:r>
      <w:r>
        <w:t>, and the Operating Agreements</w:t>
      </w:r>
      <w:r>
        <w:t>.</w:t>
      </w:r>
    </w:p>
    <w:p w:rsidR="00B07283" w:rsidRDefault="00333C13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333C13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333C13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 xml:space="preserve">e quantity of </w:t>
      </w:r>
      <w:r w:rsidRPr="00805E58">
        <w:t>Unforced Capacity determined by the ISO in accordance with Section 5.14.1.1</w:t>
      </w:r>
      <w:r>
        <w:t xml:space="preserve"> of this Services Tariff</w:t>
      </w:r>
      <w:r w:rsidRPr="00805E58">
        <w:t>.</w:t>
      </w:r>
    </w:p>
    <w:p w:rsidR="00805E58" w:rsidRDefault="00333C13" w:rsidP="00295A0C">
      <w:pPr>
        <w:pStyle w:val="Definition"/>
      </w:pPr>
    </w:p>
    <w:sectPr w:rsidR="00805E58" w:rsidSect="00B0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3C13">
      <w:r>
        <w:separator/>
      </w:r>
    </w:p>
  </w:endnote>
  <w:endnote w:type="continuationSeparator" w:id="0">
    <w:p w:rsidR="00000000" w:rsidRDefault="003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3A" w:rsidRDefault="00333C1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5/15/2019 - Docket #: ER19-1332-000 -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3A" w:rsidRDefault="00333C1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5/15/2019 - Docket #: ER19-1332-000 -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3A" w:rsidRDefault="00333C1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5/15/2019 - Docket #: ER19-1332-000 -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3C13">
      <w:r>
        <w:separator/>
      </w:r>
    </w:p>
  </w:footnote>
  <w:footnote w:type="continuationSeparator" w:id="0">
    <w:p w:rsidR="00000000" w:rsidRDefault="0033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3A" w:rsidRDefault="00333C1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</w:t>
    </w:r>
    <w:r>
      <w:rPr>
        <w:rFonts w:ascii="Arial" w:eastAsia="Arial" w:hAnsi="Arial" w:cs="Arial"/>
        <w:color w:val="000000"/>
        <w:sz w:val="16"/>
      </w:rPr>
      <w:t xml:space="preserve">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3A" w:rsidRDefault="00333C1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3A" w:rsidRDefault="00333C1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47CF7A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87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6C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09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4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CE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89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4F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05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A"/>
    <w:rsid w:val="00333C13"/>
    <w:rsid w:val="004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2011-02-01T19:06:00Z</cp:lastPrinted>
  <dcterms:created xsi:type="dcterms:W3CDTF">2020-08-07T21:20:00Z</dcterms:created>
  <dcterms:modified xsi:type="dcterms:W3CDTF">2020-08-07T21:20:00Z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-1266005339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Balancing Market Settlement Tariff Revisions - 205 Filing Materials - Privileged and Confidential Attorney-Client Communication</vt:lpwstr>
  </property>
  <property fmtid="{D5CDD505-2E9C-101B-9397-08002B2CF9AE}" pid="6" name="_NewReviewCycle">
    <vt:lpwstr/>
  </property>
  <property fmtid="{D5CDD505-2E9C-101B-9397-08002B2CF9AE}" pid="7" name="_PreviousAdHocReviewCycleID">
    <vt:i4>-717449391</vt:i4>
  </property>
  <property fmtid="{D5CDD505-2E9C-101B-9397-08002B2CF9AE}" pid="8" name="_ReviewingToolsShownOnce">
    <vt:lpwstr/>
  </property>
</Properties>
</file>