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FC53D9">
      <w:pPr>
        <w:pStyle w:val="Heading2"/>
        <w:pageBreakBefore w:val="0"/>
      </w:pPr>
      <w:bookmarkStart w:id="0" w:name="_Toc261445997"/>
      <w:bookmarkStart w:id="1" w:name="_GoBack"/>
      <w:bookmarkEnd w:id="1"/>
      <w:r>
        <w:t>2.5</w:t>
      </w:r>
      <w:r>
        <w:tab/>
        <w:t>Definitions - E</w:t>
      </w:r>
      <w:bookmarkEnd w:id="0"/>
    </w:p>
    <w:p w:rsidR="00BD4BAF" w:rsidRDefault="00FC53D9">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FC53D9">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FC53D9">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FC53D9">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FC53D9">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FC53D9">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FC53D9">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FC53D9">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w:t>
      </w:r>
      <w:r>
        <w:rPr>
          <w:bCs/>
          <w:iCs/>
        </w:rPr>
        <w:t xml:space="preserve">urce expects to be able to reduce, 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FC53D9">
      <w:pPr>
        <w:pStyle w:val="Definition"/>
        <w:rPr>
          <w:strike/>
        </w:rPr>
      </w:pPr>
      <w:r>
        <w:rPr>
          <w:rFonts w:ascii="Times New Roman Bold" w:hAnsi="Times New Roman Bold"/>
          <w:b/>
        </w:rPr>
        <w:t xml:space="preserve">Energy (“MWh”): </w:t>
      </w:r>
      <w:bookmarkStart w:id="4" w:name="_DV_C45"/>
      <w:r>
        <w:t>A quantity of elec</w:t>
      </w:r>
      <w:r>
        <w:t>tricity that is bid, produced, purchased, consumed, sold, or transmitted over a period of time, and measured or calculated in megawatt hours.</w:t>
      </w:r>
      <w:bookmarkEnd w:id="4"/>
      <w:r>
        <w:t xml:space="preserve">  Demand Reductions by Demand Side Resources and Distributed Energy Resources are considered Energy.</w:t>
      </w:r>
    </w:p>
    <w:p w:rsidR="00BD4BAF" w:rsidRDefault="00FC53D9">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RDefault="00FC53D9" w:rsidP="00393175">
      <w:pPr>
        <w:pStyle w:val="Definition4"/>
        <w:rPr>
          <w:b/>
          <w:bCs/>
          <w:iCs/>
        </w:rPr>
      </w:pPr>
      <w:r>
        <w:rPr>
          <w:b/>
          <w:bCs/>
          <w:iCs/>
        </w:rPr>
        <w:t xml:space="preserve">Energy Duration Limitation:  </w:t>
      </w:r>
      <w:r>
        <w:rPr>
          <w:bCs/>
          <w:iCs/>
        </w:rPr>
        <w:t>for a Resource that is not capable of providing Energy for twenty</w:t>
      </w:r>
      <w:r>
        <w:rPr>
          <w:bCs/>
          <w:iCs/>
        </w:rPr>
        <w:t>-four hours each day, the number of consecutive hours per day that a Resource  elects and is obligated, pursuant to Services Tariff Sections 5.12.1 and 5.12.7, to (i) schedule a Bilateral Transaction; (ii) Bid Energy in the Day-Ahead Market; or (iii) notif</w:t>
      </w:r>
      <w:r>
        <w:rPr>
          <w:bCs/>
          <w:iCs/>
        </w:rPr>
        <w:t>y the ISO of any outages in the Day-Ahead Market as an Installed Capacity Supplier for the ICAP Equivalent of UCAP sold, as identified in Section 5.12.14 of the ISO Services Tariff.</w:t>
      </w:r>
    </w:p>
    <w:p w:rsidR="00686AA1" w:rsidRDefault="00FC53D9">
      <w:pPr>
        <w:pStyle w:val="Definition"/>
        <w:rPr>
          <w:bCs/>
          <w:iCs/>
        </w:rPr>
      </w:pPr>
      <w:r w:rsidRPr="008B0B27">
        <w:rPr>
          <w:b/>
          <w:bCs/>
          <w:iCs/>
        </w:rPr>
        <w:t>Energy Level:</w:t>
      </w:r>
      <w:r>
        <w:rPr>
          <w:bCs/>
          <w:iCs/>
        </w:rPr>
        <w:t xml:space="preserve">  The amount of Energy stored in an Energy Storage Resource</w:t>
      </w:r>
      <w:r>
        <w:rPr>
          <w:bCs/>
          <w:iCs/>
        </w:rPr>
        <w:t xml:space="preserve"> o</w:t>
      </w:r>
      <w:r>
        <w:rPr>
          <w:bCs/>
          <w:iCs/>
        </w:rPr>
        <w:t>r in an Aggregation comprised entirely of Energy Storage Resources</w:t>
      </w:r>
      <w:r>
        <w:rPr>
          <w:bCs/>
          <w:iCs/>
        </w:rPr>
        <w:t>.</w:t>
      </w:r>
    </w:p>
    <w:p w:rsidR="00686AA1" w:rsidRDefault="00FC53D9">
      <w:pPr>
        <w:pStyle w:val="Definition"/>
        <w:rPr>
          <w:bCs/>
          <w:iCs/>
        </w:rPr>
      </w:pPr>
      <w:r w:rsidRPr="0069243D">
        <w:rPr>
          <w:b/>
          <w:bCs/>
          <w:iCs/>
        </w:rPr>
        <w:t>Energy Level Management:</w:t>
      </w:r>
      <w:r>
        <w:rPr>
          <w:bCs/>
          <w:iCs/>
        </w:rPr>
        <w:t xml:space="preserve">  The method by which an Energy Storage Resource</w:t>
      </w:r>
      <w:r w:rsidRPr="00393175">
        <w:rPr>
          <w:bCs/>
          <w:iCs/>
        </w:rPr>
        <w:t xml:space="preserve"> </w:t>
      </w:r>
      <w:r>
        <w:rPr>
          <w:bCs/>
          <w:iCs/>
        </w:rPr>
        <w:t xml:space="preserve">or Aggregation </w:t>
      </w:r>
      <w:r>
        <w:t>comprised entirely of</w:t>
      </w:r>
      <w:r>
        <w:rPr>
          <w:bCs/>
          <w:iCs/>
        </w:rPr>
        <w:t xml:space="preserve"> </w:t>
      </w:r>
      <w:r>
        <w:t>Energy Storage Resources</w:t>
      </w:r>
      <w:r>
        <w:rPr>
          <w:bCs/>
          <w:iCs/>
        </w:rPr>
        <w:t xml:space="preserve"> controls the amount of Energy stored in the Resource</w:t>
      </w:r>
      <w:r>
        <w:rPr>
          <w:bCs/>
          <w:iCs/>
        </w:rPr>
        <w:t>(</w:t>
      </w:r>
      <w:r>
        <w:rPr>
          <w:bCs/>
          <w:iCs/>
        </w:rPr>
        <w:t>s)</w:t>
      </w:r>
      <w:r>
        <w:rPr>
          <w:bCs/>
          <w:iCs/>
        </w:rPr>
        <w:t xml:space="preserve">.  </w:t>
      </w:r>
      <w:r w:rsidRPr="0078639A">
        <w:rPr>
          <w:bCs/>
          <w:iCs/>
        </w:rPr>
        <w:t xml:space="preserve">Energy Storage Resources </w:t>
      </w:r>
      <w:r>
        <w:rPr>
          <w:bCs/>
          <w:iCs/>
        </w:rPr>
        <w:t xml:space="preserve">and Aggregations </w:t>
      </w:r>
      <w:r>
        <w:t>comprised entirely of</w:t>
      </w:r>
      <w:r>
        <w:rPr>
          <w:bCs/>
          <w:iCs/>
        </w:rPr>
        <w:t xml:space="preserve"> Energy Storage Resources</w:t>
      </w:r>
      <w:r w:rsidRPr="00393175">
        <w:rPr>
          <w:bCs/>
          <w:iCs/>
        </w:rPr>
        <w:t xml:space="preserve"> </w:t>
      </w:r>
      <w:r w:rsidRPr="0078639A">
        <w:rPr>
          <w:bCs/>
          <w:iCs/>
        </w:rPr>
        <w:t>may choose to be Self-Managed or ISO-Managed in their Bid</w:t>
      </w:r>
      <w:r>
        <w:rPr>
          <w:bCs/>
          <w:iCs/>
        </w:rPr>
        <w:t>.</w:t>
      </w:r>
    </w:p>
    <w:p w:rsidR="00BD4BAF" w:rsidRDefault="00FC53D9">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w:t>
      </w:r>
      <w:r>
        <w:t xml:space="preserve">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Energy Li</w:t>
      </w:r>
      <w:r>
        <w:t xml:space="preserve">mited Resources must register their Energy limiting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w:t>
      </w:r>
      <w:r w:rsidRPr="008F46AB">
        <w:t>et as an Energy Limited Resource, are not subject to the rules applicable to Energy Storage Resources</w:t>
      </w:r>
      <w:r>
        <w:t>.</w:t>
      </w:r>
    </w:p>
    <w:p w:rsidR="00686AA1" w:rsidRDefault="00FC53D9">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 to qualify for wholesale market participation, Energy Stor</w:t>
      </w:r>
      <w:r w:rsidRPr="008F46AB">
        <w:rPr>
          <w:bCs/>
        </w:rPr>
        <w:t xml:space="preserve">age </w:t>
      </w:r>
      <w:r w:rsidRPr="009D4781">
        <w:rPr>
          <w:bCs/>
        </w:rPr>
        <w:t xml:space="preserve">Resources must </w:t>
      </w:r>
      <w:r w:rsidRPr="008F46AB">
        <w:rPr>
          <w:bCs/>
        </w:rPr>
        <w:t>be able to inject at a rate of at least 0.1 MW for a period of at least one hour</w:t>
      </w:r>
      <w:r w:rsidRPr="00216042">
        <w:rPr>
          <w:bCs/>
        </w:rPr>
        <w:t>, except that Energy Storage Resources operating as part of an Aggregation need only be able to inject at a rate of at least 0.01 MW for a period of at least</w:t>
      </w:r>
      <w:r w:rsidRPr="00216042">
        <w:rPr>
          <w:bCs/>
        </w:rPr>
        <w:t xml:space="preserve"> one hour</w:t>
      </w:r>
      <w:r w:rsidRPr="008F46AB">
        <w:rPr>
          <w:bCs/>
        </w:rPr>
        <w:t>.  Energy Storage Resources are Withdrawal-Eligible Generators.</w:t>
      </w:r>
    </w:p>
    <w:p w:rsidR="00BD4BAF" w:rsidRDefault="00FC53D9">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FC53D9">
      <w:pPr>
        <w:pStyle w:val="Definition"/>
      </w:pPr>
      <w:r>
        <w:rPr>
          <w:b/>
          <w:bCs/>
        </w:rPr>
        <w:lastRenderedPageBreak/>
        <w:t xml:space="preserve">Equivalency Rating: </w:t>
      </w:r>
      <w:r>
        <w:t>A rating determined by the ISO, at a Cust</w:t>
      </w:r>
      <w:r>
        <w:t xml:space="preserve">omer’s 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w:t>
      </w:r>
      <w:r>
        <w:t>K to this Services Tariff.</w:t>
      </w:r>
    </w:p>
    <w:p w:rsidR="00BD4BAF" w:rsidRDefault="00FC53D9">
      <w:pPr>
        <w:pStyle w:val="Definition"/>
        <w:rPr>
          <w:bCs/>
        </w:rPr>
      </w:pPr>
      <w:r>
        <w:rPr>
          <w:b/>
          <w:bCs/>
        </w:rPr>
        <w:t xml:space="preserve">ETA Agent: </w:t>
      </w:r>
      <w:r>
        <w:rPr>
          <w:snapToGrid w:val="0"/>
        </w:rPr>
        <w:t>As defined in the ISO OATT</w:t>
      </w:r>
      <w:r>
        <w:rPr>
          <w:bCs/>
        </w:rPr>
        <w:t>.</w:t>
      </w:r>
    </w:p>
    <w:p w:rsidR="00BD4BAF" w:rsidRDefault="00FC53D9">
      <w:pPr>
        <w:pStyle w:val="Definition"/>
      </w:pPr>
      <w:r>
        <w:rPr>
          <w:b/>
          <w:bCs/>
        </w:rPr>
        <w:t>ETCNL TCC:</w:t>
      </w:r>
      <w:r>
        <w:t xml:space="preserve"> </w:t>
      </w:r>
      <w:r>
        <w:rPr>
          <w:snapToGrid w:val="0"/>
        </w:rPr>
        <w:t>As defined in the ISO OATT</w:t>
      </w:r>
      <w:r>
        <w:t>.</w:t>
      </w:r>
    </w:p>
    <w:p w:rsidR="00BD4BAF" w:rsidRDefault="00FC53D9">
      <w:pPr>
        <w:pStyle w:val="Definition"/>
        <w:rPr>
          <w:iCs/>
        </w:rPr>
      </w:pPr>
      <w:r>
        <w:rPr>
          <w:b/>
          <w:bCs/>
          <w:iCs/>
        </w:rPr>
        <w:t xml:space="preserve">Excess Amount: </w:t>
      </w:r>
      <w:r>
        <w:rPr>
          <w:iCs/>
        </w:rPr>
        <w:t>The difference, if any, between the dollar amounts charged to purchasers of Unforced Capacity in an ISO–administered Unforced Capacity a</w:t>
      </w:r>
      <w:r>
        <w:rPr>
          <w:iCs/>
        </w:rPr>
        <w:t>uction and the dollar amounts paid to sellers of Unforced Capacity in that ISO–administered Installed Capacity auction.</w:t>
      </w:r>
    </w:p>
    <w:p w:rsidR="00BD4BAF" w:rsidRDefault="00FC53D9">
      <w:pPr>
        <w:pStyle w:val="Definition"/>
      </w:pPr>
      <w:r>
        <w:rPr>
          <w:b/>
          <w:bCs/>
        </w:rPr>
        <w:t xml:space="preserve">Excess Congestion Rents: </w:t>
      </w:r>
      <w:r>
        <w:rPr>
          <w:snapToGrid w:val="0"/>
        </w:rPr>
        <w:t>As defined in the ISO OATT</w:t>
      </w:r>
      <w:r>
        <w:t>.</w:t>
      </w:r>
    </w:p>
    <w:p w:rsidR="00BD4BAF" w:rsidRDefault="00FC53D9">
      <w:pPr>
        <w:pStyle w:val="Definition"/>
      </w:pPr>
      <w:r>
        <w:rPr>
          <w:b/>
        </w:rPr>
        <w:t xml:space="preserve">Existing Transmission Capacity for Native Load ("ETCNL"): </w:t>
      </w:r>
      <w:r>
        <w:rPr>
          <w:snapToGrid w:val="0"/>
        </w:rPr>
        <w:t>As defined in the ISO OAT</w:t>
      </w:r>
      <w:r>
        <w:rPr>
          <w:snapToGrid w:val="0"/>
        </w:rPr>
        <w:t>T</w:t>
      </w:r>
      <w:r>
        <w:t>.</w:t>
      </w:r>
    </w:p>
    <w:p w:rsidR="00DE48FD" w:rsidRDefault="00FC53D9">
      <w:pPr>
        <w:pStyle w:val="Definition"/>
      </w:pPr>
      <w:r>
        <w:rPr>
          <w:b/>
          <w:bCs/>
        </w:rPr>
        <w:t>Existing Transmission Agreement (“ETA”)</w:t>
      </w:r>
      <w:r>
        <w:t xml:space="preserve">: </w:t>
      </w:r>
      <w:r>
        <w:rPr>
          <w:snapToGrid w:val="0"/>
        </w:rPr>
        <w:t>As defined in the ISO OATT</w:t>
      </w:r>
      <w:r>
        <w:t>.</w:t>
      </w:r>
    </w:p>
    <w:p w:rsidR="001754CE" w:rsidRDefault="00FC53D9">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w:t>
      </w:r>
      <w:r w:rsidRPr="00B95B91">
        <w:t xml:space="preserve">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 xml:space="preserve">When determining the historical </w:t>
      </w:r>
      <w:r w:rsidRPr="00B95B91">
        <w:t>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w:t>
      </w:r>
      <w:r w:rsidRPr="00B95B91">
        <w:t xml:space="preserve">ovision of such Load reduction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FC53D9">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FC53D9">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FC53D9">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FC53D9"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FC53D9">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FC53D9"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p>
    <w:p w:rsidR="00BD4BAF" w:rsidRDefault="00FC53D9" w:rsidP="00BD4BAF">
      <w:pPr>
        <w:pStyle w:val="Definition"/>
      </w:pPr>
      <w:r>
        <w:rPr>
          <w:b/>
        </w:rPr>
        <w:t>External Transaction Component</w:t>
      </w:r>
      <w:r>
        <w:t>:  A component of the Operating Requirement, calculated in accordance with Section 26.4.2 of Attachment K to this Services Tariff.</w:t>
      </w:r>
    </w:p>
    <w:p w:rsidR="00BD4BAF" w:rsidRDefault="00FC53D9">
      <w:pPr>
        <w:pStyle w:val="Definition"/>
      </w:pPr>
      <w:r>
        <w:rPr>
          <w:b/>
          <w:bCs/>
        </w:rPr>
        <w:t>External Transactions</w:t>
      </w:r>
      <w:r>
        <w:t xml:space="preserve">: Purchases, sales or exchanges of Energy, Capacity or </w:t>
      </w:r>
      <w:r>
        <w:t xml:space="preserve">Ancillary Services for which either the Point of Injection (“POI”) or </w:t>
      </w:r>
      <w:r>
        <w:rPr>
          <w:bCs/>
          <w:iCs/>
        </w:rPr>
        <w:t>Point</w:t>
      </w:r>
      <w:r>
        <w:t xml:space="preserve"> of Withdrawal (“POW”) or both are located outside the NYCA (</w:t>
      </w:r>
      <w:r w:rsidRPr="000026A9">
        <w:rPr>
          <w:i/>
        </w:rPr>
        <w:t>i.e.</w:t>
      </w:r>
      <w:r>
        <w:t>, Exports, Imports or Wheels Through).</w:t>
      </w:r>
    </w:p>
    <w:p w:rsidR="00BD4BAF" w:rsidRDefault="00FC53D9">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3D9">
      <w:r>
        <w:separator/>
      </w:r>
    </w:p>
  </w:endnote>
  <w:endnote w:type="continuationSeparator" w:id="0">
    <w:p w:rsidR="00000000" w:rsidRDefault="00FC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AE" w:rsidRDefault="00FC53D9">
    <w:pPr>
      <w:jc w:val="right"/>
    </w:pPr>
    <w:r>
      <w:rPr>
        <w:rFonts w:ascii="Arial" w:eastAsia="Arial" w:hAnsi="Arial" w:cs="Arial"/>
        <w:color w:val="000000"/>
        <w:sz w:val="16"/>
      </w:rPr>
      <w:t>Effe</w:t>
    </w:r>
    <w:r>
      <w:rPr>
        <w:rFonts w:ascii="Arial" w:eastAsia="Arial" w:hAnsi="Arial" w:cs="Arial"/>
        <w:color w:val="000000"/>
        <w:sz w:val="16"/>
      </w:rPr>
      <w:t xml:space="preserv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AE" w:rsidRDefault="00FC53D9">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AE" w:rsidRDefault="00FC53D9">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3D9">
      <w:r>
        <w:separator/>
      </w:r>
    </w:p>
  </w:footnote>
  <w:footnote w:type="continuationSeparator" w:id="0">
    <w:p w:rsidR="00000000" w:rsidRDefault="00FC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AE" w:rsidRDefault="00FC53D9">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AE" w:rsidRDefault="00FC53D9">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AE" w:rsidRDefault="00FC53D9">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0507534">
      <w:start w:val="1"/>
      <w:numFmt w:val="bullet"/>
      <w:pStyle w:val="Bulletpara"/>
      <w:lvlText w:val=""/>
      <w:lvlJc w:val="left"/>
      <w:pPr>
        <w:tabs>
          <w:tab w:val="num" w:pos="720"/>
        </w:tabs>
        <w:ind w:left="720" w:hanging="360"/>
      </w:pPr>
      <w:rPr>
        <w:rFonts w:ascii="Symbol" w:hAnsi="Symbol" w:hint="default"/>
      </w:rPr>
    </w:lvl>
    <w:lvl w:ilvl="1" w:tplc="EA78BDB6" w:tentative="1">
      <w:start w:val="1"/>
      <w:numFmt w:val="bullet"/>
      <w:lvlText w:val="o"/>
      <w:lvlJc w:val="left"/>
      <w:pPr>
        <w:tabs>
          <w:tab w:val="num" w:pos="1440"/>
        </w:tabs>
        <w:ind w:left="1440" w:hanging="360"/>
      </w:pPr>
      <w:rPr>
        <w:rFonts w:ascii="Courier New" w:hAnsi="Courier New" w:hint="default"/>
      </w:rPr>
    </w:lvl>
    <w:lvl w:ilvl="2" w:tplc="8B2A4DFC" w:tentative="1">
      <w:start w:val="1"/>
      <w:numFmt w:val="bullet"/>
      <w:lvlText w:val=""/>
      <w:lvlJc w:val="left"/>
      <w:pPr>
        <w:tabs>
          <w:tab w:val="num" w:pos="2160"/>
        </w:tabs>
        <w:ind w:left="2160" w:hanging="360"/>
      </w:pPr>
      <w:rPr>
        <w:rFonts w:ascii="Wingdings" w:hAnsi="Wingdings" w:hint="default"/>
      </w:rPr>
    </w:lvl>
    <w:lvl w:ilvl="3" w:tplc="0DCA3F0E" w:tentative="1">
      <w:start w:val="1"/>
      <w:numFmt w:val="bullet"/>
      <w:lvlText w:val=""/>
      <w:lvlJc w:val="left"/>
      <w:pPr>
        <w:tabs>
          <w:tab w:val="num" w:pos="2880"/>
        </w:tabs>
        <w:ind w:left="2880" w:hanging="360"/>
      </w:pPr>
      <w:rPr>
        <w:rFonts w:ascii="Symbol" w:hAnsi="Symbol" w:hint="default"/>
      </w:rPr>
    </w:lvl>
    <w:lvl w:ilvl="4" w:tplc="803AB0DC" w:tentative="1">
      <w:start w:val="1"/>
      <w:numFmt w:val="bullet"/>
      <w:lvlText w:val="o"/>
      <w:lvlJc w:val="left"/>
      <w:pPr>
        <w:tabs>
          <w:tab w:val="num" w:pos="3600"/>
        </w:tabs>
        <w:ind w:left="3600" w:hanging="360"/>
      </w:pPr>
      <w:rPr>
        <w:rFonts w:ascii="Courier New" w:hAnsi="Courier New" w:hint="default"/>
      </w:rPr>
    </w:lvl>
    <w:lvl w:ilvl="5" w:tplc="902C4AC0" w:tentative="1">
      <w:start w:val="1"/>
      <w:numFmt w:val="bullet"/>
      <w:lvlText w:val=""/>
      <w:lvlJc w:val="left"/>
      <w:pPr>
        <w:tabs>
          <w:tab w:val="num" w:pos="4320"/>
        </w:tabs>
        <w:ind w:left="4320" w:hanging="360"/>
      </w:pPr>
      <w:rPr>
        <w:rFonts w:ascii="Wingdings" w:hAnsi="Wingdings" w:hint="default"/>
      </w:rPr>
    </w:lvl>
    <w:lvl w:ilvl="6" w:tplc="F7F88572" w:tentative="1">
      <w:start w:val="1"/>
      <w:numFmt w:val="bullet"/>
      <w:lvlText w:val=""/>
      <w:lvlJc w:val="left"/>
      <w:pPr>
        <w:tabs>
          <w:tab w:val="num" w:pos="5040"/>
        </w:tabs>
        <w:ind w:left="5040" w:hanging="360"/>
      </w:pPr>
      <w:rPr>
        <w:rFonts w:ascii="Symbol" w:hAnsi="Symbol" w:hint="default"/>
      </w:rPr>
    </w:lvl>
    <w:lvl w:ilvl="7" w:tplc="FA204E30" w:tentative="1">
      <w:start w:val="1"/>
      <w:numFmt w:val="bullet"/>
      <w:lvlText w:val="o"/>
      <w:lvlJc w:val="left"/>
      <w:pPr>
        <w:tabs>
          <w:tab w:val="num" w:pos="5760"/>
        </w:tabs>
        <w:ind w:left="5760" w:hanging="360"/>
      </w:pPr>
      <w:rPr>
        <w:rFonts w:ascii="Courier New" w:hAnsi="Courier New" w:hint="default"/>
      </w:rPr>
    </w:lvl>
    <w:lvl w:ilvl="8" w:tplc="E286AC1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AE"/>
    <w:rsid w:val="007C4BAE"/>
    <w:rsid w:val="00FC53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2024-04-29T20:37:00Z</dcterms:created>
  <dcterms:modified xsi:type="dcterms:W3CDTF">2024-04-29T20:37:00Z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8e16f801-84e5-4284-836d-d6b38e2f56e0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2023-10-06T17:17:18Z</vt:lpwstr>
  </property>
  <property fmtid="{D5CDD505-2E9C-101B-9397-08002B2CF9AE}" pid="8" name="MSIP_Label_a5049dce-8671-4c79-90d7-f6ec79470f4e_SiteId">
    <vt:lpwstr>7658602a-f7b9-4209-bc62-d2bfc30dea0d</vt:lpwstr>
  </property>
  <property fmtid="{D5CDD505-2E9C-101B-9397-08002B2CF9AE}" pid="9" name="_AdHocReviewCycleID">
    <vt:i4>1241863458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Effective Date Filing Docs</vt:lpwstr>
  </property>
  <property fmtid="{D5CDD505-2E9C-101B-9397-08002B2CF9AE}" pid="13" name="_NewReviewCycle">
    <vt:lpwstr/>
  </property>
  <property fmtid="{D5CDD505-2E9C-101B-9397-08002B2CF9AE}" pid="14" name="_PreviousAdHocReviewCycleID">
    <vt:i4>-1533141971</vt:i4>
  </property>
  <property fmtid="{D5CDD505-2E9C-101B-9397-08002B2CF9AE}" pid="15" name="_ReviewingToolsShownOnce">
    <vt:lpwstr/>
  </property>
</Properties>
</file>