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BAF" w:rsidRDefault="0083190E">
      <w:pPr>
        <w:pStyle w:val="Heading2"/>
        <w:pageBreakBefore w:val="0"/>
      </w:pPr>
      <w:bookmarkStart w:id="0" w:name="_Toc261445997"/>
      <w:bookmarkStart w:id="1" w:name="_GoBack"/>
      <w:bookmarkEnd w:id="1"/>
      <w:r>
        <w:t>2.5</w:t>
      </w:r>
      <w:r>
        <w:tab/>
        <w:t>Definitions - E</w:t>
      </w:r>
      <w:bookmarkEnd w:id="0"/>
    </w:p>
    <w:p w:rsidR="00BD4BAF" w:rsidRDefault="0083190E">
      <w:pPr>
        <w:pStyle w:val="Definition"/>
        <w:rPr>
          <w:iCs/>
        </w:rPr>
      </w:pPr>
      <w:r>
        <w:rPr>
          <w:b/>
          <w:bCs/>
          <w:iCs/>
        </w:rPr>
        <w:t xml:space="preserve">East of Central-East: </w:t>
      </w:r>
      <w:r>
        <w:rPr>
          <w:iCs/>
        </w:rPr>
        <w:t xml:space="preserve">An electrical </w:t>
      </w:r>
      <w:r>
        <w:t>area</w:t>
      </w:r>
      <w:r>
        <w:rPr>
          <w:iCs/>
        </w:rPr>
        <w:t xml:space="preserve"> comprised of Load Zones F, G, H, I, J, and K, as identified in the ISO Procedures.</w:t>
      </w:r>
    </w:p>
    <w:p w:rsidR="00BD4BAF" w:rsidRDefault="0083190E">
      <w:pPr>
        <w:pStyle w:val="Definition"/>
        <w:rPr>
          <w:iCs/>
        </w:rPr>
      </w:pPr>
      <w:r>
        <w:rPr>
          <w:b/>
          <w:bCs/>
          <w:iCs/>
        </w:rPr>
        <w:t xml:space="preserve">East of Central-East Excluding Long </w:t>
      </w:r>
      <w:smartTag w:uri="urn:schemas-microsoft-com:office:smarttags" w:element="place">
        <w:r>
          <w:rPr>
            <w:b/>
            <w:bCs/>
            <w:iCs/>
          </w:rPr>
          <w:t>Island</w:t>
        </w:r>
      </w:smartTag>
      <w:r>
        <w:rPr>
          <w:b/>
          <w:bCs/>
          <w:iCs/>
        </w:rPr>
        <w:t xml:space="preserve">: </w:t>
      </w:r>
      <w:r>
        <w:rPr>
          <w:iCs/>
        </w:rPr>
        <w:t xml:space="preserve">An electrical area comprised of Load Zones F, G, H, I, and J, as </w:t>
      </w:r>
      <w:r>
        <w:rPr>
          <w:iCs/>
        </w:rPr>
        <w:t>identified in the ISO Procedures.</w:t>
      </w:r>
    </w:p>
    <w:p w:rsidR="00BD4BAF" w:rsidRDefault="0083190E">
      <w:pPr>
        <w:pStyle w:val="Definition"/>
        <w:rPr>
          <w:iCs/>
        </w:rPr>
      </w:pPr>
      <w:r>
        <w:rPr>
          <w:b/>
          <w:bCs/>
          <w:iCs/>
        </w:rPr>
        <w:t xml:space="preserve">East of Central-East Excluding </w:t>
      </w:r>
      <w:smartTag w:uri="urn:schemas-microsoft-com:office:smarttags" w:element="City">
        <w:r>
          <w:rPr>
            <w:b/>
            <w:bCs/>
            <w:iCs/>
          </w:rPr>
          <w:t>New York City</w:t>
        </w:r>
      </w:smartTag>
      <w:r>
        <w:rPr>
          <w:b/>
          <w:bCs/>
          <w:iCs/>
        </w:rPr>
        <w:t xml:space="preserve"> and </w:t>
      </w:r>
      <w:smartTag w:uri="urn:schemas-microsoft-com:office:smarttags" w:element="place">
        <w:r>
          <w:rPr>
            <w:b/>
            <w:bCs/>
            <w:iCs/>
          </w:rPr>
          <w:t>Long Island</w:t>
        </w:r>
      </w:smartTag>
      <w:r>
        <w:rPr>
          <w:b/>
          <w:bCs/>
          <w:iCs/>
        </w:rPr>
        <w:t xml:space="preserve">: </w:t>
      </w:r>
      <w:r>
        <w:rPr>
          <w:iCs/>
        </w:rPr>
        <w:t xml:space="preserve">An </w:t>
      </w:r>
      <w:r>
        <w:t>electrical</w:t>
      </w:r>
      <w:r>
        <w:rPr>
          <w:iCs/>
        </w:rPr>
        <w:t xml:space="preserve"> area comprised of Load Zones F, G, H, and I, as identified in the ISO </w:t>
      </w:r>
      <w:r>
        <w:t>Procedures</w:t>
      </w:r>
      <w:r>
        <w:rPr>
          <w:iCs/>
        </w:rPr>
        <w:t>.</w:t>
      </w:r>
    </w:p>
    <w:p w:rsidR="00BD4BAF" w:rsidRDefault="0083190E">
      <w:pPr>
        <w:pStyle w:val="Definition"/>
      </w:pPr>
      <w:r>
        <w:rPr>
          <w:b/>
          <w:bCs/>
          <w:iCs/>
        </w:rPr>
        <w:t xml:space="preserve">Economic Operating Point: </w:t>
      </w:r>
      <w:r>
        <w:tab/>
      </w:r>
      <w:r>
        <w:rPr>
          <w:iCs/>
        </w:rPr>
        <w:t>The megawatt quantity which is a func</w:t>
      </w:r>
      <w:r>
        <w:rPr>
          <w:iCs/>
        </w:rPr>
        <w:t xml:space="preserve">tion of: i) the real-time LBMP at the Resource bus; and ii) the Supplier’s real-time eleven </w:t>
      </w:r>
      <w:r>
        <w:t>constant</w:t>
      </w:r>
      <w:r>
        <w:rPr>
          <w:iCs/>
        </w:rPr>
        <w:t xml:space="preserve"> cost step Energy </w:t>
      </w:r>
      <w:r>
        <w:t>Bid,  for the Resource, such that (a) the offer price associated with Energy offers below that megawatt quantity (if that megawatt quantit</w:t>
      </w:r>
      <w:r>
        <w:t>y is not that Resource’s minimum output level) must be less than or equal to the real-time LBMP at the Resource bus, and (b) the offer price associated with Energy offers above that megawatt quantity (if that megawatt quantity is not that Resource’s maximu</w:t>
      </w:r>
      <w:r>
        <w:t>m output level) must be greater than or equal to the real-time LBMP at the Resource bus.  In cases where multiple megawatt values meet conditions (a) and (b), the Economic Operating Point is the megawatt value meeting these conditions that is closest to th</w:t>
      </w:r>
      <w:r>
        <w:t>e Resource’s real-time scheduled Energy injection.  In cases where the Economic Operating Point would be less than the minimum output level, the Economic Operating Point will be set equal to the MW value of the first point on the Energy Bid curve and in ca</w:t>
      </w:r>
      <w:r>
        <w:t>ses where the Economic Operating Point would be greater than the maximum output level, the Economic Operating Point will be set equal to the MW value of the last point on the Energy Bid curve.</w:t>
      </w:r>
      <w:r>
        <w:t xml:space="preserve">  </w:t>
      </w:r>
      <w:r w:rsidRPr="00450BA0">
        <w:rPr>
          <w:iCs/>
        </w:rPr>
        <w:t>When evaluating the Economic Operating Point of a BTM:NG Resou</w:t>
      </w:r>
      <w:r w:rsidRPr="00450BA0">
        <w:rPr>
          <w:iCs/>
        </w:rPr>
        <w:t>rce, only Energy offers corresponding to quantities in excess of its Host Load will be considered.</w:t>
      </w:r>
    </w:p>
    <w:p w:rsidR="00BD4BAF" w:rsidRDefault="0083190E">
      <w:pPr>
        <w:pStyle w:val="Definition"/>
      </w:pPr>
      <w:r>
        <w:rPr>
          <w:b/>
        </w:rPr>
        <w:t xml:space="preserve">Emergency: </w:t>
      </w:r>
      <w:r>
        <w:t>Any abnormal system condition that requires immediate automatic or manual action to prevent or limit loss of transmission facilities or Generators</w:t>
      </w:r>
      <w:r>
        <w:t xml:space="preserve"> that could adversely affect the reliability of an electric system.</w:t>
      </w:r>
    </w:p>
    <w:p w:rsidR="00BD4BAF" w:rsidRDefault="0083190E">
      <w:pPr>
        <w:pStyle w:val="Definition"/>
      </w:pPr>
      <w:r>
        <w:rPr>
          <w:b/>
        </w:rPr>
        <w:t xml:space="preserve">Emergency Demand Response Program (“EDRP”): </w:t>
      </w:r>
      <w:r>
        <w:t>A program pursuant to which the ISO makes payments to Curtailment Service Providers that voluntarily take effective steps in real time, pursuant</w:t>
      </w:r>
      <w:r>
        <w:t xml:space="preserve"> to ISO procedures, to reduce NYCA demand in Emergency conditions.</w:t>
      </w:r>
    </w:p>
    <w:p w:rsidR="00BD4BAF" w:rsidRDefault="0083190E">
      <w:pPr>
        <w:pStyle w:val="Definition"/>
      </w:pPr>
      <w:r>
        <w:rPr>
          <w:b/>
        </w:rPr>
        <w:t>Emergency State</w:t>
      </w:r>
      <w:r>
        <w:t xml:space="preserve">: </w:t>
      </w:r>
      <w:bookmarkStart w:id="2" w:name="_DV_M40"/>
      <w:bookmarkEnd w:id="2"/>
      <w:r>
        <w:t>The state that the NYS Power System is in when an abnormal condition occurs that requires automatic or immediate, manual action to prevent or limit loss of the NYS Transmis</w:t>
      </w:r>
      <w:r>
        <w:t>sion System or Generators that could adversely affect the reliability of the NYS Power System.</w:t>
      </w:r>
    </w:p>
    <w:p w:rsidR="00BD4BAF" w:rsidRDefault="0083190E">
      <w:pPr>
        <w:pStyle w:val="Definition"/>
        <w:rPr>
          <w:bCs/>
          <w:iCs/>
        </w:rPr>
      </w:pPr>
      <w:bookmarkStart w:id="3" w:name="_DV_M41"/>
      <w:bookmarkEnd w:id="3"/>
      <w:r>
        <w:rPr>
          <w:b/>
          <w:iCs/>
        </w:rPr>
        <w:t>Emergency Upper Operating Limit (UOL</w:t>
      </w:r>
      <w:r>
        <w:rPr>
          <w:rFonts w:ascii="Times New Roman Bold" w:hAnsi="Times New Roman Bold"/>
          <w:b/>
          <w:iCs/>
          <w:smallCaps/>
          <w:vertAlign w:val="subscript"/>
        </w:rPr>
        <w:t>e</w:t>
      </w:r>
      <w:r>
        <w:rPr>
          <w:b/>
          <w:iCs/>
        </w:rPr>
        <w:t xml:space="preserve">): </w:t>
      </w:r>
      <w:r>
        <w:rPr>
          <w:bCs/>
          <w:iCs/>
        </w:rPr>
        <w:t>The upper operating limit that a Generator</w:t>
      </w:r>
      <w:r w:rsidRPr="00D52820">
        <w:rPr>
          <w:bCs/>
          <w:iCs/>
        </w:rPr>
        <w:t>, except for the Generator of a BTM:NG Resource,</w:t>
      </w:r>
      <w:r>
        <w:rPr>
          <w:bCs/>
          <w:iCs/>
        </w:rPr>
        <w:t xml:space="preserve"> indicates it expects to be abl</w:t>
      </w:r>
      <w:r>
        <w:rPr>
          <w:bCs/>
          <w:iCs/>
        </w:rPr>
        <w:t>e to reach,</w:t>
      </w:r>
      <w:r w:rsidRPr="00CF4756">
        <w:rPr>
          <w:bCs/>
          <w:iCs/>
        </w:rPr>
        <w:t xml:space="preserve"> </w:t>
      </w:r>
      <w:r w:rsidRPr="00D52820">
        <w:rPr>
          <w:bCs/>
          <w:iCs/>
        </w:rPr>
        <w:t>the upper operating limit that a</w:t>
      </w:r>
      <w:r>
        <w:rPr>
          <w:bCs/>
          <w:iCs/>
        </w:rPr>
        <w:t xml:space="preserve"> BTM:NG Resource indicates it expects to be able to inject into the grid after serving its Host Load and subject to its Injection Limit, </w:t>
      </w:r>
      <w:r>
        <w:rPr>
          <w:bCs/>
          <w:iCs/>
        </w:rPr>
        <w:t xml:space="preserve"> or the </w:t>
      </w:r>
      <w:r>
        <w:t>maximum</w:t>
      </w:r>
      <w:r>
        <w:rPr>
          <w:bCs/>
          <w:iCs/>
        </w:rPr>
        <w:t xml:space="preserve"> amount of demand that a Demand Side Resource expects to be </w:t>
      </w:r>
      <w:r>
        <w:rPr>
          <w:bCs/>
          <w:iCs/>
        </w:rPr>
        <w:t xml:space="preserve">able to reduce, at the request of the ISO </w:t>
      </w:r>
      <w:r>
        <w:rPr>
          <w:bCs/>
          <w:iCs/>
        </w:rPr>
        <w:lastRenderedPageBreak/>
        <w:t>during extraordinary conditions.  Each Resource shall specify a UOL</w:t>
      </w:r>
      <w:r>
        <w:rPr>
          <w:bCs/>
          <w:iCs/>
          <w:smallCaps/>
          <w:vertAlign w:val="subscript"/>
        </w:rPr>
        <w:t>e</w:t>
      </w:r>
      <w:r>
        <w:rPr>
          <w:bCs/>
          <w:iCs/>
        </w:rPr>
        <w:t xml:space="preserve"> in its bids that shall be equal to or greater than its stated Normal Upper Operating Limit.</w:t>
      </w:r>
    </w:p>
    <w:p w:rsidR="00BD4BAF" w:rsidRDefault="0083190E">
      <w:pPr>
        <w:pStyle w:val="Definition"/>
        <w:rPr>
          <w:strike/>
        </w:rPr>
      </w:pPr>
      <w:r>
        <w:rPr>
          <w:rFonts w:ascii="Times New Roman Bold" w:hAnsi="Times New Roman Bold"/>
          <w:b/>
        </w:rPr>
        <w:t xml:space="preserve">Energy (“MWh”): </w:t>
      </w:r>
      <w:bookmarkStart w:id="4" w:name="_DV_C45"/>
      <w:r>
        <w:t>A quantity of electricity that is bid</w:t>
      </w:r>
      <w:r>
        <w:t>, produced, purchased, consumed, sold, or transmitted over a period of time, and measured or calculated in megawatt hours.</w:t>
      </w:r>
      <w:bookmarkEnd w:id="4"/>
    </w:p>
    <w:p w:rsidR="00BD4BAF" w:rsidRDefault="0083190E">
      <w:pPr>
        <w:pStyle w:val="Definition"/>
        <w:rPr>
          <w:bCs/>
          <w:iCs/>
        </w:rPr>
      </w:pPr>
      <w:r>
        <w:rPr>
          <w:b/>
        </w:rPr>
        <w:t xml:space="preserve">Energy </w:t>
      </w:r>
      <w:r>
        <w:rPr>
          <w:b/>
          <w:iCs/>
        </w:rPr>
        <w:t xml:space="preserve">and Ancillary Services Component: </w:t>
      </w:r>
      <w:r>
        <w:rPr>
          <w:bCs/>
          <w:iCs/>
        </w:rPr>
        <w:t xml:space="preserve">A </w:t>
      </w:r>
      <w:r>
        <w:t>component</w:t>
      </w:r>
      <w:r>
        <w:rPr>
          <w:bCs/>
          <w:iCs/>
        </w:rPr>
        <w:t xml:space="preserve"> of the Operating Requirement, calculated in accordance with Section 26.4.2 of At</w:t>
      </w:r>
      <w:r>
        <w:rPr>
          <w:bCs/>
          <w:iCs/>
        </w:rPr>
        <w:t>tachment K to this Services Tariff.</w:t>
      </w:r>
    </w:p>
    <w:p w:rsidR="00BD4BAF" w:rsidRDefault="0083190E">
      <w:pPr>
        <w:pStyle w:val="Definition"/>
      </w:pPr>
      <w:r>
        <w:rPr>
          <w:b/>
          <w:iCs/>
        </w:rPr>
        <w:t xml:space="preserve">Energy </w:t>
      </w:r>
      <w:r>
        <w:rPr>
          <w:b/>
        </w:rPr>
        <w:t xml:space="preserve">Limited Resource: </w:t>
      </w:r>
      <w:bookmarkStart w:id="5" w:name="_DV_IPM54"/>
      <w:bookmarkStart w:id="6" w:name="_DV_C46"/>
      <w:bookmarkEnd w:id="5"/>
      <w:r>
        <w:t>Capacity resources</w:t>
      </w:r>
      <w:r>
        <w:t>, not including BTM:NG Resources,</w:t>
      </w:r>
      <w:r>
        <w:t xml:space="preserve"> that, due to environmental restrictions on operations, cyclical requirements, such as the need to recharge or refill, or other non-economic reasons, are unable to operate continuously on a daily basis, but are able to operate for at least four consecutive</w:t>
      </w:r>
      <w:r>
        <w:t xml:space="preserve"> hours each day.</w:t>
      </w:r>
      <w:bookmarkEnd w:id="6"/>
      <w:r>
        <w:t xml:space="preserve">  Energy Limited Resources must register their Energy limiting characteristics with, and justify them to, the ISO </w:t>
      </w:r>
      <w:r>
        <w:rPr>
          <w:bCs/>
          <w:iCs/>
        </w:rPr>
        <w:t>consistent</w:t>
      </w:r>
      <w:r>
        <w:t xml:space="preserve"> with ISO Procedures.</w:t>
      </w:r>
    </w:p>
    <w:p w:rsidR="00BD4BAF" w:rsidRDefault="0083190E">
      <w:pPr>
        <w:pStyle w:val="Definition"/>
      </w:pPr>
      <w:bookmarkStart w:id="7" w:name="_DV_IPM55"/>
      <w:bookmarkStart w:id="8" w:name="_DV_IPM56"/>
      <w:bookmarkStart w:id="9" w:name="_DV_IPM57"/>
      <w:bookmarkStart w:id="10" w:name="_DV_IPM58"/>
      <w:bookmarkStart w:id="11" w:name="_DV_IPM59"/>
      <w:bookmarkStart w:id="12" w:name="_DV_IPM60"/>
      <w:bookmarkStart w:id="13" w:name="_DV_IPM61"/>
      <w:bookmarkStart w:id="14" w:name="_DV_IPM62"/>
      <w:bookmarkStart w:id="15" w:name="_DV_IPM63"/>
      <w:bookmarkStart w:id="16" w:name="_DV_IPM64"/>
      <w:bookmarkStart w:id="17" w:name="_DV_IPM65"/>
      <w:bookmarkStart w:id="18" w:name="_DV_IPM66"/>
      <w:bookmarkStart w:id="19" w:name="_DV_IPM67"/>
      <w:bookmarkStart w:id="20" w:name="_DV_IPM68"/>
      <w:bookmarkStart w:id="21" w:name="_DV_IPM69"/>
      <w:bookmarkStart w:id="22" w:name="_DV_IPM70"/>
      <w:bookmarkStart w:id="23" w:name="_DV_IPM71"/>
      <w:bookmarkStart w:id="24" w:name="_DV_IPM73"/>
      <w:bookmarkStart w:id="25" w:name="_DV_IPM75"/>
      <w:bookmarkStart w:id="26" w:name="_DV_M42"/>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Pr>
          <w:b/>
          <w:bCs/>
        </w:rPr>
        <w:t xml:space="preserve">Equivalent Demand Forced Outage Rate: </w:t>
      </w:r>
      <w:r>
        <w:tab/>
        <w:t xml:space="preserve">The portion of </w:t>
      </w:r>
      <w:r>
        <w:rPr>
          <w:bCs/>
          <w:iCs/>
        </w:rPr>
        <w:t>time</w:t>
      </w:r>
      <w:r>
        <w:t xml:space="preserve"> a unit is in demand, but is unavail</w:t>
      </w:r>
      <w:r>
        <w:t>able due to forced outages.</w:t>
      </w:r>
    </w:p>
    <w:p w:rsidR="00BD4BAF" w:rsidRDefault="0083190E">
      <w:pPr>
        <w:pStyle w:val="Definition"/>
      </w:pPr>
      <w:r>
        <w:rPr>
          <w:b/>
          <w:bCs/>
        </w:rPr>
        <w:t xml:space="preserve">Equivalency Rating: </w:t>
      </w:r>
      <w:r>
        <w:t xml:space="preserve">A rating determined by the ISO, at a Customer’s request, based on the ISO’s financial evaluation of an Unrated Customer that shall </w:t>
      </w:r>
      <w:r>
        <w:rPr>
          <w:bCs/>
          <w:iCs/>
        </w:rPr>
        <w:t>serve</w:t>
      </w:r>
      <w:r>
        <w:t xml:space="preserve"> as the starting point of the ISO’s determination of an amount of Unsecu</w:t>
      </w:r>
      <w:r>
        <w:t>red Credit to be granted to the Customer, if any, as provided in Table K-1 of Attachment K to this Services Tariff.</w:t>
      </w:r>
    </w:p>
    <w:p w:rsidR="00BD4BAF" w:rsidRDefault="0083190E">
      <w:pPr>
        <w:pStyle w:val="Definition"/>
        <w:rPr>
          <w:bCs/>
        </w:rPr>
      </w:pPr>
      <w:r>
        <w:rPr>
          <w:b/>
          <w:bCs/>
        </w:rPr>
        <w:t xml:space="preserve">ETA Agent: </w:t>
      </w:r>
      <w:r>
        <w:rPr>
          <w:snapToGrid w:val="0"/>
        </w:rPr>
        <w:t>As defined in the ISO OATT</w:t>
      </w:r>
      <w:r>
        <w:rPr>
          <w:bCs/>
        </w:rPr>
        <w:t>.</w:t>
      </w:r>
    </w:p>
    <w:p w:rsidR="00BD4BAF" w:rsidRDefault="0083190E">
      <w:pPr>
        <w:pStyle w:val="Definition"/>
      </w:pPr>
      <w:r>
        <w:rPr>
          <w:b/>
          <w:bCs/>
        </w:rPr>
        <w:t>ETCNL TCC:</w:t>
      </w:r>
      <w:r>
        <w:t xml:space="preserve"> </w:t>
      </w:r>
      <w:r>
        <w:rPr>
          <w:snapToGrid w:val="0"/>
        </w:rPr>
        <w:t>As defined in the ISO OATT</w:t>
      </w:r>
      <w:r>
        <w:t>.</w:t>
      </w:r>
    </w:p>
    <w:p w:rsidR="00BD4BAF" w:rsidRDefault="0083190E">
      <w:pPr>
        <w:pStyle w:val="Definition"/>
        <w:rPr>
          <w:iCs/>
        </w:rPr>
      </w:pPr>
      <w:r>
        <w:rPr>
          <w:b/>
          <w:bCs/>
          <w:iCs/>
        </w:rPr>
        <w:t xml:space="preserve">Excess Amount: </w:t>
      </w:r>
      <w:r>
        <w:rPr>
          <w:iCs/>
        </w:rPr>
        <w:t>The difference, if any, between the dollar amou</w:t>
      </w:r>
      <w:r>
        <w:rPr>
          <w:iCs/>
        </w:rPr>
        <w:t>nts charged to purchasers of Unforced Capacity in an ISO–administered Unforced Capacity auction and the dollar amounts paid to sellers of Unforced Capacity in that ISO–administered Installed Capacity auction.</w:t>
      </w:r>
    </w:p>
    <w:p w:rsidR="00BD4BAF" w:rsidRDefault="0083190E">
      <w:pPr>
        <w:pStyle w:val="Definition"/>
      </w:pPr>
      <w:r>
        <w:rPr>
          <w:b/>
          <w:bCs/>
        </w:rPr>
        <w:t xml:space="preserve">Excess Congestion Rents: </w:t>
      </w:r>
      <w:r>
        <w:rPr>
          <w:snapToGrid w:val="0"/>
        </w:rPr>
        <w:t xml:space="preserve">As defined in the ISO </w:t>
      </w:r>
      <w:r>
        <w:rPr>
          <w:snapToGrid w:val="0"/>
        </w:rPr>
        <w:t>OATT</w:t>
      </w:r>
      <w:r>
        <w:t>.</w:t>
      </w:r>
    </w:p>
    <w:p w:rsidR="00BD4BAF" w:rsidRDefault="0083190E">
      <w:pPr>
        <w:pStyle w:val="Definition"/>
      </w:pPr>
      <w:r>
        <w:rPr>
          <w:b/>
        </w:rPr>
        <w:t xml:space="preserve">Existing Transmission Capacity for Native Load ("ETCNL"): </w:t>
      </w:r>
      <w:r>
        <w:rPr>
          <w:snapToGrid w:val="0"/>
        </w:rPr>
        <w:t>As defined in the ISO OATT</w:t>
      </w:r>
      <w:r>
        <w:t>.</w:t>
      </w:r>
    </w:p>
    <w:p w:rsidR="00DE48FD" w:rsidRDefault="0083190E">
      <w:pPr>
        <w:pStyle w:val="Definition"/>
      </w:pPr>
      <w:r>
        <w:rPr>
          <w:b/>
          <w:bCs/>
        </w:rPr>
        <w:t>Existing Transmission Agreement (“ETA”)</w:t>
      </w:r>
      <w:r>
        <w:t xml:space="preserve">: </w:t>
      </w:r>
      <w:r>
        <w:rPr>
          <w:snapToGrid w:val="0"/>
        </w:rPr>
        <w:t>As defined in the ISO OATT</w:t>
      </w:r>
      <w:r>
        <w:t>.</w:t>
      </w:r>
    </w:p>
    <w:p w:rsidR="001754CE" w:rsidRDefault="0083190E">
      <w:pPr>
        <w:pStyle w:val="Definition"/>
      </w:pPr>
      <w:r>
        <w:rPr>
          <w:b/>
        </w:rPr>
        <w:t xml:space="preserve">Expected EDRP/SCR MW: </w:t>
      </w:r>
      <w:r w:rsidRPr="00B95B91">
        <w:t xml:space="preserve">The </w:t>
      </w:r>
      <w:r w:rsidRPr="00B95B91">
        <w:t xml:space="preserve">aggregate </w:t>
      </w:r>
      <w:r w:rsidRPr="00B95B91">
        <w:t xml:space="preserve">Load reduction (in MW) </w:t>
      </w:r>
      <w:r w:rsidRPr="00B95B91">
        <w:t xml:space="preserve">expected </w:t>
      </w:r>
      <w:r w:rsidRPr="00B95B91">
        <w:t>to be realized from EDRP an</w:t>
      </w:r>
      <w:r w:rsidRPr="00B95B91">
        <w:t>d</w:t>
      </w:r>
      <w:r>
        <w:t>/or</w:t>
      </w:r>
      <w:r w:rsidRPr="00B95B91">
        <w:t xml:space="preserve"> SCRs during the real-time intervals that the ISO has called upon EDRP and</w:t>
      </w:r>
      <w:r w:rsidRPr="00B95B91">
        <w:t>/or</w:t>
      </w:r>
      <w:r w:rsidRPr="00B95B91">
        <w:t xml:space="preserve"> SCR</w:t>
      </w:r>
      <w:r w:rsidRPr="00B95B91">
        <w:t>s</w:t>
      </w:r>
      <w:r w:rsidRPr="00B95B91">
        <w:t xml:space="preserve"> to provide Load reduction in </w:t>
      </w:r>
      <w:r w:rsidRPr="00B95B91">
        <w:t>a</w:t>
      </w:r>
      <w:r w:rsidRPr="00B95B91">
        <w:t xml:space="preserve"> Scarcity Reserve Region, as determined based on the ISO’s calculation of the historical performance of EDRP and SCRs.  The</w:t>
      </w:r>
      <w:r>
        <w:t>re will be</w:t>
      </w:r>
      <w:r w:rsidRPr="00B95B91">
        <w:t xml:space="preserve"> separ</w:t>
      </w:r>
      <w:r w:rsidRPr="00B95B91">
        <w:t>ate values for voluntary and mandatory Load reductions</w:t>
      </w:r>
      <w:r w:rsidRPr="00B95B91">
        <w:t xml:space="preserve">.  </w:t>
      </w:r>
      <w:r w:rsidRPr="00B95B91">
        <w:t>When determining the historical performance of SCRs</w:t>
      </w:r>
      <w:r w:rsidRPr="00B95B91">
        <w:t xml:space="preserve">, provision of Load reduction shall be deemed mandatory if the ISO has satisfied the </w:t>
      </w:r>
      <w:r w:rsidRPr="00B95B91">
        <w:t xml:space="preserve">notification </w:t>
      </w:r>
      <w:r w:rsidRPr="00B95B91">
        <w:t>requirements set forth in Section 5.12.11.1 of thi</w:t>
      </w:r>
      <w:r w:rsidRPr="00B95B91">
        <w:t xml:space="preserve">s ISO Services Tariff as it relates to the SCRs in the applicable Load Zone, otherwise provision of such Load reduction shall be deemed voluntary.  </w:t>
      </w:r>
      <w:r w:rsidRPr="00B95B91">
        <w:t xml:space="preserve">When determining the historical performance of </w:t>
      </w:r>
      <w:r w:rsidRPr="00B95B91">
        <w:t>the EDRP, provision of Load reduction by EDRP shall be deemed</w:t>
      </w:r>
      <w:r w:rsidRPr="00B95B91">
        <w:t xml:space="preserve"> voluntary</w:t>
      </w:r>
      <w:r>
        <w:t>.</w:t>
      </w:r>
      <w:r>
        <w:t xml:space="preserve"> </w:t>
      </w:r>
    </w:p>
    <w:p w:rsidR="00BD4BAF" w:rsidRDefault="0083190E">
      <w:pPr>
        <w:pStyle w:val="Definition"/>
      </w:pPr>
      <w:r>
        <w:rPr>
          <w:b/>
          <w:bCs/>
        </w:rPr>
        <w:lastRenderedPageBreak/>
        <w:t xml:space="preserve">Expected Load Reduction: </w:t>
      </w:r>
      <w:r>
        <w:t>For purposes of determining the Real-</w:t>
      </w:r>
      <w:r>
        <w:rPr>
          <w:bCs/>
          <w:iCs/>
        </w:rPr>
        <w:t>Time</w:t>
      </w:r>
      <w:r>
        <w:t xml:space="preserve"> Locational Based Marginal Price, the reduction in Load expected to be realized in real-time from activation of the Emergency Demand Response Program and from Load reductions requested from Special Case Resources, as established pursuant to ISO Procedures.</w:t>
      </w:r>
    </w:p>
    <w:p w:rsidR="00BD4BAF" w:rsidRDefault="0083190E">
      <w:pPr>
        <w:pStyle w:val="Definition"/>
      </w:pPr>
      <w:r>
        <w:rPr>
          <w:b/>
          <w:bCs/>
        </w:rPr>
        <w:t xml:space="preserve">Expedited Dispute Resolution Procedures: </w:t>
      </w:r>
      <w:r>
        <w:t>The dispute resolution procedures applicable to disputes arising out of the Installed Capacity provisions of this ISO Services Tariff (as set forth in Section 5.17) and the Customer settlements provisions of this I</w:t>
      </w:r>
      <w:r>
        <w:t>SO Services Tariff (as set forth in Section 7.4.3).</w:t>
      </w:r>
    </w:p>
    <w:p w:rsidR="00BD4BAF" w:rsidRDefault="0083190E">
      <w:pPr>
        <w:pStyle w:val="Definition"/>
      </w:pPr>
      <w:r>
        <w:rPr>
          <w:b/>
          <w:bCs/>
        </w:rPr>
        <w:t>Export</w:t>
      </w:r>
      <w:r>
        <w:t xml:space="preserve">: A Bilateral Transaction or purchase from the </w:t>
      </w:r>
      <w:r>
        <w:rPr>
          <w:bCs/>
          <w:iCs/>
        </w:rPr>
        <w:t>LBMP</w:t>
      </w:r>
      <w:r>
        <w:t xml:space="preserve"> Market where the Energy is delivered to an NYCA Interconnection with another Control Area.</w:t>
      </w:r>
    </w:p>
    <w:p w:rsidR="00BD4BAF" w:rsidRDefault="0083190E" w:rsidP="00BD4BAF">
      <w:pPr>
        <w:pStyle w:val="Definition"/>
      </w:pPr>
      <w:r>
        <w:rPr>
          <w:b/>
        </w:rPr>
        <w:t xml:space="preserve">Export Credit Requirement:  </w:t>
      </w:r>
      <w:r>
        <w:t>A component of the External</w:t>
      </w:r>
      <w:r>
        <w:t xml:space="preserve"> Transaction Component of the Operating Requirement, calculated in accordance with Section 26.4.2 of Attachment K to this Services Tariff.</w:t>
      </w:r>
    </w:p>
    <w:p w:rsidR="00BD4BAF" w:rsidRDefault="0083190E">
      <w:pPr>
        <w:pStyle w:val="Definition"/>
      </w:pPr>
      <w:r>
        <w:rPr>
          <w:b/>
          <w:bCs/>
        </w:rPr>
        <w:t>External</w:t>
      </w:r>
      <w:r>
        <w:t>: An entity (</w:t>
      </w:r>
      <w:r>
        <w:rPr>
          <w:u w:val="single"/>
        </w:rPr>
        <w:t>e.g.</w:t>
      </w:r>
      <w:r>
        <w:t xml:space="preserve">, Supplier, Transmission Customer) or </w:t>
      </w:r>
      <w:r>
        <w:rPr>
          <w:bCs/>
          <w:iCs/>
        </w:rPr>
        <w:t>facility</w:t>
      </w:r>
      <w:r>
        <w:t xml:space="preserve"> (</w:t>
      </w:r>
      <w:r>
        <w:rPr>
          <w:u w:val="single"/>
        </w:rPr>
        <w:t>e.g.</w:t>
      </w:r>
      <w:r>
        <w:t xml:space="preserve">, Generator, Interface) located outside </w:t>
      </w:r>
      <w:r>
        <w:t>the Control Area being referenced or between two or more Control Areas.  Where a specific Control Area is not referenced, the NYCA is the intended reference.</w:t>
      </w:r>
    </w:p>
    <w:p w:rsidR="00BD4BAF" w:rsidRDefault="0083190E" w:rsidP="00BD4BAF">
      <w:pPr>
        <w:pStyle w:val="Definition"/>
      </w:pPr>
      <w:r>
        <w:rPr>
          <w:b/>
        </w:rPr>
        <w:t>External Transaction Component</w:t>
      </w:r>
      <w:r>
        <w:t>:  A component of the Operating Requirement, calculated in accordanc</w:t>
      </w:r>
      <w:r>
        <w:t>e with Section 26.4.2 of Attachment K to this Services Tariff.</w:t>
      </w:r>
    </w:p>
    <w:p w:rsidR="00BD4BAF" w:rsidRDefault="0083190E">
      <w:pPr>
        <w:pStyle w:val="Definition"/>
      </w:pPr>
      <w:r>
        <w:rPr>
          <w:b/>
          <w:bCs/>
        </w:rPr>
        <w:t>External Transactions</w:t>
      </w:r>
      <w:r>
        <w:t xml:space="preserve">: Purchases, sales or exchanges of Energy, Capacity or Ancillary Services for which either the Point of Injection (“POI”) or </w:t>
      </w:r>
      <w:r>
        <w:rPr>
          <w:bCs/>
          <w:iCs/>
        </w:rPr>
        <w:t>Point</w:t>
      </w:r>
      <w:r>
        <w:t xml:space="preserve"> of Withdrawal (“POW”) or both are located</w:t>
      </w:r>
      <w:r>
        <w:t xml:space="preserve"> outside the NYCA (</w:t>
      </w:r>
      <w:r>
        <w:rPr>
          <w:u w:val="single"/>
        </w:rPr>
        <w:t>i.e.</w:t>
      </w:r>
      <w:r>
        <w:t>, Exports, Imports or Wheels Through).</w:t>
      </w:r>
    </w:p>
    <w:p w:rsidR="00BD4BAF" w:rsidRDefault="0083190E">
      <w:pPr>
        <w:pStyle w:val="Definition"/>
      </w:pPr>
    </w:p>
    <w:sectPr w:rsidR="00BD4BAF" w:rsidSect="00BD4BA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3190E">
      <w:r>
        <w:separator/>
      </w:r>
    </w:p>
  </w:endnote>
  <w:endnote w:type="continuationSeparator" w:id="0">
    <w:p w:rsidR="00000000" w:rsidRDefault="00831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2B6" w:rsidRDefault="0083190E">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2B6" w:rsidRDefault="0083190E">
    <w:pPr>
      <w:jc w:val="right"/>
      <w:rPr>
        <w:rFonts w:ascii="Arial" w:eastAsia="Arial" w:hAnsi="Arial" w:cs="Arial"/>
        <w:color w:val="000000"/>
        <w:sz w:val="16"/>
      </w:rPr>
    </w:pPr>
    <w:r>
      <w:rPr>
        <w:rFonts w:ascii="Arial" w:eastAsia="Arial" w:hAnsi="Arial" w:cs="Arial"/>
        <w:color w:val="000000"/>
        <w:sz w:val="16"/>
      </w:rPr>
      <w:t>Effective Date: 8/1/2017 - Docket #: ER17-1167</w:t>
    </w:r>
    <w:r>
      <w:rPr>
        <w:rFonts w:ascii="Arial" w:eastAsia="Arial" w:hAnsi="Arial" w:cs="Arial"/>
        <w:color w:val="000000"/>
        <w:sz w:val="16"/>
      </w:rPr>
      <w:t xml:space="preserve">-002 -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2B6" w:rsidRDefault="0083190E">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3190E">
      <w:r>
        <w:separator/>
      </w:r>
    </w:p>
  </w:footnote>
  <w:footnote w:type="continuationSeparator" w:id="0">
    <w:p w:rsidR="00000000" w:rsidRDefault="00831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2B6" w:rsidRDefault="0083190E">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Definitions --&gt; 2.5 MST </w:t>
    </w:r>
    <w:r>
      <w:rPr>
        <w:rFonts w:ascii="Arial" w:eastAsia="Arial" w:hAnsi="Arial" w:cs="Arial"/>
        <w:color w:val="000000"/>
        <w:sz w:val="16"/>
      </w:rPr>
      <w:t>Definitions - 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2B6" w:rsidRDefault="0083190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2.5 MST Definitions - 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2B6" w:rsidRDefault="0083190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2.5 MST Definitions - 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B4B2A524">
      <w:start w:val="1"/>
      <w:numFmt w:val="bullet"/>
      <w:pStyle w:val="Bulletpara"/>
      <w:lvlText w:val=""/>
      <w:lvlJc w:val="left"/>
      <w:pPr>
        <w:tabs>
          <w:tab w:val="num" w:pos="720"/>
        </w:tabs>
        <w:ind w:left="720" w:hanging="360"/>
      </w:pPr>
      <w:rPr>
        <w:rFonts w:ascii="Symbol" w:hAnsi="Symbol" w:hint="default"/>
      </w:rPr>
    </w:lvl>
    <w:lvl w:ilvl="1" w:tplc="EC3A1A5E" w:tentative="1">
      <w:start w:val="1"/>
      <w:numFmt w:val="bullet"/>
      <w:lvlText w:val="o"/>
      <w:lvlJc w:val="left"/>
      <w:pPr>
        <w:tabs>
          <w:tab w:val="num" w:pos="1440"/>
        </w:tabs>
        <w:ind w:left="1440" w:hanging="360"/>
      </w:pPr>
      <w:rPr>
        <w:rFonts w:ascii="Courier New" w:hAnsi="Courier New" w:hint="default"/>
      </w:rPr>
    </w:lvl>
    <w:lvl w:ilvl="2" w:tplc="FB3CDE0C" w:tentative="1">
      <w:start w:val="1"/>
      <w:numFmt w:val="bullet"/>
      <w:lvlText w:val=""/>
      <w:lvlJc w:val="left"/>
      <w:pPr>
        <w:tabs>
          <w:tab w:val="num" w:pos="2160"/>
        </w:tabs>
        <w:ind w:left="2160" w:hanging="360"/>
      </w:pPr>
      <w:rPr>
        <w:rFonts w:ascii="Wingdings" w:hAnsi="Wingdings" w:hint="default"/>
      </w:rPr>
    </w:lvl>
    <w:lvl w:ilvl="3" w:tplc="2CA63124" w:tentative="1">
      <w:start w:val="1"/>
      <w:numFmt w:val="bullet"/>
      <w:lvlText w:val=""/>
      <w:lvlJc w:val="left"/>
      <w:pPr>
        <w:tabs>
          <w:tab w:val="num" w:pos="2880"/>
        </w:tabs>
        <w:ind w:left="2880" w:hanging="360"/>
      </w:pPr>
      <w:rPr>
        <w:rFonts w:ascii="Symbol" w:hAnsi="Symbol" w:hint="default"/>
      </w:rPr>
    </w:lvl>
    <w:lvl w:ilvl="4" w:tplc="94BEE9A0" w:tentative="1">
      <w:start w:val="1"/>
      <w:numFmt w:val="bullet"/>
      <w:lvlText w:val="o"/>
      <w:lvlJc w:val="left"/>
      <w:pPr>
        <w:tabs>
          <w:tab w:val="num" w:pos="3600"/>
        </w:tabs>
        <w:ind w:left="3600" w:hanging="360"/>
      </w:pPr>
      <w:rPr>
        <w:rFonts w:ascii="Courier New" w:hAnsi="Courier New" w:hint="default"/>
      </w:rPr>
    </w:lvl>
    <w:lvl w:ilvl="5" w:tplc="47E6BCA4" w:tentative="1">
      <w:start w:val="1"/>
      <w:numFmt w:val="bullet"/>
      <w:lvlText w:val=""/>
      <w:lvlJc w:val="left"/>
      <w:pPr>
        <w:tabs>
          <w:tab w:val="num" w:pos="4320"/>
        </w:tabs>
        <w:ind w:left="4320" w:hanging="360"/>
      </w:pPr>
      <w:rPr>
        <w:rFonts w:ascii="Wingdings" w:hAnsi="Wingdings" w:hint="default"/>
      </w:rPr>
    </w:lvl>
    <w:lvl w:ilvl="6" w:tplc="7958BBB2" w:tentative="1">
      <w:start w:val="1"/>
      <w:numFmt w:val="bullet"/>
      <w:lvlText w:val=""/>
      <w:lvlJc w:val="left"/>
      <w:pPr>
        <w:tabs>
          <w:tab w:val="num" w:pos="5040"/>
        </w:tabs>
        <w:ind w:left="5040" w:hanging="360"/>
      </w:pPr>
      <w:rPr>
        <w:rFonts w:ascii="Symbol" w:hAnsi="Symbol" w:hint="default"/>
      </w:rPr>
    </w:lvl>
    <w:lvl w:ilvl="7" w:tplc="21B22902" w:tentative="1">
      <w:start w:val="1"/>
      <w:numFmt w:val="bullet"/>
      <w:lvlText w:val="o"/>
      <w:lvlJc w:val="left"/>
      <w:pPr>
        <w:tabs>
          <w:tab w:val="num" w:pos="5760"/>
        </w:tabs>
        <w:ind w:left="5760" w:hanging="360"/>
      </w:pPr>
      <w:rPr>
        <w:rFonts w:ascii="Courier New" w:hAnsi="Courier New" w:hint="default"/>
      </w:rPr>
    </w:lvl>
    <w:lvl w:ilvl="8" w:tplc="75CC9D04"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rsids>
    <w:rsidRoot w:val="000852B6"/>
    <w:rsid w:val="000852B6"/>
    <w:rsid w:val="0083190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4BAF"/>
    <w:rPr>
      <w:sz w:val="24"/>
      <w:szCs w:val="24"/>
    </w:rPr>
  </w:style>
  <w:style w:type="paragraph" w:styleId="Heading1">
    <w:name w:val="heading 1"/>
    <w:basedOn w:val="Normal"/>
    <w:next w:val="Normal"/>
    <w:link w:val="Heading1Char"/>
    <w:uiPriority w:val="99"/>
    <w:qFormat/>
    <w:rsid w:val="00BD4BA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D4BA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D4BA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D4BA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D4BA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D4BA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D4BAF"/>
    <w:pPr>
      <w:keepNext/>
      <w:spacing w:line="480" w:lineRule="auto"/>
      <w:ind w:left="720" w:right="630"/>
      <w:outlineLvl w:val="6"/>
    </w:pPr>
    <w:rPr>
      <w:b/>
    </w:rPr>
  </w:style>
  <w:style w:type="paragraph" w:styleId="Heading8">
    <w:name w:val="heading 8"/>
    <w:basedOn w:val="Normal"/>
    <w:next w:val="Normal"/>
    <w:link w:val="Heading8Char"/>
    <w:uiPriority w:val="99"/>
    <w:qFormat/>
    <w:rsid w:val="00BD4BAF"/>
    <w:pPr>
      <w:keepNext/>
      <w:spacing w:line="480" w:lineRule="auto"/>
      <w:ind w:left="720" w:right="-90"/>
      <w:outlineLvl w:val="7"/>
    </w:pPr>
    <w:rPr>
      <w:b/>
    </w:rPr>
  </w:style>
  <w:style w:type="paragraph" w:styleId="Heading9">
    <w:name w:val="heading 9"/>
    <w:basedOn w:val="Normal"/>
    <w:next w:val="Normal"/>
    <w:link w:val="Heading9Char"/>
    <w:uiPriority w:val="99"/>
    <w:qFormat/>
    <w:rsid w:val="00BD4BA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D4BAF"/>
    <w:rPr>
      <w:b/>
      <w:sz w:val="24"/>
      <w:szCs w:val="24"/>
    </w:rPr>
  </w:style>
  <w:style w:type="paragraph" w:styleId="Title">
    <w:name w:val="Title"/>
    <w:basedOn w:val="Normal"/>
    <w:link w:val="TitleChar"/>
    <w:uiPriority w:val="99"/>
    <w:qFormat/>
    <w:rsid w:val="00BD4BAF"/>
    <w:pPr>
      <w:spacing w:after="240"/>
      <w:jc w:val="center"/>
    </w:pPr>
    <w:rPr>
      <w:rFonts w:cs="Arial"/>
      <w:bCs/>
      <w:szCs w:val="32"/>
    </w:rPr>
  </w:style>
  <w:style w:type="character" w:styleId="CommentReference">
    <w:name w:val="annotation reference"/>
    <w:basedOn w:val="DefaultParagraphFont"/>
    <w:semiHidden/>
    <w:rsid w:val="00BD4BAF"/>
    <w:rPr>
      <w:sz w:val="16"/>
      <w:szCs w:val="16"/>
    </w:rPr>
  </w:style>
  <w:style w:type="paragraph" w:styleId="CommentText">
    <w:name w:val="annotation text"/>
    <w:basedOn w:val="Normal"/>
    <w:semiHidden/>
    <w:rsid w:val="00BD4BAF"/>
    <w:pPr>
      <w:widowControl w:val="0"/>
    </w:pPr>
    <w:rPr>
      <w:sz w:val="20"/>
      <w:szCs w:val="20"/>
    </w:rPr>
  </w:style>
  <w:style w:type="paragraph" w:styleId="Header">
    <w:name w:val="header"/>
    <w:basedOn w:val="Normal"/>
    <w:link w:val="HeaderChar"/>
    <w:uiPriority w:val="99"/>
    <w:rsid w:val="00BD4BAF"/>
    <w:pPr>
      <w:tabs>
        <w:tab w:val="center" w:pos="4680"/>
        <w:tab w:val="right" w:pos="9360"/>
      </w:tabs>
    </w:pPr>
  </w:style>
  <w:style w:type="paragraph" w:styleId="Subtitle">
    <w:name w:val="Subtitle"/>
    <w:basedOn w:val="Normal"/>
    <w:qFormat/>
    <w:rsid w:val="00BD4BA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D4BAF"/>
    <w:rPr>
      <w:rFonts w:cs="Times New Roman"/>
    </w:rPr>
  </w:style>
  <w:style w:type="paragraph" w:styleId="BalloonText">
    <w:name w:val="Balloon Text"/>
    <w:basedOn w:val="Normal"/>
    <w:link w:val="BalloonTextChar"/>
    <w:uiPriority w:val="99"/>
    <w:semiHidden/>
    <w:rsid w:val="00BD4BAF"/>
    <w:rPr>
      <w:rFonts w:ascii="Tahoma" w:hAnsi="Tahoma" w:cs="Tahoma"/>
      <w:sz w:val="16"/>
      <w:szCs w:val="16"/>
    </w:rPr>
  </w:style>
  <w:style w:type="paragraph" w:customStyle="1" w:styleId="Default">
    <w:name w:val="Default"/>
    <w:rsid w:val="00BD4BA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D4BAF"/>
    <w:rPr>
      <w:rFonts w:cs="Times New Roman"/>
    </w:rPr>
  </w:style>
  <w:style w:type="paragraph" w:customStyle="1" w:styleId="Definition">
    <w:name w:val="Definition"/>
    <w:basedOn w:val="Normal"/>
    <w:uiPriority w:val="99"/>
    <w:rsid w:val="00BD4BAF"/>
    <w:pPr>
      <w:spacing w:before="240" w:after="240"/>
    </w:pPr>
  </w:style>
  <w:style w:type="paragraph" w:customStyle="1" w:styleId="Definitionindent">
    <w:name w:val="Definition indent"/>
    <w:basedOn w:val="Definition"/>
    <w:uiPriority w:val="99"/>
    <w:rsid w:val="00BD4BAF"/>
    <w:pPr>
      <w:spacing w:before="120" w:after="120"/>
      <w:ind w:left="720"/>
    </w:pPr>
  </w:style>
  <w:style w:type="paragraph" w:customStyle="1" w:styleId="Bodypara">
    <w:name w:val="Body para"/>
    <w:basedOn w:val="Normal"/>
    <w:uiPriority w:val="99"/>
    <w:rsid w:val="00BD4BAF"/>
    <w:pPr>
      <w:spacing w:line="480" w:lineRule="auto"/>
      <w:ind w:firstLine="720"/>
    </w:pPr>
  </w:style>
  <w:style w:type="paragraph" w:customStyle="1" w:styleId="alphapara">
    <w:name w:val="alpha para"/>
    <w:basedOn w:val="Bodypara"/>
    <w:link w:val="alphaparaChar"/>
    <w:uiPriority w:val="99"/>
    <w:rsid w:val="00BD4BAF"/>
    <w:pPr>
      <w:ind w:left="1440" w:hanging="720"/>
    </w:pPr>
  </w:style>
  <w:style w:type="paragraph" w:styleId="Date">
    <w:name w:val="Date"/>
    <w:basedOn w:val="Normal"/>
    <w:next w:val="Normal"/>
    <w:link w:val="DateChar"/>
    <w:uiPriority w:val="99"/>
    <w:rsid w:val="00BD4BAF"/>
  </w:style>
  <w:style w:type="paragraph" w:customStyle="1" w:styleId="TOCHeading1">
    <w:name w:val="TOC Heading1"/>
    <w:basedOn w:val="Normal"/>
    <w:uiPriority w:val="99"/>
    <w:rsid w:val="00BD4BAF"/>
    <w:pPr>
      <w:spacing w:before="240" w:after="240"/>
    </w:pPr>
    <w:rPr>
      <w:b/>
    </w:rPr>
  </w:style>
  <w:style w:type="paragraph" w:styleId="DocumentMap">
    <w:name w:val="Document Map"/>
    <w:basedOn w:val="Normal"/>
    <w:link w:val="DocumentMapChar"/>
    <w:uiPriority w:val="99"/>
    <w:semiHidden/>
    <w:rsid w:val="00BD4BAF"/>
    <w:pPr>
      <w:shd w:val="clear" w:color="auto" w:fill="000080"/>
    </w:pPr>
    <w:rPr>
      <w:rFonts w:ascii="Tahoma" w:hAnsi="Tahoma" w:cs="Tahoma"/>
      <w:sz w:val="20"/>
    </w:rPr>
  </w:style>
  <w:style w:type="paragraph" w:customStyle="1" w:styleId="Footers">
    <w:name w:val="Footers"/>
    <w:basedOn w:val="Heading1"/>
    <w:uiPriority w:val="99"/>
    <w:rsid w:val="00BD4BAF"/>
    <w:pPr>
      <w:tabs>
        <w:tab w:val="left" w:pos="1440"/>
        <w:tab w:val="left" w:pos="7020"/>
        <w:tab w:val="right" w:pos="9360"/>
      </w:tabs>
    </w:pPr>
    <w:rPr>
      <w:b w:val="0"/>
      <w:sz w:val="20"/>
    </w:rPr>
  </w:style>
  <w:style w:type="paragraph" w:customStyle="1" w:styleId="subhead">
    <w:name w:val="subhead"/>
    <w:basedOn w:val="Heading4"/>
    <w:uiPriority w:val="99"/>
    <w:rsid w:val="00BD4BAF"/>
    <w:pPr>
      <w:tabs>
        <w:tab w:val="clear" w:pos="1800"/>
      </w:tabs>
      <w:ind w:left="720" w:firstLine="0"/>
    </w:pPr>
  </w:style>
  <w:style w:type="paragraph" w:customStyle="1" w:styleId="alphaheading">
    <w:name w:val="alpha heading"/>
    <w:basedOn w:val="Normal"/>
    <w:uiPriority w:val="99"/>
    <w:rsid w:val="00BD4BAF"/>
    <w:pPr>
      <w:keepNext/>
      <w:tabs>
        <w:tab w:val="left" w:pos="1440"/>
      </w:tabs>
      <w:spacing w:before="240" w:after="240"/>
      <w:ind w:left="1440" w:hanging="720"/>
    </w:pPr>
    <w:rPr>
      <w:b/>
    </w:rPr>
  </w:style>
  <w:style w:type="paragraph" w:customStyle="1" w:styleId="romannumeralpara">
    <w:name w:val="roman numeral para"/>
    <w:basedOn w:val="Normal"/>
    <w:uiPriority w:val="99"/>
    <w:rsid w:val="00BD4BAF"/>
    <w:pPr>
      <w:spacing w:line="480" w:lineRule="auto"/>
      <w:ind w:left="1440" w:hanging="720"/>
    </w:pPr>
  </w:style>
  <w:style w:type="paragraph" w:customStyle="1" w:styleId="Bulletpara">
    <w:name w:val="Bullet para"/>
    <w:basedOn w:val="Normal"/>
    <w:uiPriority w:val="99"/>
    <w:rsid w:val="00BD4BAF"/>
    <w:pPr>
      <w:numPr>
        <w:numId w:val="1"/>
      </w:numPr>
      <w:tabs>
        <w:tab w:val="left" w:pos="900"/>
      </w:tabs>
      <w:spacing w:before="120" w:after="120"/>
    </w:pPr>
  </w:style>
  <w:style w:type="paragraph" w:styleId="TOC1">
    <w:name w:val="toc 1"/>
    <w:basedOn w:val="Normal"/>
    <w:next w:val="Normal"/>
    <w:uiPriority w:val="99"/>
    <w:semiHidden/>
    <w:rsid w:val="00BD4BAF"/>
  </w:style>
  <w:style w:type="paragraph" w:customStyle="1" w:styleId="Tarifftitle">
    <w:name w:val="Tariff title"/>
    <w:basedOn w:val="Normal"/>
    <w:uiPriority w:val="99"/>
    <w:rsid w:val="00BD4BAF"/>
    <w:rPr>
      <w:b/>
      <w:sz w:val="28"/>
      <w:szCs w:val="28"/>
    </w:rPr>
  </w:style>
  <w:style w:type="paragraph" w:styleId="TOC2">
    <w:name w:val="toc 2"/>
    <w:basedOn w:val="Normal"/>
    <w:next w:val="Normal"/>
    <w:uiPriority w:val="99"/>
    <w:semiHidden/>
    <w:rsid w:val="00BD4BAF"/>
    <w:pPr>
      <w:ind w:left="240"/>
    </w:pPr>
  </w:style>
  <w:style w:type="character" w:styleId="Hyperlink">
    <w:name w:val="Hyperlink"/>
    <w:basedOn w:val="DefaultParagraphFont"/>
    <w:uiPriority w:val="99"/>
    <w:rsid w:val="00BD4BAF"/>
    <w:rPr>
      <w:rFonts w:cs="Times New Roman"/>
      <w:color w:val="0000FF"/>
      <w:u w:val="single"/>
    </w:rPr>
  </w:style>
  <w:style w:type="paragraph" w:styleId="TOC3">
    <w:name w:val="toc 3"/>
    <w:basedOn w:val="Normal"/>
    <w:next w:val="Normal"/>
    <w:uiPriority w:val="99"/>
    <w:semiHidden/>
    <w:rsid w:val="00BD4BAF"/>
    <w:pPr>
      <w:ind w:left="480"/>
    </w:pPr>
  </w:style>
  <w:style w:type="paragraph" w:styleId="TOC4">
    <w:name w:val="toc 4"/>
    <w:basedOn w:val="Normal"/>
    <w:next w:val="Normal"/>
    <w:uiPriority w:val="99"/>
    <w:semiHidden/>
    <w:rsid w:val="00BD4BAF"/>
    <w:pPr>
      <w:ind w:left="720"/>
    </w:pPr>
  </w:style>
  <w:style w:type="paragraph" w:customStyle="1" w:styleId="subalphapara">
    <w:name w:val="sub alpha para"/>
    <w:basedOn w:val="alphapara"/>
    <w:rsid w:val="00BD4BAF"/>
    <w:pPr>
      <w:ind w:firstLine="0"/>
    </w:pPr>
  </w:style>
  <w:style w:type="paragraph" w:customStyle="1" w:styleId="Level1">
    <w:name w:val="Level 1"/>
    <w:basedOn w:val="Normal"/>
    <w:uiPriority w:val="99"/>
    <w:rsid w:val="00BD4BAF"/>
    <w:pPr>
      <w:ind w:left="1890" w:hanging="720"/>
    </w:pPr>
  </w:style>
  <w:style w:type="paragraph" w:styleId="BodyTextIndent2">
    <w:name w:val="Body Text Indent 2"/>
    <w:basedOn w:val="Normal"/>
    <w:rsid w:val="00BD4BAF"/>
    <w:pPr>
      <w:spacing w:line="480" w:lineRule="auto"/>
      <w:ind w:left="720" w:firstLine="720"/>
    </w:pPr>
  </w:style>
  <w:style w:type="paragraph" w:styleId="EndnoteText">
    <w:name w:val="endnote text"/>
    <w:basedOn w:val="Normal"/>
    <w:semiHidden/>
    <w:rsid w:val="00BD4BAF"/>
    <w:rPr>
      <w:sz w:val="20"/>
    </w:rPr>
  </w:style>
  <w:style w:type="character" w:styleId="EndnoteReference">
    <w:name w:val="endnote reference"/>
    <w:basedOn w:val="DefaultParagraphFont"/>
    <w:semiHidden/>
    <w:rsid w:val="00BD4BAF"/>
    <w:rPr>
      <w:vertAlign w:val="superscript"/>
    </w:rPr>
  </w:style>
  <w:style w:type="paragraph" w:styleId="FootnoteText">
    <w:name w:val="footnote text"/>
    <w:basedOn w:val="Normal"/>
    <w:link w:val="FootnoteTextChar"/>
    <w:uiPriority w:val="99"/>
    <w:semiHidden/>
    <w:rsid w:val="00BD4BAF"/>
    <w:pPr>
      <w:jc w:val="both"/>
    </w:pPr>
    <w:rPr>
      <w:sz w:val="20"/>
    </w:rPr>
  </w:style>
  <w:style w:type="character" w:customStyle="1" w:styleId="Heading1Char">
    <w:name w:val="Heading 1 Char"/>
    <w:basedOn w:val="DefaultParagraphFont"/>
    <w:link w:val="Heading1"/>
    <w:uiPriority w:val="99"/>
    <w:rsid w:val="00BD4BAF"/>
    <w:rPr>
      <w:b/>
      <w:sz w:val="24"/>
      <w:szCs w:val="24"/>
    </w:rPr>
  </w:style>
  <w:style w:type="character" w:customStyle="1" w:styleId="Heading2Char">
    <w:name w:val="Heading 2 Char"/>
    <w:basedOn w:val="DefaultParagraphFont"/>
    <w:link w:val="Heading2"/>
    <w:uiPriority w:val="99"/>
    <w:locked/>
    <w:rsid w:val="00BD4BAF"/>
    <w:rPr>
      <w:b/>
      <w:sz w:val="24"/>
      <w:szCs w:val="24"/>
    </w:rPr>
  </w:style>
  <w:style w:type="character" w:customStyle="1" w:styleId="Heading4Char">
    <w:name w:val="Heading 4 Char"/>
    <w:basedOn w:val="DefaultParagraphFont"/>
    <w:link w:val="Heading4"/>
    <w:uiPriority w:val="99"/>
    <w:locked/>
    <w:rsid w:val="00BD4BAF"/>
    <w:rPr>
      <w:b/>
      <w:sz w:val="24"/>
      <w:szCs w:val="24"/>
    </w:rPr>
  </w:style>
  <w:style w:type="character" w:customStyle="1" w:styleId="Heading5Char">
    <w:name w:val="Heading 5 Char"/>
    <w:basedOn w:val="DefaultParagraphFont"/>
    <w:link w:val="Heading5"/>
    <w:uiPriority w:val="99"/>
    <w:locked/>
    <w:rsid w:val="00BD4BAF"/>
    <w:rPr>
      <w:b/>
      <w:sz w:val="24"/>
      <w:szCs w:val="24"/>
    </w:rPr>
  </w:style>
  <w:style w:type="character" w:customStyle="1" w:styleId="Heading6Char">
    <w:name w:val="Heading 6 Char"/>
    <w:basedOn w:val="DefaultParagraphFont"/>
    <w:link w:val="Heading6"/>
    <w:uiPriority w:val="99"/>
    <w:locked/>
    <w:rsid w:val="00BD4BAF"/>
    <w:rPr>
      <w:b/>
      <w:sz w:val="24"/>
      <w:szCs w:val="24"/>
    </w:rPr>
  </w:style>
  <w:style w:type="character" w:customStyle="1" w:styleId="Heading7Char">
    <w:name w:val="Heading 7 Char"/>
    <w:basedOn w:val="DefaultParagraphFont"/>
    <w:link w:val="Heading7"/>
    <w:uiPriority w:val="99"/>
    <w:locked/>
    <w:rsid w:val="00BD4BAF"/>
    <w:rPr>
      <w:b/>
      <w:sz w:val="24"/>
      <w:szCs w:val="24"/>
    </w:rPr>
  </w:style>
  <w:style w:type="character" w:customStyle="1" w:styleId="Heading8Char">
    <w:name w:val="Heading 8 Char"/>
    <w:basedOn w:val="DefaultParagraphFont"/>
    <w:link w:val="Heading8"/>
    <w:uiPriority w:val="99"/>
    <w:locked/>
    <w:rsid w:val="00BD4BAF"/>
    <w:rPr>
      <w:b/>
      <w:sz w:val="24"/>
      <w:szCs w:val="24"/>
    </w:rPr>
  </w:style>
  <w:style w:type="character" w:customStyle="1" w:styleId="Heading9Char">
    <w:name w:val="Heading 9 Char"/>
    <w:basedOn w:val="DefaultParagraphFont"/>
    <w:link w:val="Heading9"/>
    <w:uiPriority w:val="99"/>
    <w:locked/>
    <w:rsid w:val="00BD4BAF"/>
    <w:rPr>
      <w:b/>
      <w:sz w:val="24"/>
      <w:szCs w:val="24"/>
    </w:rPr>
  </w:style>
  <w:style w:type="paragraph" w:styleId="Footer">
    <w:name w:val="footer"/>
    <w:basedOn w:val="Normal"/>
    <w:link w:val="FooterChar"/>
    <w:uiPriority w:val="99"/>
    <w:rsid w:val="00BD4BAF"/>
    <w:pPr>
      <w:tabs>
        <w:tab w:val="center" w:pos="4320"/>
        <w:tab w:val="right" w:pos="8640"/>
      </w:tabs>
    </w:pPr>
  </w:style>
  <w:style w:type="character" w:customStyle="1" w:styleId="FooterChar">
    <w:name w:val="Footer Char"/>
    <w:basedOn w:val="DefaultParagraphFont"/>
    <w:link w:val="Footer"/>
    <w:uiPriority w:val="99"/>
    <w:rsid w:val="00BD4BAF"/>
    <w:rPr>
      <w:sz w:val="24"/>
      <w:szCs w:val="24"/>
    </w:rPr>
  </w:style>
  <w:style w:type="paragraph" w:customStyle="1" w:styleId="Definitionhead">
    <w:name w:val="Definition head"/>
    <w:basedOn w:val="subhead"/>
    <w:uiPriority w:val="99"/>
    <w:rsid w:val="00BD4BAF"/>
    <w:pPr>
      <w:spacing w:after="0"/>
      <w:ind w:left="0"/>
    </w:pPr>
  </w:style>
  <w:style w:type="character" w:customStyle="1" w:styleId="FootnoteTextChar">
    <w:name w:val="Footnote Text Char"/>
    <w:basedOn w:val="DefaultParagraphFont"/>
    <w:link w:val="FootnoteText"/>
    <w:uiPriority w:val="99"/>
    <w:semiHidden/>
    <w:locked/>
    <w:rsid w:val="00BD4BAF"/>
    <w:rPr>
      <w:szCs w:val="24"/>
    </w:rPr>
  </w:style>
  <w:style w:type="character" w:customStyle="1" w:styleId="HeaderChar">
    <w:name w:val="Header Char"/>
    <w:basedOn w:val="DefaultParagraphFont"/>
    <w:link w:val="Header"/>
    <w:uiPriority w:val="99"/>
    <w:locked/>
    <w:rsid w:val="00BD4BAF"/>
    <w:rPr>
      <w:sz w:val="24"/>
      <w:szCs w:val="24"/>
    </w:rPr>
  </w:style>
  <w:style w:type="character" w:customStyle="1" w:styleId="TitleChar">
    <w:name w:val="Title Char"/>
    <w:basedOn w:val="DefaultParagraphFont"/>
    <w:link w:val="Title"/>
    <w:uiPriority w:val="99"/>
    <w:locked/>
    <w:rsid w:val="00BD4BAF"/>
    <w:rPr>
      <w:rFonts w:cs="Arial"/>
      <w:bCs/>
      <w:sz w:val="24"/>
      <w:szCs w:val="32"/>
    </w:rPr>
  </w:style>
  <w:style w:type="character" w:styleId="FollowedHyperlink">
    <w:name w:val="FollowedHyperlink"/>
    <w:basedOn w:val="DefaultParagraphFont"/>
    <w:uiPriority w:val="99"/>
    <w:rsid w:val="00BD4BAF"/>
    <w:rPr>
      <w:rFonts w:cs="Times New Roman"/>
      <w:color w:val="800080"/>
      <w:u w:val="single"/>
    </w:rPr>
  </w:style>
  <w:style w:type="character" w:customStyle="1" w:styleId="DateChar">
    <w:name w:val="Date Char"/>
    <w:basedOn w:val="DefaultParagraphFont"/>
    <w:link w:val="Date"/>
    <w:uiPriority w:val="99"/>
    <w:locked/>
    <w:rsid w:val="00BD4BAF"/>
    <w:rPr>
      <w:sz w:val="24"/>
      <w:szCs w:val="24"/>
    </w:rPr>
  </w:style>
  <w:style w:type="character" w:customStyle="1" w:styleId="DocumentMapChar">
    <w:name w:val="Document Map Char"/>
    <w:basedOn w:val="DefaultParagraphFont"/>
    <w:link w:val="DocumentMap"/>
    <w:uiPriority w:val="99"/>
    <w:semiHidden/>
    <w:locked/>
    <w:rsid w:val="00BD4BA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D4BAF"/>
    <w:rPr>
      <w:rFonts w:ascii="Tahoma" w:hAnsi="Tahoma" w:cs="Tahoma"/>
      <w:sz w:val="16"/>
      <w:szCs w:val="16"/>
    </w:rPr>
  </w:style>
  <w:style w:type="character" w:customStyle="1" w:styleId="alphaparaChar">
    <w:name w:val="alpha para Char"/>
    <w:basedOn w:val="DefaultParagraphFont"/>
    <w:link w:val="alphapara"/>
    <w:uiPriority w:val="99"/>
    <w:locked/>
    <w:rsid w:val="00BD4BAF"/>
    <w:rPr>
      <w:sz w:val="24"/>
      <w:szCs w:val="24"/>
    </w:rPr>
  </w:style>
  <w:style w:type="paragraph" w:styleId="Revision">
    <w:name w:val="Revision"/>
    <w:hidden/>
    <w:uiPriority w:val="99"/>
    <w:semiHidden/>
    <w:rsid w:val="00BD4BAF"/>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1145</Words>
  <Characters>6530</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7660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 Starter</cp:lastModifiedBy>
  <cp:revision>2</cp:revision>
  <cp:lastPrinted>2010-06-10T20:17:00Z</cp:lastPrinted>
  <dcterms:created xsi:type="dcterms:W3CDTF">2018-07-20T21:17:00Z</dcterms:created>
  <dcterms:modified xsi:type="dcterms:W3CDTF">2018-07-20T21:17:00Z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-1686829288</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Balance of Period TCC - Initial Draft Filing for Review</vt:lpwstr>
  </property>
  <property fmtid="{D5CDD505-2E9C-101B-9397-08002B2CF9AE}" pid="6" name="_NewReviewCycle">
    <vt:lpwstr/>
  </property>
  <property fmtid="{D5CDD505-2E9C-101B-9397-08002B2CF9AE}" pid="7" name="_PreviousAdHocReviewCycleID">
    <vt:i4>823866369</vt:i4>
  </property>
  <property fmtid="{D5CDD505-2E9C-101B-9397-08002B2CF9AE}" pid="8" name="_ReviewingToolsShownOnce">
    <vt:lpwstr/>
  </property>
</Properties>
</file>