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F057B7">
      <w:pPr>
        <w:pStyle w:val="Heading2"/>
        <w:pageBreakBefore w:val="0"/>
      </w:pPr>
      <w:bookmarkStart w:id="0" w:name="_Toc261445997"/>
      <w:r>
        <w:t>2.5</w:t>
      </w:r>
      <w:r>
        <w:tab/>
        <w:t>Definitions - E</w:t>
      </w:r>
      <w:bookmarkEnd w:id="0"/>
    </w:p>
    <w:p w:rsidR="00BD4BAF" w:rsidRDefault="00F057B7">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F057B7">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F057B7">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F057B7">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F057B7">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F057B7">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F057B7">
      <w:pPr>
        <w:pStyle w:val="Definition"/>
      </w:pPr>
      <w:r>
        <w:rPr>
          <w:b/>
        </w:rPr>
        <w:t>Emergency State</w:t>
      </w:r>
      <w:r>
        <w:t xml:space="preserve">: </w:t>
      </w:r>
      <w:bookmarkStart w:id="1" w:name="_DV_M40"/>
      <w:bookmarkEnd w:id="1"/>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F057B7">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 or the </w:t>
      </w:r>
      <w:r>
        <w:t>maximum</w:t>
      </w:r>
      <w:r>
        <w:rPr>
          <w:bCs/>
          <w:iCs/>
        </w:rPr>
        <w:t xml:space="preserve"> amount of demand that a Demand Side Resource expects to be </w:t>
      </w:r>
      <w:r>
        <w:rPr>
          <w:bCs/>
          <w:iCs/>
        </w:rPr>
        <w:t xml:space="preserve">able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F057B7">
      <w:pPr>
        <w:pStyle w:val="Definition"/>
        <w:rPr>
          <w:strike/>
        </w:rPr>
      </w:pPr>
      <w:r>
        <w:rPr>
          <w:rFonts w:ascii="Times New Roman Bold" w:hAnsi="Times New Roman Bold"/>
          <w:b/>
        </w:rPr>
        <w:t xml:space="preserve">Energy (“MWh”): </w:t>
      </w:r>
      <w:bookmarkStart w:id="3" w:name="_DV_C45"/>
      <w:r>
        <w:t>A quantity of electricity that is bid</w:t>
      </w:r>
      <w:r>
        <w:t>, produced, purchased, consumed, sold, or transmitted over a period of time, and measured or calculated in megawatt hours.</w:t>
      </w:r>
      <w:bookmarkEnd w:id="3"/>
    </w:p>
    <w:p w:rsidR="00BD4BAF" w:rsidRDefault="00F057B7">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w:t>
      </w:r>
      <w:r>
        <w:rPr>
          <w:bCs/>
          <w:iCs/>
        </w:rPr>
        <w:t>tachment K to this Services Tariff.</w:t>
      </w:r>
    </w:p>
    <w:p w:rsidR="00BD4BAF" w:rsidRDefault="00F057B7">
      <w:pPr>
        <w:pStyle w:val="Definition"/>
      </w:pPr>
      <w:r>
        <w:rPr>
          <w:b/>
          <w:iCs/>
        </w:rPr>
        <w:t xml:space="preserve">Energy </w:t>
      </w:r>
      <w:r>
        <w:rPr>
          <w:b/>
        </w:rPr>
        <w:t xml:space="preserve">Limited Resource: </w:t>
      </w:r>
      <w:bookmarkStart w:id="4" w:name="_DV_IPM54"/>
      <w:bookmarkStart w:id="5" w:name="_DV_C46"/>
      <w:bookmarkEnd w:id="4"/>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5"/>
      <w:r>
        <w:t xml:space="preserve">  Energy Limited Resources must register their Energy limiting characteristics with, and justify them to, the ISO </w:t>
      </w:r>
      <w:r>
        <w:rPr>
          <w:bCs/>
          <w:iCs/>
        </w:rPr>
        <w:t>consistent</w:t>
      </w:r>
      <w:r>
        <w:t xml:space="preserve"> with ISO Procedures.</w:t>
      </w:r>
    </w:p>
    <w:p w:rsidR="00BD4BAF" w:rsidRDefault="00F057B7">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F057B7">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F057B7">
      <w:pPr>
        <w:pStyle w:val="Definition"/>
        <w:rPr>
          <w:bCs/>
        </w:rPr>
      </w:pPr>
      <w:r>
        <w:rPr>
          <w:b/>
          <w:bCs/>
        </w:rPr>
        <w:t xml:space="preserve">ETA Agent: </w:t>
      </w:r>
      <w:r>
        <w:rPr>
          <w:bCs/>
        </w:rPr>
        <w:t xml:space="preserve">A Customer of the ISO that has been appointed by a Load Serving Entity and approved by the ISO in accordance with ISO Procedures </w:t>
      </w:r>
      <w:r>
        <w:rPr>
          <w:bCs/>
        </w:rPr>
        <w:t xml:space="preserve">for </w:t>
      </w:r>
      <w:r>
        <w:rPr>
          <w:bCs/>
          <w:iCs/>
        </w:rPr>
        <w:t>the</w:t>
      </w:r>
      <w:r>
        <w:rPr>
          <w:bCs/>
        </w:rPr>
        <w:t xml:space="preserve"> purpose of enabling that Customer to hold all of the rights and obligations associated with Fixed Price TCCs, as provided for in this Services Tariff.</w:t>
      </w:r>
    </w:p>
    <w:p w:rsidR="00BD4BAF" w:rsidRDefault="00F057B7">
      <w:pPr>
        <w:pStyle w:val="Definition"/>
      </w:pPr>
      <w:r>
        <w:rPr>
          <w:b/>
          <w:bCs/>
        </w:rPr>
        <w:t>ETCNL TCC:</w:t>
      </w:r>
      <w:r>
        <w:t xml:space="preserve"> A TCC created when a Transmission Owner with ETCNL exercises its right to convert a me</w:t>
      </w:r>
      <w:r>
        <w:t xml:space="preserve">gawatt of ETCNL into a TCC pursuant to </w:t>
      </w:r>
      <w:r>
        <w:rPr>
          <w:bCs/>
          <w:iCs/>
        </w:rPr>
        <w:t>Section</w:t>
      </w:r>
      <w:r>
        <w:t xml:space="preserve"> 19.4.1 of Attachment M of the OATT.</w:t>
      </w:r>
    </w:p>
    <w:p w:rsidR="00BD4BAF" w:rsidRDefault="00F057B7">
      <w:pPr>
        <w:pStyle w:val="Definition"/>
        <w:rPr>
          <w:iCs/>
        </w:rPr>
      </w:pPr>
      <w:r>
        <w:rPr>
          <w:b/>
          <w:bCs/>
          <w:iCs/>
        </w:rPr>
        <w:t xml:space="preserve">Excess Amount: </w:t>
      </w:r>
      <w:r>
        <w:rPr>
          <w:iCs/>
        </w:rPr>
        <w:t xml:space="preserve">The difference, if any, between the dollar amounts charged to purchasers of Unforced Capacity in an ISO–administered Unforced Capacity auction and the dollar </w:t>
      </w:r>
      <w:r>
        <w:rPr>
          <w:iCs/>
        </w:rPr>
        <w:t>amounts paid to sellers of Unforced Capacity in that ISO–administered Installed Capacity auction.</w:t>
      </w:r>
    </w:p>
    <w:p w:rsidR="00BD4BAF" w:rsidRDefault="00F057B7">
      <w:pPr>
        <w:pStyle w:val="Definition"/>
      </w:pPr>
      <w:r>
        <w:rPr>
          <w:b/>
          <w:bCs/>
        </w:rPr>
        <w:t xml:space="preserve">Excess Congestion Rents: </w:t>
      </w:r>
      <w:r>
        <w:t>Congestion revenues in the Day</w:t>
      </w:r>
      <w:r>
        <w:noBreakHyphen/>
        <w:t>Ahead Market for Energy collected by the ISO that are in excess of its Day</w:t>
      </w:r>
      <w:r>
        <w:noBreakHyphen/>
        <w:t xml:space="preserve">Ahead payment obligations. </w:t>
      </w:r>
      <w:r>
        <w:t xml:space="preserve"> Excess Congestion Rents may arise if Congestion occurs in the Day</w:t>
      </w:r>
      <w:r>
        <w:noBreakHyphen/>
        <w:t>Ahead Market for Energy and if the Day</w:t>
      </w:r>
      <w:r>
        <w:noBreakHyphen/>
        <w:t>Ahead Transfer Capability of the transmission system is not exhausted by the set of TCCs and Grandfathered Rights that have been allocated at the comp</w:t>
      </w:r>
      <w:r>
        <w:t>letion of the last Centralized TCC Auction.</w:t>
      </w:r>
    </w:p>
    <w:p w:rsidR="00BD4BAF" w:rsidRDefault="00F057B7">
      <w:pPr>
        <w:pStyle w:val="Definition"/>
      </w:pPr>
      <w:r>
        <w:rPr>
          <w:b/>
        </w:rPr>
        <w:t xml:space="preserve">Existing Transmission Capacity for Native Load ("ETCNL"): </w:t>
      </w:r>
      <w:r>
        <w:rPr>
          <w:bCs/>
          <w:iCs/>
        </w:rPr>
        <w:t>Transmission</w:t>
      </w:r>
      <w:r>
        <w:t xml:space="preserve"> Capacity reserved on a Transmission Owner’s transmission system to serve the Native Load Customers of the current Transmission Owners (as of </w:t>
      </w:r>
      <w:r>
        <w:t xml:space="preserve">the filing date of the original ISO Tariff </w:t>
      </w:r>
      <w:r>
        <w:noBreakHyphen/>
        <w:t xml:space="preserve"> January 31, 1997).  This includes transmission Capacity required:  (1) to deliver the output from operating </w:t>
      </w:r>
      <w:r>
        <w:lastRenderedPageBreak/>
        <w:t xml:space="preserve">facilities located out of a Transmission Owner’s Transmission District; (2) to deliver power purchased </w:t>
      </w:r>
      <w:r>
        <w:t>under power supply contracts; and (3) to deliver power purchased under third party agreements (</w:t>
      </w:r>
      <w:r>
        <w:rPr>
          <w:u w:val="single"/>
        </w:rPr>
        <w:t>i.e.</w:t>
      </w:r>
      <w:r>
        <w:t>, Non</w:t>
      </w:r>
      <w:r>
        <w:noBreakHyphen/>
        <w:t>Utility Generators).  Existing Transmission Capacity for Native Load is listed in Attachment L of the ISO OATT.</w:t>
      </w:r>
    </w:p>
    <w:p w:rsidR="00DE48FD" w:rsidRDefault="00F057B7">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start-up and providing for transmission service by a Transmission Owner to another Transmission Owner or another en</w:t>
      </w:r>
      <w:r>
        <w:t>tity.  Table 1A of Attachment L lists all ETAs.  ETAs include Transmission Wheeling Agreements (including MWAs and Third Party TWAs) and Transmission Facility Agreements.</w:t>
      </w:r>
    </w:p>
    <w:p w:rsidR="001754CE" w:rsidRDefault="00F057B7">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w:t>
      </w:r>
      <w:r w:rsidRPr="00B95B91">
        <w:t>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w:t>
      </w:r>
      <w:r>
        <w:t>l be</w:t>
      </w:r>
      <w:r w:rsidRPr="00B95B91">
        <w:t xml:space="preserve"> separate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w:t>
      </w:r>
      <w:r w:rsidRPr="00B95B91">
        <w:t xml:space="preserve">1.1 of this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w:t>
      </w:r>
      <w:r w:rsidRPr="00B95B91">
        <w:t xml:space="preserve"> be deemed voluntary</w:t>
      </w:r>
      <w:r>
        <w:t>.</w:t>
      </w:r>
      <w:r>
        <w:t xml:space="preserve"> </w:t>
      </w:r>
    </w:p>
    <w:p w:rsidR="00BD4BAF" w:rsidRDefault="00F057B7">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F057B7">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F057B7">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F057B7" w:rsidP="00BD4BAF">
      <w:pPr>
        <w:pStyle w:val="Definition"/>
      </w:pPr>
      <w:r>
        <w:rPr>
          <w:b/>
        </w:rPr>
        <w:t xml:space="preserve">Export </w:t>
      </w:r>
      <w:bookmarkStart w:id="26" w:name="_GoBack"/>
      <w:bookmarkEnd w:id="26"/>
      <w:r>
        <w:rPr>
          <w:b/>
        </w:rPr>
        <w:t xml:space="preserve">Credit Requirement:  </w:t>
      </w:r>
      <w:r>
        <w:t>A component of the External</w:t>
      </w:r>
      <w:r>
        <w:t xml:space="preserve"> Transaction Component of the Operating Requirement, calculated in accordance with Section 26.4.2 of Attachment K to this Services Tariff.</w:t>
      </w:r>
    </w:p>
    <w:p w:rsidR="00BD4BAF" w:rsidRDefault="00F057B7">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BD4BAF" w:rsidRDefault="00F057B7" w:rsidP="00BD4BAF">
      <w:pPr>
        <w:pStyle w:val="Definition"/>
      </w:pPr>
      <w:r>
        <w:rPr>
          <w:b/>
        </w:rPr>
        <w:t>External Transaction Component</w:t>
      </w:r>
      <w:r>
        <w:t>:  A component of the Operating Requirement, calculated in accordanc</w:t>
      </w:r>
      <w:r>
        <w:t>e with Section 26.4.2 of Attachment K to this Services Tariff.</w:t>
      </w:r>
    </w:p>
    <w:p w:rsidR="00BD4BAF" w:rsidRDefault="00F057B7">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w:t>
      </w:r>
      <w:r>
        <w:t xml:space="preserve"> outside the NYCA (</w:t>
      </w:r>
      <w:r>
        <w:rPr>
          <w:u w:val="single"/>
        </w:rPr>
        <w:t>i.e.</w:t>
      </w:r>
      <w:r>
        <w:t>, Exports, Imports or Wheels Through).</w:t>
      </w:r>
    </w:p>
    <w:p w:rsidR="00BD4BAF" w:rsidRDefault="00F057B7">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C5" w:rsidRDefault="002022C5" w:rsidP="002022C5">
      <w:r>
        <w:separator/>
      </w:r>
    </w:p>
  </w:endnote>
  <w:endnote w:type="continuationSeparator" w:id="0">
    <w:p w:rsidR="002022C5" w:rsidRDefault="002022C5" w:rsidP="002022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C5" w:rsidRDefault="00F057B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022C5">
      <w:rPr>
        <w:rFonts w:ascii="Arial" w:eastAsia="Arial" w:hAnsi="Arial" w:cs="Arial"/>
        <w:color w:val="000000"/>
        <w:sz w:val="16"/>
      </w:rPr>
      <w:fldChar w:fldCharType="begin"/>
    </w:r>
    <w:r>
      <w:rPr>
        <w:rFonts w:ascii="Arial" w:eastAsia="Arial" w:hAnsi="Arial" w:cs="Arial"/>
        <w:color w:val="000000"/>
        <w:sz w:val="16"/>
      </w:rPr>
      <w:instrText>PAGE</w:instrText>
    </w:r>
    <w:r w:rsidR="002022C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C5" w:rsidRDefault="00F057B7">
    <w:pPr>
      <w:jc w:val="right"/>
      <w:rPr>
        <w:rFonts w:ascii="Arial" w:eastAsia="Arial" w:hAnsi="Arial" w:cs="Arial"/>
        <w:color w:val="000000"/>
        <w:sz w:val="16"/>
      </w:rPr>
    </w:pPr>
    <w:r>
      <w:rPr>
        <w:rFonts w:ascii="Arial" w:eastAsia="Arial" w:hAnsi="Arial" w:cs="Arial"/>
        <w:color w:val="000000"/>
        <w:sz w:val="16"/>
      </w:rPr>
      <w:t>Effective Date: 12/13/2016 - Docket #: ER16-1213-001 - Pag</w:t>
    </w:r>
    <w:r>
      <w:rPr>
        <w:rFonts w:ascii="Arial" w:eastAsia="Arial" w:hAnsi="Arial" w:cs="Arial"/>
        <w:color w:val="000000"/>
        <w:sz w:val="16"/>
      </w:rPr>
      <w:t xml:space="preserve">e </w:t>
    </w:r>
    <w:r w:rsidR="002022C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22C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C5" w:rsidRDefault="00F057B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022C5">
      <w:rPr>
        <w:rFonts w:ascii="Arial" w:eastAsia="Arial" w:hAnsi="Arial" w:cs="Arial"/>
        <w:color w:val="000000"/>
        <w:sz w:val="16"/>
      </w:rPr>
      <w:fldChar w:fldCharType="begin"/>
    </w:r>
    <w:r>
      <w:rPr>
        <w:rFonts w:ascii="Arial" w:eastAsia="Arial" w:hAnsi="Arial" w:cs="Arial"/>
        <w:color w:val="000000"/>
        <w:sz w:val="16"/>
      </w:rPr>
      <w:instrText>PAGE</w:instrText>
    </w:r>
    <w:r w:rsidR="002022C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C5" w:rsidRDefault="002022C5" w:rsidP="002022C5">
      <w:r>
        <w:separator/>
      </w:r>
    </w:p>
  </w:footnote>
  <w:footnote w:type="continuationSeparator" w:id="0">
    <w:p w:rsidR="002022C5" w:rsidRDefault="002022C5" w:rsidP="00202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C5" w:rsidRDefault="00F057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MST Definitions - </w:t>
    </w:r>
    <w:r>
      <w:rPr>
        <w:rFonts w:ascii="Arial" w:eastAsia="Arial" w:hAnsi="Arial" w:cs="Arial"/>
        <w:color w:val="000000"/>
        <w:sz w:val="16"/>
      </w:rPr>
      <w: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C5" w:rsidRDefault="00F057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C5" w:rsidRDefault="00F057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5284690">
      <w:start w:val="1"/>
      <w:numFmt w:val="bullet"/>
      <w:pStyle w:val="Bulletpara"/>
      <w:lvlText w:val=""/>
      <w:lvlJc w:val="left"/>
      <w:pPr>
        <w:tabs>
          <w:tab w:val="num" w:pos="720"/>
        </w:tabs>
        <w:ind w:left="720" w:hanging="360"/>
      </w:pPr>
      <w:rPr>
        <w:rFonts w:ascii="Symbol" w:hAnsi="Symbol" w:hint="default"/>
      </w:rPr>
    </w:lvl>
    <w:lvl w:ilvl="1" w:tplc="8D3A8C08" w:tentative="1">
      <w:start w:val="1"/>
      <w:numFmt w:val="bullet"/>
      <w:lvlText w:val="o"/>
      <w:lvlJc w:val="left"/>
      <w:pPr>
        <w:tabs>
          <w:tab w:val="num" w:pos="1440"/>
        </w:tabs>
        <w:ind w:left="1440" w:hanging="360"/>
      </w:pPr>
      <w:rPr>
        <w:rFonts w:ascii="Courier New" w:hAnsi="Courier New" w:hint="default"/>
      </w:rPr>
    </w:lvl>
    <w:lvl w:ilvl="2" w:tplc="9420F508" w:tentative="1">
      <w:start w:val="1"/>
      <w:numFmt w:val="bullet"/>
      <w:lvlText w:val=""/>
      <w:lvlJc w:val="left"/>
      <w:pPr>
        <w:tabs>
          <w:tab w:val="num" w:pos="2160"/>
        </w:tabs>
        <w:ind w:left="2160" w:hanging="360"/>
      </w:pPr>
      <w:rPr>
        <w:rFonts w:ascii="Wingdings" w:hAnsi="Wingdings" w:hint="default"/>
      </w:rPr>
    </w:lvl>
    <w:lvl w:ilvl="3" w:tplc="D4F4121E" w:tentative="1">
      <w:start w:val="1"/>
      <w:numFmt w:val="bullet"/>
      <w:lvlText w:val=""/>
      <w:lvlJc w:val="left"/>
      <w:pPr>
        <w:tabs>
          <w:tab w:val="num" w:pos="2880"/>
        </w:tabs>
        <w:ind w:left="2880" w:hanging="360"/>
      </w:pPr>
      <w:rPr>
        <w:rFonts w:ascii="Symbol" w:hAnsi="Symbol" w:hint="default"/>
      </w:rPr>
    </w:lvl>
    <w:lvl w:ilvl="4" w:tplc="6D9C85C6" w:tentative="1">
      <w:start w:val="1"/>
      <w:numFmt w:val="bullet"/>
      <w:lvlText w:val="o"/>
      <w:lvlJc w:val="left"/>
      <w:pPr>
        <w:tabs>
          <w:tab w:val="num" w:pos="3600"/>
        </w:tabs>
        <w:ind w:left="3600" w:hanging="360"/>
      </w:pPr>
      <w:rPr>
        <w:rFonts w:ascii="Courier New" w:hAnsi="Courier New" w:hint="default"/>
      </w:rPr>
    </w:lvl>
    <w:lvl w:ilvl="5" w:tplc="941679BA" w:tentative="1">
      <w:start w:val="1"/>
      <w:numFmt w:val="bullet"/>
      <w:lvlText w:val=""/>
      <w:lvlJc w:val="left"/>
      <w:pPr>
        <w:tabs>
          <w:tab w:val="num" w:pos="4320"/>
        </w:tabs>
        <w:ind w:left="4320" w:hanging="360"/>
      </w:pPr>
      <w:rPr>
        <w:rFonts w:ascii="Wingdings" w:hAnsi="Wingdings" w:hint="default"/>
      </w:rPr>
    </w:lvl>
    <w:lvl w:ilvl="6" w:tplc="5A303DAC" w:tentative="1">
      <w:start w:val="1"/>
      <w:numFmt w:val="bullet"/>
      <w:lvlText w:val=""/>
      <w:lvlJc w:val="left"/>
      <w:pPr>
        <w:tabs>
          <w:tab w:val="num" w:pos="5040"/>
        </w:tabs>
        <w:ind w:left="5040" w:hanging="360"/>
      </w:pPr>
      <w:rPr>
        <w:rFonts w:ascii="Symbol" w:hAnsi="Symbol" w:hint="default"/>
      </w:rPr>
    </w:lvl>
    <w:lvl w:ilvl="7" w:tplc="71E4A12C" w:tentative="1">
      <w:start w:val="1"/>
      <w:numFmt w:val="bullet"/>
      <w:lvlText w:val="o"/>
      <w:lvlJc w:val="left"/>
      <w:pPr>
        <w:tabs>
          <w:tab w:val="num" w:pos="5760"/>
        </w:tabs>
        <w:ind w:left="5760" w:hanging="360"/>
      </w:pPr>
      <w:rPr>
        <w:rFonts w:ascii="Courier New" w:hAnsi="Courier New" w:hint="default"/>
      </w:rPr>
    </w:lvl>
    <w:lvl w:ilvl="8" w:tplc="879A8A9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022C5"/>
    <w:rsid w:val="002022C5"/>
    <w:rsid w:val="00F057B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2017-08-01T13:20:00Z</dcterms:created>
  <dcterms:modified xsi:type="dcterms:W3CDTF">2017-08-01T13:20:00Z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