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DA" w:rsidRDefault="00077CFD">
      <w:pPr>
        <w:pStyle w:val="Heading2"/>
      </w:pPr>
      <w:bookmarkStart w:id="0" w:name="_Toc261446013"/>
      <w:bookmarkStart w:id="1" w:name="_GoBack"/>
      <w:bookmarkEnd w:id="1"/>
      <w:r>
        <w:t>2.21</w:t>
      </w:r>
      <w:r>
        <w:tab/>
        <w:t>Definitions - U</w:t>
      </w:r>
      <w:bookmarkEnd w:id="0"/>
    </w:p>
    <w:p w:rsidR="00C824DA" w:rsidRDefault="00077CFD">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C824DA" w:rsidRDefault="00077CFD">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 xml:space="preserve">pacity associated with UDRs must be deliverable to the Interconnection Point.   </w:t>
      </w:r>
    </w:p>
    <w:p w:rsidR="00C824DA" w:rsidRDefault="00077CFD">
      <w:pPr>
        <w:pStyle w:val="Definition"/>
      </w:pPr>
      <w:r>
        <w:rPr>
          <w:b/>
          <w:bCs/>
        </w:rPr>
        <w:t>UCAP Component</w:t>
      </w:r>
      <w:r>
        <w:t>: A component of the Operating Requirement, calculated in accordance with Section 26.4.2 of Attachment K to this Services Tariff.</w:t>
      </w:r>
    </w:p>
    <w:p w:rsidR="00C824DA" w:rsidRDefault="00077CFD">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C824DA" w:rsidRDefault="00077CFD">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C824DA" w:rsidRDefault="00077CFD">
      <w:pPr>
        <w:tabs>
          <w:tab w:val="right" w:pos="9360"/>
        </w:tabs>
      </w:pPr>
    </w:p>
    <w:sectPr w:rsidR="00C824DA" w:rsidSect="00C824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CFD">
      <w:r>
        <w:separator/>
      </w:r>
    </w:p>
  </w:endnote>
  <w:endnote w:type="continuationSeparator" w:id="0">
    <w:p w:rsidR="00000000" w:rsidRDefault="0007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A3" w:rsidRDefault="00077CFD">
    <w:pPr>
      <w:jc w:val="right"/>
    </w:pPr>
    <w:r>
      <w:rPr>
        <w:rFonts w:ascii="Arial" w:eastAsia="Arial" w:hAnsi="Arial" w:cs="Arial"/>
        <w:color w:val="000000"/>
        <w:sz w:val="16"/>
      </w:rPr>
      <w:t xml:space="preserve">Effective Date: 5/12/2015 - Docket #: ER15-1281-000 -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A3" w:rsidRDefault="00077CFD">
    <w:pPr>
      <w:jc w:val="right"/>
    </w:pPr>
    <w:r>
      <w:rPr>
        <w:rFonts w:ascii="Arial" w:eastAsia="Arial" w:hAnsi="Arial" w:cs="Arial"/>
        <w:color w:val="000000"/>
        <w:sz w:val="16"/>
      </w:rPr>
      <w:t xml:space="preserve">Effective Date: 5/12/2015 - Docket #: ER15-1281-000 -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A3" w:rsidRDefault="00077CFD">
    <w:pPr>
      <w:jc w:val="right"/>
    </w:pPr>
    <w:r>
      <w:rPr>
        <w:rFonts w:ascii="Arial" w:eastAsia="Arial" w:hAnsi="Arial" w:cs="Arial"/>
        <w:color w:val="000000"/>
        <w:sz w:val="16"/>
      </w:rPr>
      <w:t xml:space="preserve">Effective Date: 5/12/2015 - Docket #: ER15-1281-000 -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CFD">
      <w:r>
        <w:separator/>
      </w:r>
    </w:p>
  </w:footnote>
  <w:footnote w:type="continuationSeparator" w:id="0">
    <w:p w:rsidR="00000000" w:rsidRDefault="0007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A3" w:rsidRDefault="00077CFD">
    <w:r>
      <w:rPr>
        <w:rFonts w:ascii="Arial" w:eastAsia="Arial" w:hAnsi="Arial" w:cs="Arial"/>
        <w:color w:val="000000"/>
        <w:sz w:val="16"/>
      </w:rPr>
      <w:t>NYISO Tariffs --&gt; Market Administration and Control Area Services Tariff (MST) --&gt; 2 MST Definitions --&gt; 2.21 MST Definitions - 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A3" w:rsidRDefault="00077CFD">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2.21 MST Definitions - 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A3" w:rsidRDefault="00077CFD">
    <w:r>
      <w:rPr>
        <w:rFonts w:ascii="Arial" w:eastAsia="Arial" w:hAnsi="Arial" w:cs="Arial"/>
        <w:color w:val="000000"/>
        <w:sz w:val="16"/>
      </w:rPr>
      <w:t>NYISO Tariffs --&gt; Market Administration and Control Area Services Tariff (MST) --&gt; 2 MST Definition</w:t>
    </w:r>
    <w:r>
      <w:rPr>
        <w:rFonts w:ascii="Arial" w:eastAsia="Arial" w:hAnsi="Arial" w:cs="Arial"/>
        <w:color w:val="000000"/>
        <w:sz w:val="16"/>
      </w:rPr>
      <w:t>s --&gt; 2.21 MST Definitions - 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D566C5A">
      <w:start w:val="1"/>
      <w:numFmt w:val="bullet"/>
      <w:pStyle w:val="Bulletpara"/>
      <w:lvlText w:val=""/>
      <w:lvlJc w:val="left"/>
      <w:pPr>
        <w:tabs>
          <w:tab w:val="num" w:pos="720"/>
        </w:tabs>
        <w:ind w:left="720" w:hanging="360"/>
      </w:pPr>
      <w:rPr>
        <w:rFonts w:ascii="Symbol" w:hAnsi="Symbol" w:hint="default"/>
      </w:rPr>
    </w:lvl>
    <w:lvl w:ilvl="1" w:tplc="127A416E" w:tentative="1">
      <w:start w:val="1"/>
      <w:numFmt w:val="bullet"/>
      <w:lvlText w:val="o"/>
      <w:lvlJc w:val="left"/>
      <w:pPr>
        <w:tabs>
          <w:tab w:val="num" w:pos="1440"/>
        </w:tabs>
        <w:ind w:left="1440" w:hanging="360"/>
      </w:pPr>
      <w:rPr>
        <w:rFonts w:ascii="Courier New" w:hAnsi="Courier New" w:hint="default"/>
      </w:rPr>
    </w:lvl>
    <w:lvl w:ilvl="2" w:tplc="98B02D74" w:tentative="1">
      <w:start w:val="1"/>
      <w:numFmt w:val="bullet"/>
      <w:lvlText w:val=""/>
      <w:lvlJc w:val="left"/>
      <w:pPr>
        <w:tabs>
          <w:tab w:val="num" w:pos="2160"/>
        </w:tabs>
        <w:ind w:left="2160" w:hanging="360"/>
      </w:pPr>
      <w:rPr>
        <w:rFonts w:ascii="Wingdings" w:hAnsi="Wingdings" w:hint="default"/>
      </w:rPr>
    </w:lvl>
    <w:lvl w:ilvl="3" w:tplc="25EADC54" w:tentative="1">
      <w:start w:val="1"/>
      <w:numFmt w:val="bullet"/>
      <w:lvlText w:val=""/>
      <w:lvlJc w:val="left"/>
      <w:pPr>
        <w:tabs>
          <w:tab w:val="num" w:pos="2880"/>
        </w:tabs>
        <w:ind w:left="2880" w:hanging="360"/>
      </w:pPr>
      <w:rPr>
        <w:rFonts w:ascii="Symbol" w:hAnsi="Symbol" w:hint="default"/>
      </w:rPr>
    </w:lvl>
    <w:lvl w:ilvl="4" w:tplc="FCB4411E" w:tentative="1">
      <w:start w:val="1"/>
      <w:numFmt w:val="bullet"/>
      <w:lvlText w:val="o"/>
      <w:lvlJc w:val="left"/>
      <w:pPr>
        <w:tabs>
          <w:tab w:val="num" w:pos="3600"/>
        </w:tabs>
        <w:ind w:left="3600" w:hanging="360"/>
      </w:pPr>
      <w:rPr>
        <w:rFonts w:ascii="Courier New" w:hAnsi="Courier New" w:hint="default"/>
      </w:rPr>
    </w:lvl>
    <w:lvl w:ilvl="5" w:tplc="A328D43C" w:tentative="1">
      <w:start w:val="1"/>
      <w:numFmt w:val="bullet"/>
      <w:lvlText w:val=""/>
      <w:lvlJc w:val="left"/>
      <w:pPr>
        <w:tabs>
          <w:tab w:val="num" w:pos="4320"/>
        </w:tabs>
        <w:ind w:left="4320" w:hanging="360"/>
      </w:pPr>
      <w:rPr>
        <w:rFonts w:ascii="Wingdings" w:hAnsi="Wingdings" w:hint="default"/>
      </w:rPr>
    </w:lvl>
    <w:lvl w:ilvl="6" w:tplc="8DD83D0C" w:tentative="1">
      <w:start w:val="1"/>
      <w:numFmt w:val="bullet"/>
      <w:lvlText w:val=""/>
      <w:lvlJc w:val="left"/>
      <w:pPr>
        <w:tabs>
          <w:tab w:val="num" w:pos="5040"/>
        </w:tabs>
        <w:ind w:left="5040" w:hanging="360"/>
      </w:pPr>
      <w:rPr>
        <w:rFonts w:ascii="Symbol" w:hAnsi="Symbol" w:hint="default"/>
      </w:rPr>
    </w:lvl>
    <w:lvl w:ilvl="7" w:tplc="5FACD2E8" w:tentative="1">
      <w:start w:val="1"/>
      <w:numFmt w:val="bullet"/>
      <w:lvlText w:val="o"/>
      <w:lvlJc w:val="left"/>
      <w:pPr>
        <w:tabs>
          <w:tab w:val="num" w:pos="5760"/>
        </w:tabs>
        <w:ind w:left="5760" w:hanging="360"/>
      </w:pPr>
      <w:rPr>
        <w:rFonts w:ascii="Courier New" w:hAnsi="Courier New" w:hint="default"/>
      </w:rPr>
    </w:lvl>
    <w:lvl w:ilvl="8" w:tplc="8A5435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A3"/>
    <w:rsid w:val="00077CFD"/>
    <w:rsid w:val="001B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2020-08-07T21:21:00Z</dcterms:created>
  <dcterms:modified xsi:type="dcterms:W3CDTF">2020-08-07T21:21:00Z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