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81D26" w14:paraId="211DB186" w14:textId="77777777">
      <w:pPr>
        <w:pStyle w:val="Heading2"/>
        <w:rPr>
          <w:rFonts w:ascii="Times New Roman" w:hAnsi="Times New Roman" w:cs="Times New Roman"/>
          <w:sz w:val="24"/>
          <w:szCs w:val="24"/>
        </w:rPr>
      </w:pPr>
      <w:bookmarkStart w:id="0" w:name="_Toc261446009"/>
      <w:r>
        <w:rPr>
          <w:rFonts w:ascii="Times New Roman" w:hAnsi="Times New Roman" w:cs="Times New Roman"/>
          <w:sz w:val="24"/>
          <w:szCs w:val="24"/>
        </w:rPr>
        <w:t>2.17</w:t>
      </w:r>
      <w:r>
        <w:rPr>
          <w:rFonts w:ascii="Times New Roman" w:hAnsi="Times New Roman" w:cs="Times New Roman"/>
          <w:sz w:val="24"/>
          <w:szCs w:val="24"/>
        </w:rPr>
        <w:tab/>
        <w:t>Definitions - Q</w:t>
      </w:r>
      <w:bookmarkEnd w:id="0"/>
    </w:p>
    <w:p w:rsidR="00481D26" w14:paraId="0B301B14" w14:textId="77777777">
      <w:pPr>
        <w:autoSpaceDE w:val="0"/>
        <w:autoSpaceDN w:val="0"/>
        <w:adjustRightInd w:val="0"/>
        <w:spacing w:before="240" w:after="240"/>
        <w:rPr>
          <w:rFonts w:ascii="Times New Roman" w:hAnsi="Times New Roman" w:cs="Times New Roman"/>
          <w:sz w:val="24"/>
          <w:szCs w:val="24"/>
        </w:rPr>
      </w:pPr>
      <w:r>
        <w:rPr>
          <w:rFonts w:ascii="Times New Roman" w:hAnsi="Times New Roman" w:cs="Times New Roman"/>
          <w:b/>
          <w:sz w:val="24"/>
          <w:szCs w:val="24"/>
        </w:rPr>
        <w:t xml:space="preserve">Qualified Change of Load Condition: </w:t>
      </w:r>
      <w:r>
        <w:rPr>
          <w:rFonts w:ascii="Times New Roman" w:hAnsi="Times New Roman" w:cs="Times New Roman"/>
          <w:sz w:val="24"/>
          <w:szCs w:val="24"/>
        </w:rPr>
        <w:t xml:space="preserve">A Special Case Resource enrolled with an Average Coincident Load, Provisional Average Coincident Load, or Net Average Coincident Load, in accordance with this Services Tariff, meets a Qualified Change of Load Condition when: (i) the SCR is expected to have a reduction in total Load that meets or exceeds the SCR Load Change Reporting Threshold that is expected to continue for a total period that is greater than seven (7) consecutive days, (ii) the SCR is experiencing a reduction in total Load that meets or exceeds the SCR Load Change Reporting Threshold that is expected to continue for a total period that is greater than seven (7) consecutive days, or (iii) the SCR experienced an unanticipated reduction in total Load that meets or exceeds the SCR Load Change Reporting Threshold for a period greater than seven (7) consecutive days within any month in which the SCR sold capacity or adjoining months in which the SCR sold capacity in either month.   </w:t>
      </w:r>
    </w:p>
    <w:p w:rsidR="00481D26" w14:paraId="4F8B86FC" w14:textId="77777777">
      <w:pPr>
        <w:pStyle w:val="Definition"/>
        <w:rPr>
          <w:rFonts w:ascii="Times New Roman" w:hAnsi="Times New Roman" w:cs="Times New Roman"/>
          <w:b/>
          <w:sz w:val="24"/>
          <w:szCs w:val="24"/>
        </w:rPr>
      </w:pPr>
      <w:r>
        <w:rPr>
          <w:rFonts w:ascii="Times New Roman" w:hAnsi="Times New Roman" w:cs="Times New Roman"/>
          <w:b/>
          <w:sz w:val="24"/>
          <w:szCs w:val="24"/>
        </w:rPr>
        <w:t xml:space="preserve">Qualified Change of Status Condition: </w:t>
      </w:r>
      <w:r>
        <w:rPr>
          <w:rFonts w:ascii="Times New Roman" w:hAnsi="Times New Roman" w:cs="Times New Roman"/>
          <w:sz w:val="24"/>
          <w:szCs w:val="24"/>
        </w:rPr>
        <w:t>A Special Case Resource enrolled with an Average Coincident Load, Provisional Average Coincident Load, or Net Average Coincident Load, in accordance with this Services Tariff meets a Qualified Change of Status Condition when: (i) the SCR is expected to have a reduction in total Load that meets or exceeds the SCR Load Change Reporting Threshold that will extend for a period of greater than sixty (60) consecutive days, (ii) the SCR is experiencing a reduction in total Load that meets or exceeds the SCR Load Change Reporting Threshold that is expected to continue for a total period that is greater than sixty (60) consecutive days, or (iii) the SCR has experienced an unanticipated reduction in total Load that meets or exceeds the SCR Load Change Reporting Threshold that has existed for a period greater than sixty (60) consecutive days in which the SCR sold capacity.</w:t>
      </w:r>
    </w:p>
    <w:p w:rsidR="00481D26" w:rsidP="00B878B6" w14:paraId="36C65EA5" w14:textId="68E63532">
      <w:pPr>
        <w:pStyle w:val="Definition"/>
        <w:rPr>
          <w:rFonts w:ascii="Times New Roman" w:hAnsi="Times New Roman" w:cs="Times New Roman"/>
          <w:sz w:val="24"/>
          <w:szCs w:val="24"/>
        </w:rPr>
      </w:pPr>
      <w:r>
        <w:rPr>
          <w:rFonts w:ascii="Times New Roman" w:hAnsi="Times New Roman" w:cs="Times New Roman"/>
          <w:b/>
          <w:sz w:val="24"/>
          <w:szCs w:val="24"/>
        </w:rPr>
        <w:t>Qualified Non-Generator Voltage Support Resource</w:t>
      </w:r>
      <w:r>
        <w:rPr>
          <w:rFonts w:ascii="Times New Roman" w:hAnsi="Times New Roman" w:cs="Times New Roman"/>
          <w:sz w:val="24"/>
          <w:szCs w:val="24"/>
        </w:rPr>
        <w:t>: A resource that is neither a Generator, nor a Distributed Energy Resource, nor a synchronous condenser but that is capable of providing the ISO with Reactive Power on a dynamic basis, that is energized and under the operational control of the ISO, or a Transmission Owner, that meets the resource-specific technical and testing criteria specified in the ISO Procedures, and that is ineligible to receive Reactive Power compensation other than as a Qualified Non-Generator Voltage Support Resource.  The Cross-Sound Scheduled Line</w:t>
      </w:r>
      <w:r w:rsidRPr="00B878B6" w:rsidR="00B878B6">
        <w:rPr>
          <w:rFonts w:ascii="Times New Roman" w:hAnsi="Times New Roman" w:cs="Times New Roman"/>
          <w:sz w:val="24"/>
          <w:szCs w:val="24"/>
        </w:rPr>
        <w:t xml:space="preserve"> and the Champlain Hudson Power Express MTF </w:t>
      </w:r>
      <w:r>
        <w:rPr>
          <w:rFonts w:ascii="Times New Roman" w:hAnsi="Times New Roman" w:cs="Times New Roman"/>
          <w:sz w:val="24"/>
          <w:szCs w:val="24"/>
        </w:rPr>
        <w:t xml:space="preserve">shall be </w:t>
      </w:r>
      <w:r>
        <w:rPr>
          <w:rFonts w:ascii="Times New Roman" w:hAnsi="Times New Roman" w:cs="Times New Roman"/>
          <w:sz w:val="24"/>
          <w:szCs w:val="24"/>
        </w:rPr>
        <w:t xml:space="preserve"> Qualified Non-Generator Voltage Support Resource</w:t>
      </w:r>
      <w:r w:rsidR="00C66E80">
        <w:rPr>
          <w:rFonts w:ascii="Times New Roman" w:hAnsi="Times New Roman" w:cs="Times New Roman"/>
          <w:sz w:val="24"/>
          <w:szCs w:val="24"/>
        </w:rPr>
        <w:t>s</w:t>
      </w:r>
      <w:r>
        <w:rPr>
          <w:rFonts w:ascii="Times New Roman" w:hAnsi="Times New Roman" w:cs="Times New Roman"/>
          <w:sz w:val="24"/>
          <w:szCs w:val="24"/>
        </w:rPr>
        <w:t>, provided that</w:t>
      </w:r>
      <w:r w:rsidR="00C66E80">
        <w:rPr>
          <w:rFonts w:ascii="Times New Roman" w:hAnsi="Times New Roman" w:cs="Times New Roman"/>
          <w:sz w:val="24"/>
          <w:szCs w:val="24"/>
        </w:rPr>
        <w:t xml:space="preserve"> they</w:t>
      </w:r>
      <w:r>
        <w:rPr>
          <w:rFonts w:ascii="Times New Roman" w:hAnsi="Times New Roman" w:cs="Times New Roman"/>
          <w:sz w:val="24"/>
          <w:szCs w:val="24"/>
        </w:rPr>
        <w:t xml:space="preserve"> meet</w:t>
      </w:r>
      <w:r>
        <w:rPr>
          <w:rFonts w:ascii="Times New Roman" w:hAnsi="Times New Roman" w:cs="Times New Roman"/>
          <w:sz w:val="24"/>
          <w:szCs w:val="24"/>
        </w:rPr>
        <w:t xml:space="preserve"> the technical and testing criteria in the ISO Procedures.</w:t>
      </w:r>
    </w:p>
    <w:p w:rsidR="00481D26" w14:paraId="7329A566" w14:textId="77777777">
      <w:pPr>
        <w:pStyle w:val="Definition"/>
        <w:rPr>
          <w:rFonts w:ascii="Times New Roman" w:hAnsi="Times New Roman" w:cs="Times New Roman"/>
          <w:sz w:val="24"/>
          <w:szCs w:val="24"/>
        </w:rPr>
      </w:pPr>
      <w:r>
        <w:rPr>
          <w:rFonts w:ascii="Times New Roman" w:hAnsi="Times New Roman" w:cs="Times New Roman"/>
          <w:b/>
          <w:sz w:val="24"/>
          <w:szCs w:val="24"/>
        </w:rPr>
        <w:t>Quick Start Mode</w:t>
      </w:r>
      <w:r>
        <w:rPr>
          <w:rFonts w:ascii="Times New Roman" w:hAnsi="Times New Roman" w:cs="Times New Roman"/>
          <w:sz w:val="24"/>
          <w:szCs w:val="24"/>
        </w:rPr>
        <w:t>: The setting of a block of generator units capable of remote start-up by a Transmission Owner so that it can synchronize and reach full output within fifteen (15) minutes.</w:t>
      </w:r>
    </w:p>
    <w:p w:rsidR="00481D26" w:rsidP="00F75502" w14:paraId="692790CB" w14:textId="47EEE78D">
      <w:pPr>
        <w:pStyle w:val="Definition"/>
      </w:pPr>
      <w:r>
        <w:rPr>
          <w:rFonts w:ascii="Times New Roman" w:hAnsi="Times New Roman" w:cs="Times New Roman"/>
          <w:b/>
          <w:sz w:val="24"/>
          <w:szCs w:val="24"/>
        </w:rPr>
        <w:t>Quick Start Reserves</w:t>
      </w:r>
      <w:r>
        <w:rPr>
          <w:rFonts w:ascii="Times New Roman" w:hAnsi="Times New Roman" w:cs="Times New Roman"/>
          <w:sz w:val="24"/>
          <w:szCs w:val="24"/>
        </w:rPr>
        <w:t>: Capacity of a block of generator units that is set to Quick Start Mode by request of a Transmission Owner.</w:t>
      </w:r>
    </w:p>
    <w:sectPr>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2.17 MST Definitions - Q</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2.17 MST Definitions - Q</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2.17 MST Definitions - Q</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9">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2">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4">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0">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1">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2">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3">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4">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5">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7">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8">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1">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235966387">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24449819">
    <w:abstractNumId w:val="11"/>
  </w:num>
  <w:num w:numId="3" w16cid:durableId="1091928003">
    <w:abstractNumId w:val="13"/>
  </w:num>
  <w:num w:numId="4" w16cid:durableId="1571577517">
    <w:abstractNumId w:val="24"/>
  </w:num>
  <w:num w:numId="5" w16cid:durableId="578758446">
    <w:abstractNumId w:val="8"/>
  </w:num>
  <w:num w:numId="6" w16cid:durableId="1739281516">
    <w:abstractNumId w:val="12"/>
  </w:num>
  <w:num w:numId="7" w16cid:durableId="1262682520">
    <w:abstractNumId w:val="16"/>
  </w:num>
  <w:num w:numId="8" w16cid:durableId="1358501794">
    <w:abstractNumId w:val="2"/>
  </w:num>
  <w:num w:numId="9" w16cid:durableId="1700428603">
    <w:abstractNumId w:val="7"/>
  </w:num>
  <w:num w:numId="10" w16cid:durableId="1357072584">
    <w:abstractNumId w:val="3"/>
  </w:num>
  <w:num w:numId="11" w16cid:durableId="1816868837">
    <w:abstractNumId w:val="20"/>
  </w:num>
  <w:num w:numId="12" w16cid:durableId="2041393969">
    <w:abstractNumId w:val="29"/>
  </w:num>
  <w:num w:numId="13" w16cid:durableId="1237207888">
    <w:abstractNumId w:val="10"/>
  </w:num>
  <w:num w:numId="14" w16cid:durableId="1713534012">
    <w:abstractNumId w:val="6"/>
  </w:num>
  <w:num w:numId="15" w16cid:durableId="1995602271">
    <w:abstractNumId w:val="5"/>
  </w:num>
  <w:num w:numId="16" w16cid:durableId="1621960068">
    <w:abstractNumId w:val="25"/>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6824843">
    <w:abstractNumId w:val="32"/>
  </w:num>
  <w:num w:numId="18" w16cid:durableId="141390057">
    <w:abstractNumId w:val="4"/>
  </w:num>
  <w:num w:numId="19" w16cid:durableId="1349214790">
    <w:abstractNumId w:val="28"/>
  </w:num>
  <w:num w:numId="20" w16cid:durableId="592511755">
    <w:abstractNumId w:val="1"/>
  </w:num>
  <w:num w:numId="21" w16cid:durableId="1995640369">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2050759015">
    <w:abstractNumId w:val="30"/>
  </w:num>
  <w:num w:numId="23" w16cid:durableId="1738937100">
    <w:abstractNumId w:val="17"/>
  </w:num>
  <w:num w:numId="24" w16cid:durableId="552889738">
    <w:abstractNumId w:val="18"/>
  </w:num>
  <w:num w:numId="25" w16cid:durableId="1939018148">
    <w:abstractNumId w:val="26"/>
  </w:num>
  <w:num w:numId="26" w16cid:durableId="542399504">
    <w:abstractNumId w:val="15"/>
  </w:num>
  <w:num w:numId="27" w16cid:durableId="1978875383">
    <w:abstractNumId w:val="27"/>
  </w:num>
  <w:num w:numId="28" w16cid:durableId="602225244">
    <w:abstractNumId w:val="22"/>
  </w:num>
  <w:num w:numId="29" w16cid:durableId="1612281997">
    <w:abstractNumId w:val="21"/>
  </w:num>
  <w:num w:numId="30" w16cid:durableId="466092489">
    <w:abstractNumId w:val="19"/>
  </w:num>
  <w:num w:numId="31" w16cid:durableId="322323341">
    <w:abstractNumId w:val="14"/>
  </w:num>
  <w:num w:numId="32" w16cid:durableId="1375228737">
    <w:abstractNumId w:val="23"/>
  </w:num>
  <w:num w:numId="33" w16cid:durableId="1832796727">
    <w:abstractNumId w:val="31"/>
  </w:num>
  <w:num w:numId="34" w16cid:durableId="18294452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26"/>
    <w:rsid w:val="00237D92"/>
    <w:rsid w:val="00263E24"/>
    <w:rsid w:val="00481D26"/>
    <w:rsid w:val="00483593"/>
    <w:rsid w:val="00613DD7"/>
    <w:rsid w:val="007D15E2"/>
    <w:rsid w:val="009546C2"/>
    <w:rsid w:val="00B878B6"/>
    <w:rsid w:val="00C66E80"/>
    <w:rsid w:val="00F755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49E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pPr>
      <w:keepNext/>
      <w:spacing w:before="240" w:after="240"/>
      <w:ind w:left="720" w:hanging="720"/>
      <w:outlineLvl w:val="0"/>
    </w:pPr>
    <w:rPr>
      <w:b/>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1"/>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b/>
      <w:snapToGrid w:val="0"/>
      <w:sz w:val="24"/>
      <w:lang w:val="en-US" w:eastAsia="en-US" w:bidi="ar-SA"/>
    </w:rPr>
  </w:style>
  <w:style w:type="paragraph" w:styleId="Title">
    <w:name w:val="Title"/>
    <w:basedOn w:val="Normal"/>
    <w:qFormat/>
    <w:pPr>
      <w:jc w:val="center"/>
    </w:pPr>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rPr>
  </w:style>
  <w:style w:type="paragraph" w:styleId="Header">
    <w:name w:val="header"/>
    <w:basedOn w:val="Normal"/>
    <w:pPr>
      <w:tabs>
        <w:tab w:val="center" w:pos="4680"/>
        <w:tab w:val="right" w:pos="9360"/>
      </w:tabs>
    </w:pPr>
    <w:rPr>
      <w:szCs w:val="24"/>
    </w:r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link w:val="BodyparaChar"/>
    <w:pPr>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numPr>
        <w:numId w:val="18"/>
      </w:numPr>
      <w:tabs>
        <w:tab w:val="left" w:pos="900"/>
      </w:tabs>
      <w:spacing w:before="120" w:after="120"/>
    </w:pPr>
    <w:rPr>
      <w:szCs w:val="24"/>
    </w:r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rPr>
      <w:szCs w:val="24"/>
    </w:rPr>
  </w:style>
  <w:style w:type="paragraph" w:customStyle="1" w:styleId="Level1">
    <w:name w:val="Level 1"/>
    <w:basedOn w:val="Normal"/>
    <w:pPr>
      <w:ind w:left="1890" w:hanging="720"/>
    </w:pPr>
  </w:style>
  <w:style w:type="paragraph" w:styleId="BodyTextIndent2">
    <w:name w:val="Body Text Indent 2"/>
    <w:basedOn w:val="Normal"/>
    <w:pPr>
      <w:spacing w:line="480" w:lineRule="auto"/>
      <w:ind w:left="720" w:firstLine="720"/>
    </w:pPr>
    <w:rPr>
      <w:szCs w:val="24"/>
    </w:r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rPr>
  </w:style>
  <w:style w:type="character" w:customStyle="1" w:styleId="Heading1Char">
    <w:name w:val="Heading 1 Char"/>
    <w:basedOn w:val="DefaultParagraphFont"/>
    <w:link w:val="Heading1"/>
    <w:rPr>
      <w:b/>
      <w:snapToGrid w:val="0"/>
      <w:sz w:val="24"/>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snapToGrid w:val="0"/>
      <w:sz w:val="24"/>
    </w:rPr>
  </w:style>
  <w:style w:type="character" w:customStyle="1" w:styleId="Heading3Char1">
    <w:name w:val="Heading 3 Char1"/>
    <w:basedOn w:val="DefaultParagraphFont"/>
    <w:link w:val="Heading3"/>
    <w:rPr>
      <w:b/>
      <w:snapToGrid w:val="0"/>
      <w:sz w:val="24"/>
    </w:rPr>
  </w:style>
  <w:style w:type="paragraph" w:styleId="TOC5">
    <w:name w:val="toc 5"/>
    <w:basedOn w:val="Normal"/>
    <w:next w:val="Normal"/>
    <w:pPr>
      <w:ind w:left="960"/>
    </w:pPr>
    <w:rPr>
      <w:szCs w:val="24"/>
    </w:rPr>
  </w:style>
  <w:style w:type="paragraph" w:styleId="TOC6">
    <w:name w:val="toc 6"/>
    <w:basedOn w:val="Normal"/>
    <w:next w:val="Normal"/>
    <w:pPr>
      <w:ind w:left="1200"/>
    </w:pPr>
    <w:rPr>
      <w:szCs w:val="24"/>
    </w:rPr>
  </w:style>
  <w:style w:type="paragraph" w:styleId="TOC7">
    <w:name w:val="toc 7"/>
    <w:basedOn w:val="Normal"/>
    <w:next w:val="Normal"/>
    <w:pPr>
      <w:ind w:left="1440"/>
    </w:pPr>
    <w:rPr>
      <w:szCs w:val="24"/>
    </w:rPr>
  </w:style>
  <w:style w:type="paragraph" w:styleId="TOC8">
    <w:name w:val="toc 8"/>
    <w:basedOn w:val="Normal"/>
    <w:next w:val="Normal"/>
    <w:pPr>
      <w:ind w:left="1680"/>
    </w:pPr>
    <w:rPr>
      <w:szCs w:val="24"/>
    </w:rPr>
  </w:style>
  <w:style w:type="paragraph" w:styleId="TOC9">
    <w:name w:val="toc 9"/>
    <w:basedOn w:val="Normal"/>
    <w:next w:val="Normal"/>
    <w:pPr>
      <w:ind w:left="1920"/>
    </w:pPr>
    <w:rPr>
      <w:szCs w:val="24"/>
    </w:rPr>
  </w:style>
  <w:style w:type="paragraph" w:customStyle="1" w:styleId="a">
    <w:name w:val="_"/>
    <w:basedOn w:val="Normal"/>
    <w:pPr>
      <w:ind w:left="1800" w:hanging="630"/>
    </w:p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semiHidden/>
    <w:rPr>
      <w:snapToGrid w:val="0"/>
    </w:rPr>
  </w:style>
  <w:style w:type="character" w:customStyle="1" w:styleId="CommentSubjectChar">
    <w:name w:val="Comment Subject Char"/>
    <w:basedOn w:val="CommentTextChar"/>
    <w:link w:val="CommentSubject"/>
    <w:rPr>
      <w:snapToGrid w:val="0"/>
    </w:rPr>
  </w:style>
  <w:style w:type="paragraph" w:styleId="BodyTextIndent">
    <w:name w:val="Body Text Indent"/>
    <w:aliases w:val="bi"/>
    <w:basedOn w:val="Normal"/>
    <w:link w:val="BodyTextIndentCh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style>
  <w:style w:type="character" w:customStyle="1" w:styleId="BodyTextIndentChar">
    <w:name w:val="Body Text Indent Char"/>
    <w:aliases w:val="bi Char"/>
    <w:basedOn w:val="DefaultParagraphFont"/>
    <w:link w:val="BodyTextIndent"/>
    <w:rPr>
      <w:snapToGrid w:val="0"/>
      <w:sz w:val="24"/>
    </w:rPr>
  </w:style>
  <w:style w:type="character" w:customStyle="1" w:styleId="BodyparaChar">
    <w:name w:val="Body para Char"/>
    <w:basedOn w:val="DefaultParagraphFont"/>
    <w:link w:val="Bodypara"/>
    <w:rPr>
      <w:snapToGrid w:val="0"/>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78B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2529</Characters>
  <Application>Microsoft Office Word</Application>
  <DocSecurity>0</DocSecurity>
  <Lines>34</Lines>
  <Paragraphs>7</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cp:revision>1</cp:revision>
  <cp:lastPrinted>2010-06-10T20:17:00Z</cp:lastPrinted>
  <dcterms:created xsi:type="dcterms:W3CDTF">2026-01-27T16:23:00Z</dcterms:created>
  <dcterms:modified xsi:type="dcterms:W3CDTF">2026-01-27T16:25:00Z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d81dc5d0-0cef-441c-b0dc-deef506c9472</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2023-10-10T19:25:30Z</vt:lpwstr>
  </property>
  <property fmtid="{D5CDD505-2E9C-101B-9397-08002B2CF9AE}" pid="8" name="MSIP_Label_5bf193d9-c1cf-45e0-8fa7-a9bc86b7f5dd_SiteId">
    <vt:lpwstr>7658602a-f7b9-4209-bc62-d2bfc30dea0d</vt:lpwstr>
  </property>
  <property fmtid="{D5CDD505-2E9C-101B-9397-08002B2CF9AE}" pid="9" name="_AdHocReviewCycleID">
    <vt:i4>877449521</vt:i4>
  </property>
  <property fmtid="{D5CDD505-2E9C-101B-9397-08002B2CF9AE}" pid="10" name="_NewReviewCycle">
    <vt:lpwstr/>
  </property>
  <property fmtid="{D5CDD505-2E9C-101B-9397-08002B2CF9AE}" pid="11" name="_PreviousAdHocReviewCycleID">
    <vt:i4>175429340</vt:i4>
  </property>
</Properties>
</file>