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54" w:rsidRDefault="00460C01">
      <w:pPr>
        <w:pStyle w:val="Heading2"/>
      </w:pPr>
      <w:bookmarkStart w:id="0" w:name="_GoBack"/>
      <w:bookmarkEnd w:id="0"/>
      <w:r>
        <w:t>2.15</w:t>
      </w:r>
      <w:r>
        <w:tab/>
        <w:t>Definitions - O</w:t>
      </w:r>
    </w:p>
    <w:p w:rsidR="00D45254" w:rsidRDefault="00460C01">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45254" w:rsidRDefault="00460C01">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45254" w:rsidRDefault="00460C01">
      <w:pPr>
        <w:pStyle w:val="Definition"/>
      </w:pPr>
      <w:r>
        <w:rPr>
          <w:b/>
        </w:rPr>
        <w:t>Offeror</w:t>
      </w:r>
      <w:r>
        <w:t>: An entity that offers to sell Unforced Capacity in an auction.</w:t>
      </w:r>
    </w:p>
    <w:p w:rsidR="00D45254" w:rsidRDefault="00460C01">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45254" w:rsidRDefault="00460C01">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45254" w:rsidRDefault="00460C01">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w:t>
      </w:r>
      <w:r>
        <w:t>1.11) of Attachment Y of the OATT.</w:t>
      </w:r>
    </w:p>
    <w:p w:rsidR="00D45254" w:rsidRDefault="00460C01">
      <w:pPr>
        <w:pStyle w:val="Definition"/>
      </w:pPr>
      <w:r>
        <w:rPr>
          <w:b/>
          <w:bCs/>
        </w:rPr>
        <w:t>Operating Capacity</w:t>
      </w:r>
      <w:r>
        <w:t>: Capacity that is readily converted to Energy and is measured in MW.</w:t>
      </w:r>
    </w:p>
    <w:p w:rsidR="00D45254" w:rsidRDefault="00460C01">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45254" w:rsidRDefault="00460C01">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45254" w:rsidRDefault="00460C01">
      <w:pPr>
        <w:pStyle w:val="Definition"/>
      </w:pPr>
      <w:r>
        <w:rPr>
          <w:b/>
          <w:bCs/>
        </w:rPr>
        <w:t>Operating Requirement</w:t>
      </w:r>
      <w:r>
        <w:t>: The amount calculated in accordance with Section 26.4.2 of Attachment K to this Services Tariff.</w:t>
      </w:r>
    </w:p>
    <w:p w:rsidR="00D45254" w:rsidRDefault="00460C01">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45254" w:rsidRDefault="00460C01">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are already synchronized to the NYS Power System, and can respond to instructions to chan</w:t>
      </w:r>
      <w:r>
        <w:t>ge their output level, or reduce their Energy usage, within ten (10) minutes.  Generators utilizing inverter-based energy storage technology and that otherwise meet the eligibility criteria set forth in this ISO Services Tariff may provide Spinning Reserve</w:t>
      </w:r>
      <w:r>
        <w:t xml:space="preserve">s.  Spinning Reserves may not be provided a Demand Side Resource that facilitates demand reduction using a Local Generator, unless that Local Generator utilizes inverter-based energy storage technology, or by Behind-the-Meter Net Generation Resources that </w:t>
      </w:r>
      <w:r>
        <w:t>are comprised of more than one generating unit that are dispatched as a single aggregate unit;</w:t>
      </w:r>
    </w:p>
    <w:p w:rsidR="00D45254" w:rsidRDefault="00460C01">
      <w:pPr>
        <w:pStyle w:val="Definitionindent"/>
      </w:pPr>
      <w:r>
        <w:t>(2)</w:t>
      </w:r>
      <w:r>
        <w:tab/>
        <w:t>10-Minute Non-Synchronized Reserve:  Operating Reserves provided by Generators,</w:t>
      </w:r>
      <w:r>
        <w:rPr>
          <w:snapToGrid w:val="0"/>
          <w:szCs w:val="20"/>
        </w:rPr>
        <w:t xml:space="preserve"> Behind-the-Meter Net Generation Resources that are comprised of more than one</w:t>
      </w:r>
      <w:r>
        <w:rPr>
          <w:snapToGrid w:val="0"/>
          <w:szCs w:val="20"/>
        </w:rPr>
        <w:t xml:space="preserv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45254" w:rsidRDefault="00460C01">
      <w:pPr>
        <w:pStyle w:val="Definitionindent"/>
      </w:pPr>
      <w:r>
        <w:t>(3)</w:t>
      </w:r>
      <w:r>
        <w:tab/>
        <w:t>30</w:t>
      </w:r>
      <w:r>
        <w:noBreakHyphen/>
        <w:t xml:space="preserve">Minute Reserve:  Synchronized Operating Reserves provided by Generators, </w:t>
      </w:r>
      <w:r>
        <w:rPr>
          <w:snapToGrid w:val="0"/>
          <w:szCs w:val="20"/>
        </w:rPr>
        <w:t>except Behind-the-Meter Net Generation Resources that are comprised of more than one generat</w:t>
      </w:r>
      <w:r>
        <w:rPr>
          <w:snapToGrid w:val="0"/>
          <w:szCs w:val="20"/>
        </w:rPr>
        <w:t>ing unit and dispatched as a single aggregate unit,</w:t>
      </w:r>
      <w:r>
        <w:t xml:space="preserve"> and Demand Side Resources that do not facilitate demand reduction using Local Generators, or that facilitate demand reduction using a Local Generator utilizing inverter-based energy storage technology; or</w:t>
      </w:r>
      <w:r>
        <w:t xml:space="preserve"> non-synchronized Operating Reserves provided by Generators</w:t>
      </w:r>
      <w:r>
        <w:rPr>
          <w:snapToGrid w:val="0"/>
          <w:szCs w:val="20"/>
        </w:rPr>
        <w:t>, Behind-the-Meter Net Generation Resources that are comprised of more than one generating unit and dispatched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45254" w:rsidRDefault="00460C01">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schedule to meet that requirement.</w:t>
      </w:r>
    </w:p>
    <w:p w:rsidR="00D45254" w:rsidRDefault="00460C01">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45254" w:rsidRDefault="00460C01">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 xml:space="preserve">oltage reductions and Load Shedding, except that each Transmission Owner continues to physically operate and maintain its facilities, </w:t>
      </w:r>
      <w:r>
        <w:lastRenderedPageBreak/>
        <w:t>including those facilities that it has agreed to operate and maintain in accordance with an operation and maintenance agre</w:t>
      </w:r>
      <w:r>
        <w:t>ement.</w:t>
      </w:r>
    </w:p>
    <w:p w:rsidR="00D45254" w:rsidRDefault="00460C01">
      <w:pPr>
        <w:pStyle w:val="Definition"/>
      </w:pPr>
      <w:r>
        <w:rPr>
          <w:b/>
          <w:bCs/>
        </w:rPr>
        <w:t xml:space="preserve">Optimal Power </w:t>
      </w:r>
      <w:r>
        <w:rPr>
          <w:b/>
        </w:rPr>
        <w:t>Flow</w:t>
      </w:r>
      <w:r>
        <w:rPr>
          <w:b/>
          <w:bCs/>
        </w:rPr>
        <w:t xml:space="preserve"> (“OPF”)</w:t>
      </w:r>
      <w:r>
        <w:t>: As defined in the ISO OATT.</w:t>
      </w:r>
    </w:p>
    <w:p w:rsidR="00D45254" w:rsidRDefault="00460C01">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w:t>
      </w:r>
      <w:r>
        <w:rPr>
          <w:u w:val="single"/>
        </w:rPr>
        <w:t>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45254" w:rsidRDefault="00460C01">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w:t>
      </w:r>
      <w:r>
        <w:t>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45254" w:rsidRDefault="00460C01">
      <w:pPr>
        <w:pStyle w:val="Definition"/>
      </w:pPr>
      <w:r>
        <w:rPr>
          <w:b/>
          <w:bCs/>
        </w:rPr>
        <w:t xml:space="preserve">Original </w:t>
      </w:r>
      <w:r>
        <w:rPr>
          <w:b/>
        </w:rPr>
        <w:t>Residual</w:t>
      </w:r>
      <w:r>
        <w:rPr>
          <w:b/>
          <w:bCs/>
        </w:rPr>
        <w:t xml:space="preserve"> TCC:</w:t>
      </w:r>
      <w:r>
        <w:t xml:space="preserve"> As defined in the ISO OATT.</w:t>
      </w:r>
    </w:p>
    <w:p w:rsidR="00D45254" w:rsidRDefault="00460C01">
      <w:pPr>
        <w:pStyle w:val="Definition"/>
      </w:pPr>
      <w:r>
        <w:rPr>
          <w:b/>
          <w:bCs/>
        </w:rPr>
        <w:t>Out</w:t>
      </w:r>
      <w:r>
        <w:rPr>
          <w:b/>
          <w:bCs/>
        </w:rPr>
        <w:noBreakHyphen/>
        <w:t>of</w:t>
      </w:r>
      <w:r>
        <w:rPr>
          <w:b/>
          <w:bCs/>
        </w:rPr>
        <w:noBreakHyphen/>
      </w:r>
      <w:r>
        <w:rPr>
          <w:b/>
        </w:rPr>
        <w:t>Merit</w:t>
      </w:r>
      <w:r>
        <w:t>: The desig</w:t>
      </w:r>
      <w:r>
        <w:t>nation of Resources 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45254" w:rsidRDefault="00460C01">
      <w:pPr>
        <w:pStyle w:val="Definition"/>
      </w:pPr>
      <w:r>
        <w:t>The ISO may also use Out-of-Merit to reduce the CSR injection Scheduling Limit and/or the CSR withdrawal Scheduling Limit to protect NYCA or local reliability.  When the ISO does so the Out-of-Merit for NYCA or local reliability designation shall apply t</w:t>
      </w:r>
      <w:r>
        <w:t>o each of the Generators that is subject to the affected CSR Scheduling Limit.</w:t>
      </w:r>
    </w:p>
    <w:p w:rsidR="00D45254" w:rsidRDefault="00460C01">
      <w:pPr>
        <w:tabs>
          <w:tab w:val="right" w:pos="9360"/>
        </w:tabs>
      </w:pPr>
    </w:p>
    <w:sectPr w:rsidR="00D452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C01">
      <w:r>
        <w:separator/>
      </w:r>
    </w:p>
  </w:endnote>
  <w:endnote w:type="continuationSeparator" w:id="0">
    <w:p w:rsidR="00000000" w:rsidRDefault="004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pPr>
      <w:jc w:val="right"/>
    </w:pPr>
    <w:r>
      <w:rPr>
        <w:rFonts w:ascii="Arial" w:eastAsia="Arial" w:hAnsi="Arial" w:cs="Arial"/>
        <w:color w:val="000000"/>
        <w:sz w:val="16"/>
      </w:rPr>
      <w:t>Effective Date: 12/15/2021 - Docke</w:t>
    </w:r>
    <w:r>
      <w:rPr>
        <w:rFonts w:ascii="Arial" w:eastAsia="Arial" w:hAnsi="Arial" w:cs="Arial"/>
        <w:color w:val="000000"/>
        <w:sz w:val="16"/>
      </w:rPr>
      <w:t xml:space="preserv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C01">
      <w:r>
        <w:separator/>
      </w:r>
    </w:p>
  </w:footnote>
  <w:footnote w:type="continuationSeparator" w:id="0">
    <w:p w:rsidR="00000000" w:rsidRDefault="0046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86" w:rsidRDefault="00460C01">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49A84DA">
      <w:start w:val="1"/>
      <w:numFmt w:val="bullet"/>
      <w:pStyle w:val="Bulletpara"/>
      <w:lvlText w:val=""/>
      <w:lvlJc w:val="left"/>
      <w:pPr>
        <w:tabs>
          <w:tab w:val="num" w:pos="720"/>
        </w:tabs>
        <w:ind w:left="720" w:hanging="360"/>
      </w:pPr>
      <w:rPr>
        <w:rFonts w:ascii="Symbol" w:hAnsi="Symbol" w:hint="default"/>
      </w:rPr>
    </w:lvl>
    <w:lvl w:ilvl="1" w:tplc="33803ED0" w:tentative="1">
      <w:start w:val="1"/>
      <w:numFmt w:val="bullet"/>
      <w:lvlText w:val="o"/>
      <w:lvlJc w:val="left"/>
      <w:pPr>
        <w:tabs>
          <w:tab w:val="num" w:pos="1440"/>
        </w:tabs>
        <w:ind w:left="1440" w:hanging="360"/>
      </w:pPr>
      <w:rPr>
        <w:rFonts w:ascii="Courier New" w:hAnsi="Courier New" w:hint="default"/>
      </w:rPr>
    </w:lvl>
    <w:lvl w:ilvl="2" w:tplc="2FBC8BAE" w:tentative="1">
      <w:start w:val="1"/>
      <w:numFmt w:val="bullet"/>
      <w:lvlText w:val=""/>
      <w:lvlJc w:val="left"/>
      <w:pPr>
        <w:tabs>
          <w:tab w:val="num" w:pos="2160"/>
        </w:tabs>
        <w:ind w:left="2160" w:hanging="360"/>
      </w:pPr>
      <w:rPr>
        <w:rFonts w:ascii="Wingdings" w:hAnsi="Wingdings" w:hint="default"/>
      </w:rPr>
    </w:lvl>
    <w:lvl w:ilvl="3" w:tplc="060E94FC" w:tentative="1">
      <w:start w:val="1"/>
      <w:numFmt w:val="bullet"/>
      <w:lvlText w:val=""/>
      <w:lvlJc w:val="left"/>
      <w:pPr>
        <w:tabs>
          <w:tab w:val="num" w:pos="2880"/>
        </w:tabs>
        <w:ind w:left="2880" w:hanging="360"/>
      </w:pPr>
      <w:rPr>
        <w:rFonts w:ascii="Symbol" w:hAnsi="Symbol" w:hint="default"/>
      </w:rPr>
    </w:lvl>
    <w:lvl w:ilvl="4" w:tplc="205823AC" w:tentative="1">
      <w:start w:val="1"/>
      <w:numFmt w:val="bullet"/>
      <w:lvlText w:val="o"/>
      <w:lvlJc w:val="left"/>
      <w:pPr>
        <w:tabs>
          <w:tab w:val="num" w:pos="3600"/>
        </w:tabs>
        <w:ind w:left="3600" w:hanging="360"/>
      </w:pPr>
      <w:rPr>
        <w:rFonts w:ascii="Courier New" w:hAnsi="Courier New" w:hint="default"/>
      </w:rPr>
    </w:lvl>
    <w:lvl w:ilvl="5" w:tplc="0336A032" w:tentative="1">
      <w:start w:val="1"/>
      <w:numFmt w:val="bullet"/>
      <w:lvlText w:val=""/>
      <w:lvlJc w:val="left"/>
      <w:pPr>
        <w:tabs>
          <w:tab w:val="num" w:pos="4320"/>
        </w:tabs>
        <w:ind w:left="4320" w:hanging="360"/>
      </w:pPr>
      <w:rPr>
        <w:rFonts w:ascii="Wingdings" w:hAnsi="Wingdings" w:hint="default"/>
      </w:rPr>
    </w:lvl>
    <w:lvl w:ilvl="6" w:tplc="386CFF1C" w:tentative="1">
      <w:start w:val="1"/>
      <w:numFmt w:val="bullet"/>
      <w:lvlText w:val=""/>
      <w:lvlJc w:val="left"/>
      <w:pPr>
        <w:tabs>
          <w:tab w:val="num" w:pos="5040"/>
        </w:tabs>
        <w:ind w:left="5040" w:hanging="360"/>
      </w:pPr>
      <w:rPr>
        <w:rFonts w:ascii="Symbol" w:hAnsi="Symbol" w:hint="default"/>
      </w:rPr>
    </w:lvl>
    <w:lvl w:ilvl="7" w:tplc="5B4A9812" w:tentative="1">
      <w:start w:val="1"/>
      <w:numFmt w:val="bullet"/>
      <w:lvlText w:val="o"/>
      <w:lvlJc w:val="left"/>
      <w:pPr>
        <w:tabs>
          <w:tab w:val="num" w:pos="5760"/>
        </w:tabs>
        <w:ind w:left="5760" w:hanging="360"/>
      </w:pPr>
      <w:rPr>
        <w:rFonts w:ascii="Courier New" w:hAnsi="Courier New" w:hint="default"/>
      </w:rPr>
    </w:lvl>
    <w:lvl w:ilvl="8" w:tplc="632E70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6"/>
    <w:rsid w:val="00005186"/>
    <w:rsid w:val="00460C0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