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AD5465">
      <w:pPr>
        <w:pStyle w:val="Heading2"/>
      </w:pPr>
      <w:bookmarkStart w:id="0" w:name="_GoBack"/>
      <w:bookmarkEnd w:id="0"/>
      <w:r>
        <w:t>2.15</w:t>
      </w:r>
      <w:r>
        <w:tab/>
        <w:t>Definitions - O</w:t>
      </w:r>
    </w:p>
    <w:p w:rsidR="00D11F8E" w:rsidRDefault="00AD5465">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AD5465">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AD5465">
      <w:pPr>
        <w:pStyle w:val="Definition"/>
      </w:pPr>
      <w:r>
        <w:rPr>
          <w:b/>
        </w:rPr>
        <w:t>Offeror</w:t>
      </w:r>
      <w:r>
        <w:t>: An entity that offers to sell Unforced Capacity in an auction.</w:t>
      </w:r>
    </w:p>
    <w:p w:rsidR="00D11F8E" w:rsidRDefault="00AD5465">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AD5465">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AD5465">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AD5465">
      <w:pPr>
        <w:pStyle w:val="Definition"/>
      </w:pPr>
      <w:r>
        <w:rPr>
          <w:b/>
          <w:bCs/>
        </w:rPr>
        <w:t>Operating Capacity</w:t>
      </w:r>
      <w:r>
        <w:t>: Capacity that is readily converted to Energy and is measured in MW.</w:t>
      </w:r>
    </w:p>
    <w:p w:rsidR="00D11F8E" w:rsidRDefault="00AD5465">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AD5465">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AD5465">
      <w:pPr>
        <w:pStyle w:val="Definition"/>
      </w:pPr>
      <w:r>
        <w:rPr>
          <w:b/>
          <w:bCs/>
        </w:rPr>
        <w:t>Operating Requirement</w:t>
      </w:r>
      <w:r>
        <w:t>: The amount calculated in accordance with Section 26.4.2 of Attachment K to this Services Tariff.</w:t>
      </w:r>
    </w:p>
    <w:p w:rsidR="00D11F8E" w:rsidRDefault="00AD5465">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AD5465">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AD5465">
      <w:pPr>
        <w:pStyle w:val="Definitionindent"/>
      </w:pPr>
      <w:r>
        <w:t>(2)</w:t>
      </w:r>
      <w:r>
        <w:tab/>
        <w:t>10-Minute Non-Synchronized Reserve:  Operating Reserves provided by Generators</w:t>
      </w:r>
      <w:r>
        <w:t>,</w:t>
      </w:r>
      <w:r w:rsidRPr="00E948CB">
        <w:rPr>
          <w:snapToGrid w:val="0"/>
          <w:szCs w:val="20"/>
        </w:rPr>
        <w:t xml:space="preserve"> </w:t>
      </w:r>
      <w:r w:rsidRPr="000A5317">
        <w:rPr>
          <w:snapToGrid w:val="0"/>
          <w:szCs w:val="20"/>
        </w:rPr>
        <w:t>Behind-the-Meter Net Generation Resources that are comprised of more than one</w:t>
      </w:r>
      <w:r w:rsidRPr="000A5317">
        <w:rPr>
          <w:snapToGrid w:val="0"/>
          <w:szCs w:val="20"/>
        </w:rPr>
        <w:t xml:space="preserve"> generating unit that are dispatched as a single aggregate unit,</w:t>
      </w:r>
      <w:r>
        <w:t xml:space="preserve">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11F8E" w:rsidRDefault="00AD5465">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w:t>
      </w:r>
      <w:r w:rsidRPr="000A5317">
        <w:rPr>
          <w:snapToGrid w:val="0"/>
          <w:szCs w:val="20"/>
        </w:rPr>
        <w: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w:t>
      </w:r>
      <w:r>
        <w:t xml:space="preserve">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11F8E" w:rsidRDefault="00AD5465">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w:t>
      </w:r>
      <w:r>
        <w:rPr>
          <w:iCs/>
        </w:rPr>
        <w:t>dule to meet that requirement.</w:t>
      </w:r>
    </w:p>
    <w:p w:rsidR="00D11F8E" w:rsidRDefault="00AD5465">
      <w:pPr>
        <w:pStyle w:val="Definition"/>
      </w:pPr>
      <w:r>
        <w:rPr>
          <w:b/>
          <w:bCs/>
        </w:rPr>
        <w:t>Op</w:t>
      </w:r>
      <w:r>
        <w:rPr>
          <w:b/>
          <w:bCs/>
        </w:rPr>
        <w:t xml:space="preserve">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A35196" w:rsidRDefault="00AD5465">
      <w:pPr>
        <w:pStyle w:val="Definition"/>
      </w:pPr>
      <w:r>
        <w:rPr>
          <w:b/>
          <w:bCs/>
        </w:rPr>
        <w:t xml:space="preserve">Operational </w:t>
      </w:r>
      <w:r>
        <w:rPr>
          <w:b/>
        </w:rPr>
        <w:t>Control</w:t>
      </w:r>
      <w:r>
        <w:t>: Di</w:t>
      </w:r>
      <w:r>
        <w:t>recting the operation of the Transmission Facilities Under ISO Operational Control to maintain these facilities in a reliable state, as defined by the Reliability Rules.  The ISO shall approve operational decisions concerning these facilities, made by each</w:t>
      </w:r>
      <w:r>
        <w:t xml:space="preserve"> Transmission Owner before the Transmission Owner implements those decisions.  In accordance with ISO Procedures, the ISO shall direct each Transmission Owner to take certain actions to restore the system to the Normal State.  Operational Control includes </w:t>
      </w:r>
      <w:r>
        <w:t>security monitoring, adjustment of generation and transmission resources, coordination and approval of changes in transmission status for maintenance, determination of changes in transmission status for reliability, coordination with other Control Areas, v</w:t>
      </w:r>
      <w:r>
        <w:t>oltage reductions and Load Shedding, except that each Transmission Owner continues to physically operate and maintain its facilities</w:t>
      </w:r>
      <w:r w:rsidRPr="009E6673">
        <w:t xml:space="preserve">, </w:t>
      </w:r>
      <w:r w:rsidRPr="009E6673">
        <w:lastRenderedPageBreak/>
        <w:t>including those facilities that it has agreed to operate and maintain in accordance with an operation and maintenance agre</w:t>
      </w:r>
      <w:r w:rsidRPr="009E6673">
        <w:t>ement</w:t>
      </w:r>
      <w:r>
        <w:t>.</w:t>
      </w:r>
    </w:p>
    <w:p w:rsidR="00D11F8E" w:rsidRDefault="00AD5465">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AD5465">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w:t>
      </w:r>
      <w:r>
        <w:rPr>
          <w:u w:val="single"/>
        </w:rPr>
        <w:t>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w:t>
      </w:r>
      <w:r>
        <w:t xml:space="preserve">)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AD5465">
      <w:pPr>
        <w:pStyle w:val="Definition"/>
      </w:pPr>
      <w:r>
        <w:rPr>
          <w:b/>
          <w:bCs/>
        </w:rPr>
        <w:t xml:space="preserve">Order Nos. 889 </w:t>
      </w:r>
      <w:r>
        <w:rPr>
          <w:b/>
          <w:bCs/>
          <w:u w:val="single"/>
        </w:rPr>
        <w:t>et</w:t>
      </w:r>
      <w:r>
        <w:rPr>
          <w:b/>
          <w:bCs/>
        </w:rPr>
        <w:t xml:space="preserve"> </w:t>
      </w:r>
      <w:r>
        <w:rPr>
          <w:b/>
          <w:bCs/>
          <w:u w:val="single"/>
        </w:rPr>
        <w:t>seq</w:t>
      </w:r>
      <w:r>
        <w:rPr>
          <w:b/>
          <w:bCs/>
        </w:rPr>
        <w:t>.</w:t>
      </w:r>
      <w:r>
        <w:t>: The Final Rule entitled</w:t>
      </w:r>
      <w:r>
        <w:t xml:space="preserve">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w:t>
      </w:r>
      <w:r>
        <w:t>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AD5465">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AD5465">
      <w:pPr>
        <w:pStyle w:val="Definition"/>
      </w:pPr>
      <w:r>
        <w:rPr>
          <w:b/>
          <w:bCs/>
        </w:rPr>
        <w:t>Out</w:t>
      </w:r>
      <w:r>
        <w:rPr>
          <w:b/>
          <w:bCs/>
        </w:rPr>
        <w:noBreakHyphen/>
        <w:t>of</w:t>
      </w:r>
      <w:r>
        <w:rPr>
          <w:b/>
          <w:bCs/>
        </w:rPr>
        <w:noBreakHyphen/>
      </w:r>
      <w:r>
        <w:rPr>
          <w:b/>
        </w:rPr>
        <w:t>Merit</w:t>
      </w:r>
      <w:r>
        <w:t xml:space="preserve">: The </w:t>
      </w:r>
      <w:r>
        <w:t>designation of Resources committed and/or dispatched by the ISO at specified output limits for specified time periods to meet Load and/or reliability requirements that differ from or supplement the ISO’s security constrained economic commitment and/or disp</w:t>
      </w:r>
      <w:r>
        <w:t>atch.</w:t>
      </w:r>
      <w:r>
        <w:rPr>
          <w:strike/>
        </w:rPr>
        <w:t xml:space="preserve"> </w:t>
      </w:r>
    </w:p>
    <w:p w:rsidR="00D11F8E" w:rsidRDefault="00AD5465">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465">
      <w:r>
        <w:separator/>
      </w:r>
    </w:p>
  </w:endnote>
  <w:endnote w:type="continuationSeparator" w:id="0">
    <w:p w:rsidR="00000000" w:rsidRDefault="00AD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A1" w:rsidRDefault="00AD546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A1" w:rsidRDefault="00AD546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A1" w:rsidRDefault="00AD546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465">
      <w:r>
        <w:separator/>
      </w:r>
    </w:p>
  </w:footnote>
  <w:footnote w:type="continuationSeparator" w:id="0">
    <w:p w:rsidR="00000000" w:rsidRDefault="00AD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A1" w:rsidRDefault="00AD5465">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A1" w:rsidRDefault="00AD5465">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A1" w:rsidRDefault="00AD5465">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F6AE512">
      <w:start w:val="1"/>
      <w:numFmt w:val="bullet"/>
      <w:pStyle w:val="Bulletpara"/>
      <w:lvlText w:val=""/>
      <w:lvlJc w:val="left"/>
      <w:pPr>
        <w:tabs>
          <w:tab w:val="num" w:pos="720"/>
        </w:tabs>
        <w:ind w:left="720" w:hanging="360"/>
      </w:pPr>
      <w:rPr>
        <w:rFonts w:ascii="Symbol" w:hAnsi="Symbol" w:hint="default"/>
      </w:rPr>
    </w:lvl>
    <w:lvl w:ilvl="1" w:tplc="753AA8BE" w:tentative="1">
      <w:start w:val="1"/>
      <w:numFmt w:val="bullet"/>
      <w:lvlText w:val="o"/>
      <w:lvlJc w:val="left"/>
      <w:pPr>
        <w:tabs>
          <w:tab w:val="num" w:pos="1440"/>
        </w:tabs>
        <w:ind w:left="1440" w:hanging="360"/>
      </w:pPr>
      <w:rPr>
        <w:rFonts w:ascii="Courier New" w:hAnsi="Courier New" w:hint="default"/>
      </w:rPr>
    </w:lvl>
    <w:lvl w:ilvl="2" w:tplc="25CEC122" w:tentative="1">
      <w:start w:val="1"/>
      <w:numFmt w:val="bullet"/>
      <w:lvlText w:val=""/>
      <w:lvlJc w:val="left"/>
      <w:pPr>
        <w:tabs>
          <w:tab w:val="num" w:pos="2160"/>
        </w:tabs>
        <w:ind w:left="2160" w:hanging="360"/>
      </w:pPr>
      <w:rPr>
        <w:rFonts w:ascii="Wingdings" w:hAnsi="Wingdings" w:hint="default"/>
      </w:rPr>
    </w:lvl>
    <w:lvl w:ilvl="3" w:tplc="F034A4D4" w:tentative="1">
      <w:start w:val="1"/>
      <w:numFmt w:val="bullet"/>
      <w:lvlText w:val=""/>
      <w:lvlJc w:val="left"/>
      <w:pPr>
        <w:tabs>
          <w:tab w:val="num" w:pos="2880"/>
        </w:tabs>
        <w:ind w:left="2880" w:hanging="360"/>
      </w:pPr>
      <w:rPr>
        <w:rFonts w:ascii="Symbol" w:hAnsi="Symbol" w:hint="default"/>
      </w:rPr>
    </w:lvl>
    <w:lvl w:ilvl="4" w:tplc="F0825B48" w:tentative="1">
      <w:start w:val="1"/>
      <w:numFmt w:val="bullet"/>
      <w:lvlText w:val="o"/>
      <w:lvlJc w:val="left"/>
      <w:pPr>
        <w:tabs>
          <w:tab w:val="num" w:pos="3600"/>
        </w:tabs>
        <w:ind w:left="3600" w:hanging="360"/>
      </w:pPr>
      <w:rPr>
        <w:rFonts w:ascii="Courier New" w:hAnsi="Courier New" w:hint="default"/>
      </w:rPr>
    </w:lvl>
    <w:lvl w:ilvl="5" w:tplc="3E32589E" w:tentative="1">
      <w:start w:val="1"/>
      <w:numFmt w:val="bullet"/>
      <w:lvlText w:val=""/>
      <w:lvlJc w:val="left"/>
      <w:pPr>
        <w:tabs>
          <w:tab w:val="num" w:pos="4320"/>
        </w:tabs>
        <w:ind w:left="4320" w:hanging="360"/>
      </w:pPr>
      <w:rPr>
        <w:rFonts w:ascii="Wingdings" w:hAnsi="Wingdings" w:hint="default"/>
      </w:rPr>
    </w:lvl>
    <w:lvl w:ilvl="6" w:tplc="0D62A834" w:tentative="1">
      <w:start w:val="1"/>
      <w:numFmt w:val="bullet"/>
      <w:lvlText w:val=""/>
      <w:lvlJc w:val="left"/>
      <w:pPr>
        <w:tabs>
          <w:tab w:val="num" w:pos="5040"/>
        </w:tabs>
        <w:ind w:left="5040" w:hanging="360"/>
      </w:pPr>
      <w:rPr>
        <w:rFonts w:ascii="Symbol" w:hAnsi="Symbol" w:hint="default"/>
      </w:rPr>
    </w:lvl>
    <w:lvl w:ilvl="7" w:tplc="62ACC938" w:tentative="1">
      <w:start w:val="1"/>
      <w:numFmt w:val="bullet"/>
      <w:lvlText w:val="o"/>
      <w:lvlJc w:val="left"/>
      <w:pPr>
        <w:tabs>
          <w:tab w:val="num" w:pos="5760"/>
        </w:tabs>
        <w:ind w:left="5760" w:hanging="360"/>
      </w:pPr>
      <w:rPr>
        <w:rFonts w:ascii="Courier New" w:hAnsi="Courier New" w:hint="default"/>
      </w:rPr>
    </w:lvl>
    <w:lvl w:ilvl="8" w:tplc="2780DC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A1"/>
    <w:rsid w:val="005621A1"/>
    <w:rsid w:val="00AD546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2021-12-09T22:33:00Z</dcterms:created>
  <dcterms:modified xsi:type="dcterms:W3CDTF">2021-12-09T22:33:00Z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