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7C1BEA">
      <w:pPr>
        <w:pStyle w:val="Heading2"/>
      </w:pPr>
      <w:bookmarkStart w:id="0" w:name="_Toc261446004"/>
      <w:bookmarkStart w:id="1" w:name="_GoBack"/>
      <w:bookmarkEnd w:id="1"/>
      <w:r>
        <w:t>2.12</w:t>
      </w:r>
      <w:r>
        <w:tab/>
        <w:t>Definitions - L</w:t>
      </w:r>
      <w:bookmarkEnd w:id="0"/>
    </w:p>
    <w:p w:rsidR="002418F8" w:rsidRDefault="007C1BEA">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7C1BEA">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7C1BEA">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7C1BEA">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7C1BEA">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7C1BEA">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7C1BEA">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7C1BEA">
      <w:pPr>
        <w:pStyle w:val="Definition"/>
      </w:pPr>
      <w:r>
        <w:rPr>
          <w:b/>
        </w:rPr>
        <w:t xml:space="preserve">Load </w:t>
      </w:r>
      <w:r>
        <w:t>: A term that refers to either a consumer of Energy or the amount of demand (MW) or Energy (MWh) consumed by certain consumers.</w:t>
      </w:r>
    </w:p>
    <w:p w:rsidR="002418F8" w:rsidRDefault="007C1BEA">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7C1BEA">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7C1BEA">
      <w:pPr>
        <w:pStyle w:val="Definition"/>
      </w:pPr>
      <w:r>
        <w:rPr>
          <w:b/>
        </w:rPr>
        <w:t>Load Zone</w:t>
      </w:r>
      <w:r>
        <w:t xml:space="preserve">: One (1) of eleven (11) geographical areas located within the NYCA that is bounded by one (1) or more of the fourteen (14) New York State Interfaces.  </w:t>
      </w:r>
    </w:p>
    <w:p w:rsidR="002418F8" w:rsidRDefault="007C1BEA">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7C1BEA">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7C1BEA">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8517E1" w:rsidRDefault="007C1BEA">
      <w:pPr>
        <w:pStyle w:val="Definition5"/>
      </w:pPr>
      <w:r w:rsidRPr="009A5E6C">
        <w:rPr>
          <w:b/>
        </w:rPr>
        <w:t>Lo</w:t>
      </w:r>
      <w:r w:rsidRPr="009A5E6C">
        <w:rPr>
          <w:b/>
        </w:rPr>
        <w:t>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7C1BEA">
      <w:pPr>
        <w:pStyle w:val="Definition5"/>
      </w:pPr>
      <w:r w:rsidRPr="009A5E6C">
        <w:rPr>
          <w:b/>
        </w:rPr>
        <w:t>Locality Exchange MW</w:t>
      </w:r>
      <w:r w:rsidRPr="009A5E6C">
        <w:t>:  The MW of Locational Export Capacity excluding the MW to be transmitted u</w:t>
      </w:r>
      <w:r w:rsidRPr="009A5E6C">
        <w:t xml:space="preserve">sing UDRs, that the ISO determines in accordance with </w:t>
      </w:r>
      <w:r w:rsidRPr="00541CAD">
        <w:t>Section 5.11.</w:t>
      </w:r>
      <w:r w:rsidRPr="00541CAD">
        <w:t>5</w:t>
      </w:r>
      <w:r w:rsidRPr="00541CAD">
        <w:t xml:space="preserve"> o</w:t>
      </w:r>
      <w:r w:rsidRPr="009A5E6C">
        <w:t xml:space="preserve">f the Services Tariff.    </w:t>
      </w:r>
    </w:p>
    <w:p w:rsidR="002418F8" w:rsidRDefault="007C1BEA">
      <w:pPr>
        <w:pStyle w:val="Definition"/>
      </w:pPr>
      <w:r>
        <w:rPr>
          <w:b/>
          <w:bCs/>
        </w:rPr>
        <w:t>Local Reliability Rule</w:t>
      </w:r>
      <w:r>
        <w:t>: A Reliability Rule established by a Transmission Owner, and adopted by the NYSRC, to meet specific reliability concerns in limited area</w:t>
      </w:r>
      <w:r>
        <w:t xml:space="preserve">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rsidRDefault="007C1BEA">
      <w:pPr>
        <w:pStyle w:val="Definition"/>
      </w:pPr>
      <w:r>
        <w:rPr>
          <w:b/>
          <w:bCs/>
        </w:rPr>
        <w:t>Locational Based Marginal Pricing (“LBMP”)</w:t>
      </w:r>
      <w:r>
        <w:t xml:space="preserve">: The price of Energy at </w:t>
      </w:r>
      <w:r>
        <w:t>each location in the NYS Transmission System as calculated pursuant to Section 17 Attachment B of this Services Tariff.</w:t>
      </w:r>
    </w:p>
    <w:p w:rsidR="006E60B6" w:rsidRDefault="007C1BEA">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w:t>
      </w:r>
      <w:r w:rsidRPr="007216E7">
        <w:t xml:space="preserve">Interconnection </w:t>
      </w:r>
      <w:r>
        <w:t>Service</w:t>
      </w:r>
      <w:r w:rsidRPr="007216E7">
        <w:t>, pursuant to the applicable provisions of Attachment X, Attachment S and Attachment Z to the ISO OATT, and (b) that</w:t>
      </w:r>
      <w:r>
        <w:t xml:space="preserve"> meets the eligibility requirements set forth in S</w:t>
      </w:r>
      <w:r w:rsidRPr="007216E7">
        <w:t>ection 5.9.</w:t>
      </w:r>
      <w:r>
        <w:t xml:space="preserve">2.2 </w:t>
      </w:r>
      <w:r w:rsidRPr="007216E7">
        <w:t>of the Services Tariff</w:t>
      </w:r>
      <w:r>
        <w:t>.</w:t>
      </w:r>
    </w:p>
    <w:p w:rsidR="002418F8" w:rsidRDefault="007C1BEA">
      <w:pPr>
        <w:pStyle w:val="Definition"/>
      </w:pPr>
      <w:r>
        <w:rPr>
          <w:b/>
        </w:rPr>
        <w:t>Locational Minimum Installed</w:t>
      </w:r>
      <w:r>
        <w:rPr>
          <w:b/>
        </w:rPr>
        <w:t xml:space="preserve"> Capacity Requirement:</w:t>
      </w:r>
      <w:r>
        <w:t xml:space="preserve"> The portion of the NYCA Minimum Installed Capacity Requirement provided by Capacity Resources that must be electrically located within a Locality (including those combined with a Unforced Capacity Deliverability Right except for righ</w:t>
      </w:r>
      <w:r>
        <w:t>ts returned in an annual election to the ISO in accordance with ISO Procedures) in order to ensure that sufficient Energy and Capacity are available in that Locality and that appropriate reliability criteria are met.</w:t>
      </w:r>
    </w:p>
    <w:p w:rsidR="002418F8" w:rsidRDefault="007C1BEA">
      <w:pPr>
        <w:pStyle w:val="Definition"/>
        <w:rPr>
          <w:i/>
        </w:rPr>
      </w:pPr>
      <w:r>
        <w:rPr>
          <w:b/>
          <w:bCs/>
        </w:rPr>
        <w:t>Locational Minimum Unforced Capacity Re</w:t>
      </w:r>
      <w:r>
        <w:rPr>
          <w:b/>
          <w:bCs/>
        </w:rPr>
        <w:t>quirement</w:t>
      </w:r>
      <w:r>
        <w:t>: The Unforced Capacity equivalent of the Locational Minimum Installed Capacity Requirement.</w:t>
      </w:r>
    </w:p>
    <w:p w:rsidR="002418F8" w:rsidRDefault="007C1BEA">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2418F8" w:rsidRDefault="007C1BEA">
      <w:pPr>
        <w:pStyle w:val="Definition"/>
      </w:pPr>
      <w:r>
        <w:rPr>
          <w:b/>
        </w:rPr>
        <w:lastRenderedPageBreak/>
        <w:t>Lost Opportunity Cost</w:t>
      </w:r>
      <w:r>
        <w:t>: The foregone profit associa</w:t>
      </w:r>
      <w:r>
        <w:t>ted with the provision of Ancillary Services, which is equal to the product of: (1) the difference between (a) the Energy that a Generator could have sold at the specific LBMP and (b) the Energy sold as a result of reducing the Generator’s output to provid</w:t>
      </w:r>
      <w:r>
        <w:t>e an Ancillary Service under the directions of the ISO; and (2) the LBMP existing at the time the Generator was instructed to provide the Ancillary Service, less the Generator’s Energy bid for the same MW segment.</w:t>
      </w:r>
    </w:p>
    <w:p w:rsidR="002418F8" w:rsidRDefault="007C1BEA">
      <w:pPr>
        <w:pStyle w:val="Definition"/>
        <w:rPr>
          <w:bCs/>
        </w:rPr>
      </w:pPr>
      <w:r>
        <w:rPr>
          <w:b/>
        </w:rPr>
        <w:t>LSE Unforced Capacity Obligation</w:t>
      </w:r>
      <w:r>
        <w:t xml:space="preserve">: </w:t>
      </w:r>
      <w:r>
        <w:rPr>
          <w:bCs/>
        </w:rPr>
        <w:t>The amou</w:t>
      </w:r>
      <w:r>
        <w:rPr>
          <w:bCs/>
        </w:rPr>
        <w:t xml:space="preserve">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 Spot Ma</w:t>
      </w:r>
      <w:r>
        <w:rPr>
          <w:bCs/>
        </w:rPr>
        <w:t xml:space="preserve">rket Auction.  The amount includes, at a minimum, each </w:t>
      </w:r>
      <w:r>
        <w:t>LSE’s</w:t>
      </w:r>
      <w:r>
        <w:rPr>
          <w:bCs/>
        </w:rPr>
        <w:t xml:space="preserve"> share of the NYCA Minimum Unforced Capacity Requirement and the Locational Minimum Unforced Capacity Requirement, as applicable.</w:t>
      </w:r>
    </w:p>
    <w:p w:rsidR="002418F8" w:rsidRDefault="007C1BEA">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BEA">
      <w:r>
        <w:separator/>
      </w:r>
    </w:p>
  </w:endnote>
  <w:endnote w:type="continuationSeparator" w:id="0">
    <w:p w:rsidR="00000000" w:rsidRDefault="007C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7C1BEA">
    <w:pPr>
      <w:jc w:val="right"/>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7C1BEA">
    <w:pPr>
      <w:jc w:val="right"/>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7C1BEA">
    <w:pPr>
      <w:jc w:val="right"/>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BEA">
      <w:r>
        <w:separator/>
      </w:r>
    </w:p>
  </w:footnote>
  <w:footnote w:type="continuationSeparator" w:id="0">
    <w:p w:rsidR="00000000" w:rsidRDefault="007C1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7C1BEA">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7C1BEA">
    <w:r>
      <w:rPr>
        <w:rFonts w:ascii="Arial" w:eastAsia="Arial" w:hAnsi="Arial" w:cs="Arial"/>
        <w:color w:val="000000"/>
        <w:sz w:val="16"/>
      </w:rPr>
      <w:t>NYISO Tariffs --&gt; Market Administration and Control Area Services Tariff (MST) --&gt; 2 MST Definitions --&gt; 2.12 MST Definit</w:t>
    </w:r>
    <w:r>
      <w:rPr>
        <w:rFonts w:ascii="Arial" w:eastAsia="Arial" w:hAnsi="Arial" w:cs="Arial"/>
        <w:color w:val="000000"/>
        <w:sz w:val="16"/>
      </w:rPr>
      <w: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96" w:rsidRDefault="007C1BEA">
    <w:r>
      <w:rPr>
        <w:rFonts w:ascii="Arial" w:eastAsia="Arial" w:hAnsi="Arial" w:cs="Arial"/>
        <w:color w:val="000000"/>
        <w:sz w:val="16"/>
      </w:rPr>
      <w:t>NYISO Tariffs --&gt; Market Administration and Control Area Services Tariff (MST) --&gt; 2 MST Definitions --&gt; 2.12 MST D</w:t>
    </w:r>
    <w:r>
      <w:rPr>
        <w:rFonts w:ascii="Arial" w:eastAsia="Arial" w:hAnsi="Arial" w:cs="Arial"/>
        <w:color w:val="000000"/>
        <w:sz w:val="16"/>
      </w:rPr>
      <w:t>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47A8854">
      <w:start w:val="1"/>
      <w:numFmt w:val="bullet"/>
      <w:pStyle w:val="Bulletpara"/>
      <w:lvlText w:val=""/>
      <w:lvlJc w:val="left"/>
      <w:pPr>
        <w:tabs>
          <w:tab w:val="num" w:pos="720"/>
        </w:tabs>
        <w:ind w:left="720" w:hanging="360"/>
      </w:pPr>
      <w:rPr>
        <w:rFonts w:ascii="Symbol" w:hAnsi="Symbol" w:hint="default"/>
      </w:rPr>
    </w:lvl>
    <w:lvl w:ilvl="1" w:tplc="5F0A67D6" w:tentative="1">
      <w:start w:val="1"/>
      <w:numFmt w:val="bullet"/>
      <w:lvlText w:val="o"/>
      <w:lvlJc w:val="left"/>
      <w:pPr>
        <w:tabs>
          <w:tab w:val="num" w:pos="1440"/>
        </w:tabs>
        <w:ind w:left="1440" w:hanging="360"/>
      </w:pPr>
      <w:rPr>
        <w:rFonts w:ascii="Courier New" w:hAnsi="Courier New" w:hint="default"/>
      </w:rPr>
    </w:lvl>
    <w:lvl w:ilvl="2" w:tplc="016021BE" w:tentative="1">
      <w:start w:val="1"/>
      <w:numFmt w:val="bullet"/>
      <w:lvlText w:val=""/>
      <w:lvlJc w:val="left"/>
      <w:pPr>
        <w:tabs>
          <w:tab w:val="num" w:pos="2160"/>
        </w:tabs>
        <w:ind w:left="2160" w:hanging="360"/>
      </w:pPr>
      <w:rPr>
        <w:rFonts w:ascii="Wingdings" w:hAnsi="Wingdings" w:hint="default"/>
      </w:rPr>
    </w:lvl>
    <w:lvl w:ilvl="3" w:tplc="C302D270" w:tentative="1">
      <w:start w:val="1"/>
      <w:numFmt w:val="bullet"/>
      <w:lvlText w:val=""/>
      <w:lvlJc w:val="left"/>
      <w:pPr>
        <w:tabs>
          <w:tab w:val="num" w:pos="2880"/>
        </w:tabs>
        <w:ind w:left="2880" w:hanging="360"/>
      </w:pPr>
      <w:rPr>
        <w:rFonts w:ascii="Symbol" w:hAnsi="Symbol" w:hint="default"/>
      </w:rPr>
    </w:lvl>
    <w:lvl w:ilvl="4" w:tplc="C5C6E220" w:tentative="1">
      <w:start w:val="1"/>
      <w:numFmt w:val="bullet"/>
      <w:lvlText w:val="o"/>
      <w:lvlJc w:val="left"/>
      <w:pPr>
        <w:tabs>
          <w:tab w:val="num" w:pos="3600"/>
        </w:tabs>
        <w:ind w:left="3600" w:hanging="360"/>
      </w:pPr>
      <w:rPr>
        <w:rFonts w:ascii="Courier New" w:hAnsi="Courier New" w:hint="default"/>
      </w:rPr>
    </w:lvl>
    <w:lvl w:ilvl="5" w:tplc="69A424E6" w:tentative="1">
      <w:start w:val="1"/>
      <w:numFmt w:val="bullet"/>
      <w:lvlText w:val=""/>
      <w:lvlJc w:val="left"/>
      <w:pPr>
        <w:tabs>
          <w:tab w:val="num" w:pos="4320"/>
        </w:tabs>
        <w:ind w:left="4320" w:hanging="360"/>
      </w:pPr>
      <w:rPr>
        <w:rFonts w:ascii="Wingdings" w:hAnsi="Wingdings" w:hint="default"/>
      </w:rPr>
    </w:lvl>
    <w:lvl w:ilvl="6" w:tplc="CE8080E6" w:tentative="1">
      <w:start w:val="1"/>
      <w:numFmt w:val="bullet"/>
      <w:lvlText w:val=""/>
      <w:lvlJc w:val="left"/>
      <w:pPr>
        <w:tabs>
          <w:tab w:val="num" w:pos="5040"/>
        </w:tabs>
        <w:ind w:left="5040" w:hanging="360"/>
      </w:pPr>
      <w:rPr>
        <w:rFonts w:ascii="Symbol" w:hAnsi="Symbol" w:hint="default"/>
      </w:rPr>
    </w:lvl>
    <w:lvl w:ilvl="7" w:tplc="83968E78" w:tentative="1">
      <w:start w:val="1"/>
      <w:numFmt w:val="bullet"/>
      <w:lvlText w:val="o"/>
      <w:lvlJc w:val="left"/>
      <w:pPr>
        <w:tabs>
          <w:tab w:val="num" w:pos="5760"/>
        </w:tabs>
        <w:ind w:left="5760" w:hanging="360"/>
      </w:pPr>
      <w:rPr>
        <w:rFonts w:ascii="Courier New" w:hAnsi="Courier New" w:hint="default"/>
      </w:rPr>
    </w:lvl>
    <w:lvl w:ilvl="8" w:tplc="218689F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56A8B50">
      <w:start w:val="1"/>
      <w:numFmt w:val="lowerRoman"/>
      <w:lvlText w:val="(%1)"/>
      <w:lvlJc w:val="left"/>
      <w:pPr>
        <w:tabs>
          <w:tab w:val="num" w:pos="2448"/>
        </w:tabs>
        <w:ind w:left="2448" w:hanging="648"/>
      </w:pPr>
      <w:rPr>
        <w:rFonts w:cs="Times New Roman" w:hint="default"/>
        <w:b w:val="0"/>
        <w:i w:val="0"/>
        <w:u w:val="none"/>
      </w:rPr>
    </w:lvl>
    <w:lvl w:ilvl="1" w:tplc="F570819C" w:tentative="1">
      <w:start w:val="1"/>
      <w:numFmt w:val="lowerLetter"/>
      <w:lvlText w:val="%2."/>
      <w:lvlJc w:val="left"/>
      <w:pPr>
        <w:tabs>
          <w:tab w:val="num" w:pos="1440"/>
        </w:tabs>
        <w:ind w:left="1440" w:hanging="360"/>
      </w:pPr>
      <w:rPr>
        <w:rFonts w:cs="Times New Roman"/>
      </w:rPr>
    </w:lvl>
    <w:lvl w:ilvl="2" w:tplc="A5645D96" w:tentative="1">
      <w:start w:val="1"/>
      <w:numFmt w:val="lowerRoman"/>
      <w:lvlText w:val="%3."/>
      <w:lvlJc w:val="right"/>
      <w:pPr>
        <w:tabs>
          <w:tab w:val="num" w:pos="2160"/>
        </w:tabs>
        <w:ind w:left="2160" w:hanging="180"/>
      </w:pPr>
      <w:rPr>
        <w:rFonts w:cs="Times New Roman"/>
      </w:rPr>
    </w:lvl>
    <w:lvl w:ilvl="3" w:tplc="A0962142" w:tentative="1">
      <w:start w:val="1"/>
      <w:numFmt w:val="decimal"/>
      <w:lvlText w:val="%4."/>
      <w:lvlJc w:val="left"/>
      <w:pPr>
        <w:tabs>
          <w:tab w:val="num" w:pos="2880"/>
        </w:tabs>
        <w:ind w:left="2880" w:hanging="360"/>
      </w:pPr>
      <w:rPr>
        <w:rFonts w:cs="Times New Roman"/>
      </w:rPr>
    </w:lvl>
    <w:lvl w:ilvl="4" w:tplc="6BE49A52" w:tentative="1">
      <w:start w:val="1"/>
      <w:numFmt w:val="lowerLetter"/>
      <w:lvlText w:val="%5."/>
      <w:lvlJc w:val="left"/>
      <w:pPr>
        <w:tabs>
          <w:tab w:val="num" w:pos="3600"/>
        </w:tabs>
        <w:ind w:left="3600" w:hanging="360"/>
      </w:pPr>
      <w:rPr>
        <w:rFonts w:cs="Times New Roman"/>
      </w:rPr>
    </w:lvl>
    <w:lvl w:ilvl="5" w:tplc="A59E1284" w:tentative="1">
      <w:start w:val="1"/>
      <w:numFmt w:val="lowerRoman"/>
      <w:lvlText w:val="%6."/>
      <w:lvlJc w:val="right"/>
      <w:pPr>
        <w:tabs>
          <w:tab w:val="num" w:pos="4320"/>
        </w:tabs>
        <w:ind w:left="4320" w:hanging="180"/>
      </w:pPr>
      <w:rPr>
        <w:rFonts w:cs="Times New Roman"/>
      </w:rPr>
    </w:lvl>
    <w:lvl w:ilvl="6" w:tplc="BA20FFF0" w:tentative="1">
      <w:start w:val="1"/>
      <w:numFmt w:val="decimal"/>
      <w:lvlText w:val="%7."/>
      <w:lvlJc w:val="left"/>
      <w:pPr>
        <w:tabs>
          <w:tab w:val="num" w:pos="5040"/>
        </w:tabs>
        <w:ind w:left="5040" w:hanging="360"/>
      </w:pPr>
      <w:rPr>
        <w:rFonts w:cs="Times New Roman"/>
      </w:rPr>
    </w:lvl>
    <w:lvl w:ilvl="7" w:tplc="321227E6" w:tentative="1">
      <w:start w:val="1"/>
      <w:numFmt w:val="lowerLetter"/>
      <w:lvlText w:val="%8."/>
      <w:lvlJc w:val="left"/>
      <w:pPr>
        <w:tabs>
          <w:tab w:val="num" w:pos="5760"/>
        </w:tabs>
        <w:ind w:left="5760" w:hanging="360"/>
      </w:pPr>
      <w:rPr>
        <w:rFonts w:cs="Times New Roman"/>
      </w:rPr>
    </w:lvl>
    <w:lvl w:ilvl="8" w:tplc="F1C6FE1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C5AF0BA">
      <w:start w:val="1"/>
      <w:numFmt w:val="decimal"/>
      <w:lvlText w:val="%1."/>
      <w:lvlJc w:val="left"/>
      <w:pPr>
        <w:tabs>
          <w:tab w:val="num" w:pos="720"/>
        </w:tabs>
        <w:ind w:left="720" w:hanging="360"/>
      </w:pPr>
      <w:rPr>
        <w:rFonts w:cs="Times New Roman"/>
      </w:rPr>
    </w:lvl>
    <w:lvl w:ilvl="1" w:tplc="8EF8591E" w:tentative="1">
      <w:start w:val="1"/>
      <w:numFmt w:val="lowerLetter"/>
      <w:lvlText w:val="%2."/>
      <w:lvlJc w:val="left"/>
      <w:pPr>
        <w:tabs>
          <w:tab w:val="num" w:pos="1440"/>
        </w:tabs>
        <w:ind w:left="1440" w:hanging="360"/>
      </w:pPr>
      <w:rPr>
        <w:rFonts w:cs="Times New Roman"/>
      </w:rPr>
    </w:lvl>
    <w:lvl w:ilvl="2" w:tplc="41A0E4EA" w:tentative="1">
      <w:start w:val="1"/>
      <w:numFmt w:val="lowerRoman"/>
      <w:lvlText w:val="%3."/>
      <w:lvlJc w:val="right"/>
      <w:pPr>
        <w:tabs>
          <w:tab w:val="num" w:pos="2160"/>
        </w:tabs>
        <w:ind w:left="2160" w:hanging="180"/>
      </w:pPr>
      <w:rPr>
        <w:rFonts w:cs="Times New Roman"/>
      </w:rPr>
    </w:lvl>
    <w:lvl w:ilvl="3" w:tplc="70E69484" w:tentative="1">
      <w:start w:val="1"/>
      <w:numFmt w:val="decimal"/>
      <w:lvlText w:val="%4."/>
      <w:lvlJc w:val="left"/>
      <w:pPr>
        <w:tabs>
          <w:tab w:val="num" w:pos="2880"/>
        </w:tabs>
        <w:ind w:left="2880" w:hanging="360"/>
      </w:pPr>
      <w:rPr>
        <w:rFonts w:cs="Times New Roman"/>
      </w:rPr>
    </w:lvl>
    <w:lvl w:ilvl="4" w:tplc="1660D292" w:tentative="1">
      <w:start w:val="1"/>
      <w:numFmt w:val="lowerLetter"/>
      <w:lvlText w:val="%5."/>
      <w:lvlJc w:val="left"/>
      <w:pPr>
        <w:tabs>
          <w:tab w:val="num" w:pos="3600"/>
        </w:tabs>
        <w:ind w:left="3600" w:hanging="360"/>
      </w:pPr>
      <w:rPr>
        <w:rFonts w:cs="Times New Roman"/>
      </w:rPr>
    </w:lvl>
    <w:lvl w:ilvl="5" w:tplc="BF7A48DC" w:tentative="1">
      <w:start w:val="1"/>
      <w:numFmt w:val="lowerRoman"/>
      <w:lvlText w:val="%6."/>
      <w:lvlJc w:val="right"/>
      <w:pPr>
        <w:tabs>
          <w:tab w:val="num" w:pos="4320"/>
        </w:tabs>
        <w:ind w:left="4320" w:hanging="180"/>
      </w:pPr>
      <w:rPr>
        <w:rFonts w:cs="Times New Roman"/>
      </w:rPr>
    </w:lvl>
    <w:lvl w:ilvl="6" w:tplc="B742CE6A" w:tentative="1">
      <w:start w:val="1"/>
      <w:numFmt w:val="decimal"/>
      <w:lvlText w:val="%7."/>
      <w:lvlJc w:val="left"/>
      <w:pPr>
        <w:tabs>
          <w:tab w:val="num" w:pos="5040"/>
        </w:tabs>
        <w:ind w:left="5040" w:hanging="360"/>
      </w:pPr>
      <w:rPr>
        <w:rFonts w:cs="Times New Roman"/>
      </w:rPr>
    </w:lvl>
    <w:lvl w:ilvl="7" w:tplc="71D0AE78" w:tentative="1">
      <w:start w:val="1"/>
      <w:numFmt w:val="lowerLetter"/>
      <w:lvlText w:val="%8."/>
      <w:lvlJc w:val="left"/>
      <w:pPr>
        <w:tabs>
          <w:tab w:val="num" w:pos="5760"/>
        </w:tabs>
        <w:ind w:left="5760" w:hanging="360"/>
      </w:pPr>
      <w:rPr>
        <w:rFonts w:cs="Times New Roman"/>
      </w:rPr>
    </w:lvl>
    <w:lvl w:ilvl="8" w:tplc="9C68D5B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2804B1C">
      <w:start w:val="1"/>
      <w:numFmt w:val="bullet"/>
      <w:lvlText w:val=""/>
      <w:lvlJc w:val="left"/>
      <w:pPr>
        <w:tabs>
          <w:tab w:val="num" w:pos="5760"/>
        </w:tabs>
        <w:ind w:left="5760" w:hanging="360"/>
      </w:pPr>
      <w:rPr>
        <w:rFonts w:ascii="Symbol" w:hAnsi="Symbol" w:hint="default"/>
        <w:color w:val="auto"/>
        <w:u w:val="none"/>
      </w:rPr>
    </w:lvl>
    <w:lvl w:ilvl="1" w:tplc="DB144896" w:tentative="1">
      <w:start w:val="1"/>
      <w:numFmt w:val="bullet"/>
      <w:lvlText w:val="o"/>
      <w:lvlJc w:val="left"/>
      <w:pPr>
        <w:tabs>
          <w:tab w:val="num" w:pos="3600"/>
        </w:tabs>
        <w:ind w:left="3600" w:hanging="360"/>
      </w:pPr>
      <w:rPr>
        <w:rFonts w:ascii="Courier New" w:hAnsi="Courier New" w:hint="default"/>
      </w:rPr>
    </w:lvl>
    <w:lvl w:ilvl="2" w:tplc="F0A47C42" w:tentative="1">
      <w:start w:val="1"/>
      <w:numFmt w:val="bullet"/>
      <w:lvlText w:val=""/>
      <w:lvlJc w:val="left"/>
      <w:pPr>
        <w:tabs>
          <w:tab w:val="num" w:pos="4320"/>
        </w:tabs>
        <w:ind w:left="4320" w:hanging="360"/>
      </w:pPr>
      <w:rPr>
        <w:rFonts w:ascii="Wingdings" w:hAnsi="Wingdings" w:hint="default"/>
      </w:rPr>
    </w:lvl>
    <w:lvl w:ilvl="3" w:tplc="512EACDE">
      <w:start w:val="1"/>
      <w:numFmt w:val="bullet"/>
      <w:lvlText w:val=""/>
      <w:lvlJc w:val="left"/>
      <w:pPr>
        <w:tabs>
          <w:tab w:val="num" w:pos="5040"/>
        </w:tabs>
        <w:ind w:left="5040" w:hanging="360"/>
      </w:pPr>
      <w:rPr>
        <w:rFonts w:ascii="Symbol" w:hAnsi="Symbol" w:hint="default"/>
      </w:rPr>
    </w:lvl>
    <w:lvl w:ilvl="4" w:tplc="66FC6CB4" w:tentative="1">
      <w:start w:val="1"/>
      <w:numFmt w:val="bullet"/>
      <w:lvlText w:val="o"/>
      <w:lvlJc w:val="left"/>
      <w:pPr>
        <w:tabs>
          <w:tab w:val="num" w:pos="5760"/>
        </w:tabs>
        <w:ind w:left="5760" w:hanging="360"/>
      </w:pPr>
      <w:rPr>
        <w:rFonts w:ascii="Courier New" w:hAnsi="Courier New" w:hint="default"/>
      </w:rPr>
    </w:lvl>
    <w:lvl w:ilvl="5" w:tplc="8D4E90CC" w:tentative="1">
      <w:start w:val="1"/>
      <w:numFmt w:val="bullet"/>
      <w:lvlText w:val=""/>
      <w:lvlJc w:val="left"/>
      <w:pPr>
        <w:tabs>
          <w:tab w:val="num" w:pos="6480"/>
        </w:tabs>
        <w:ind w:left="6480" w:hanging="360"/>
      </w:pPr>
      <w:rPr>
        <w:rFonts w:ascii="Wingdings" w:hAnsi="Wingdings" w:hint="default"/>
      </w:rPr>
    </w:lvl>
    <w:lvl w:ilvl="6" w:tplc="87D45582" w:tentative="1">
      <w:start w:val="1"/>
      <w:numFmt w:val="bullet"/>
      <w:lvlText w:val=""/>
      <w:lvlJc w:val="left"/>
      <w:pPr>
        <w:tabs>
          <w:tab w:val="num" w:pos="7200"/>
        </w:tabs>
        <w:ind w:left="7200" w:hanging="360"/>
      </w:pPr>
      <w:rPr>
        <w:rFonts w:ascii="Symbol" w:hAnsi="Symbol" w:hint="default"/>
      </w:rPr>
    </w:lvl>
    <w:lvl w:ilvl="7" w:tplc="CE4CE87C" w:tentative="1">
      <w:start w:val="1"/>
      <w:numFmt w:val="bullet"/>
      <w:lvlText w:val="o"/>
      <w:lvlJc w:val="left"/>
      <w:pPr>
        <w:tabs>
          <w:tab w:val="num" w:pos="7920"/>
        </w:tabs>
        <w:ind w:left="7920" w:hanging="360"/>
      </w:pPr>
      <w:rPr>
        <w:rFonts w:ascii="Courier New" w:hAnsi="Courier New" w:hint="default"/>
      </w:rPr>
    </w:lvl>
    <w:lvl w:ilvl="8" w:tplc="6BD2E05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F544628">
      <w:start w:val="1"/>
      <w:numFmt w:val="decimal"/>
      <w:lvlText w:val="(%1)"/>
      <w:lvlJc w:val="left"/>
      <w:pPr>
        <w:tabs>
          <w:tab w:val="num" w:pos="2520"/>
        </w:tabs>
        <w:ind w:left="2520" w:hanging="720"/>
      </w:pPr>
      <w:rPr>
        <w:rFonts w:cs="Times New Roman" w:hint="default"/>
      </w:rPr>
    </w:lvl>
    <w:lvl w:ilvl="1" w:tplc="C804E1D0">
      <w:start w:val="1"/>
      <w:numFmt w:val="lowerRoman"/>
      <w:lvlText w:val="(%2)"/>
      <w:lvlJc w:val="left"/>
      <w:pPr>
        <w:tabs>
          <w:tab w:val="num" w:pos="1800"/>
        </w:tabs>
        <w:ind w:left="1800" w:hanging="720"/>
      </w:pPr>
      <w:rPr>
        <w:rFonts w:cs="Times New Roman" w:hint="default"/>
        <w:b w:val="0"/>
      </w:rPr>
    </w:lvl>
    <w:lvl w:ilvl="2" w:tplc="71E4AF62">
      <w:start w:val="1"/>
      <w:numFmt w:val="decimal"/>
      <w:lvlText w:val="(%3)"/>
      <w:lvlJc w:val="right"/>
      <w:pPr>
        <w:tabs>
          <w:tab w:val="num" w:pos="2160"/>
        </w:tabs>
        <w:ind w:left="2160" w:hanging="180"/>
      </w:pPr>
      <w:rPr>
        <w:rFonts w:ascii="Times New Roman" w:eastAsia="Times New Roman" w:hAnsi="Times New Roman" w:cs="Times New Roman"/>
        <w:b w:val="0"/>
      </w:rPr>
    </w:lvl>
    <w:lvl w:ilvl="3" w:tplc="F468DE72">
      <w:start w:val="1"/>
      <w:numFmt w:val="lowerRoman"/>
      <w:lvlText w:val="(%4)"/>
      <w:lvlJc w:val="left"/>
      <w:pPr>
        <w:tabs>
          <w:tab w:val="num" w:pos="2520"/>
        </w:tabs>
        <w:ind w:left="2880" w:hanging="360"/>
      </w:pPr>
      <w:rPr>
        <w:rFonts w:cs="Times New Roman" w:hint="default"/>
        <w:b w:val="0"/>
      </w:rPr>
    </w:lvl>
    <w:lvl w:ilvl="4" w:tplc="5860CB8C" w:tentative="1">
      <w:start w:val="1"/>
      <w:numFmt w:val="lowerLetter"/>
      <w:lvlText w:val="%5."/>
      <w:lvlJc w:val="left"/>
      <w:pPr>
        <w:tabs>
          <w:tab w:val="num" w:pos="3600"/>
        </w:tabs>
        <w:ind w:left="3600" w:hanging="360"/>
      </w:pPr>
      <w:rPr>
        <w:rFonts w:cs="Times New Roman"/>
      </w:rPr>
    </w:lvl>
    <w:lvl w:ilvl="5" w:tplc="43AC88BC" w:tentative="1">
      <w:start w:val="1"/>
      <w:numFmt w:val="lowerRoman"/>
      <w:lvlText w:val="%6."/>
      <w:lvlJc w:val="right"/>
      <w:pPr>
        <w:tabs>
          <w:tab w:val="num" w:pos="4320"/>
        </w:tabs>
        <w:ind w:left="4320" w:hanging="180"/>
      </w:pPr>
      <w:rPr>
        <w:rFonts w:cs="Times New Roman"/>
      </w:rPr>
    </w:lvl>
    <w:lvl w:ilvl="6" w:tplc="041E6B9C" w:tentative="1">
      <w:start w:val="1"/>
      <w:numFmt w:val="decimal"/>
      <w:lvlText w:val="%7."/>
      <w:lvlJc w:val="left"/>
      <w:pPr>
        <w:tabs>
          <w:tab w:val="num" w:pos="5040"/>
        </w:tabs>
        <w:ind w:left="5040" w:hanging="360"/>
      </w:pPr>
      <w:rPr>
        <w:rFonts w:cs="Times New Roman"/>
      </w:rPr>
    </w:lvl>
    <w:lvl w:ilvl="7" w:tplc="A2BA3D94" w:tentative="1">
      <w:start w:val="1"/>
      <w:numFmt w:val="lowerLetter"/>
      <w:lvlText w:val="%8."/>
      <w:lvlJc w:val="left"/>
      <w:pPr>
        <w:tabs>
          <w:tab w:val="num" w:pos="5760"/>
        </w:tabs>
        <w:ind w:left="5760" w:hanging="360"/>
      </w:pPr>
      <w:rPr>
        <w:rFonts w:cs="Times New Roman"/>
      </w:rPr>
    </w:lvl>
    <w:lvl w:ilvl="8" w:tplc="AF3E540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065C96"/>
    <w:rsid w:val="00065C96"/>
    <w:rsid w:val="007C1B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2020-08-07T21:20:00Z</dcterms:created>
  <dcterms:modified xsi:type="dcterms:W3CDTF">2020-08-07T21:20:00Z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