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3909C1">
      <w:pPr>
        <w:pStyle w:val="Heading2"/>
      </w:pPr>
      <w:bookmarkStart w:id="0" w:name="_Toc263408322"/>
      <w:r>
        <w:t>17.5</w:t>
      </w:r>
      <w:r>
        <w:tab/>
        <w:t>Congestion Settlements Related To the Day-Ahead Market and TCC Auction Settlements</w:t>
      </w:r>
      <w:bookmarkEnd w:id="0"/>
    </w:p>
    <w:p w:rsidR="00916DF8" w:rsidRDefault="003909C1">
      <w:pPr>
        <w:pStyle w:val="Heading3"/>
      </w:pPr>
      <w:bookmarkStart w:id="1" w:name="_Toc263408323"/>
      <w:r>
        <w:t>17.5.1</w:t>
      </w:r>
      <w:r>
        <w:tab/>
        <w:t>Overview and Definitions</w:t>
      </w:r>
      <w:bookmarkEnd w:id="1"/>
    </w:p>
    <w:p w:rsidR="00916DF8" w:rsidRDefault="003909C1">
      <w:pPr>
        <w:pStyle w:val="Heading4"/>
      </w:pPr>
      <w:bookmarkStart w:id="2" w:name="_Toc263408324"/>
      <w:r>
        <w:t>17.5.1.1</w:t>
      </w:r>
      <w:r>
        <w:tab/>
        <w:t>Overview</w:t>
      </w:r>
      <w:bookmarkEnd w:id="2"/>
    </w:p>
    <w:p w:rsidR="00916DF8" w:rsidRDefault="003909C1">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3909C1">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916DF8" w:rsidRDefault="003909C1">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916DF8" w:rsidRDefault="003909C1">
      <w:pPr>
        <w:pStyle w:val="Bodypara"/>
      </w:pPr>
      <w:r>
        <w:t>Provisions of this Part 17.5 of this Attachment B applicable to a transmission facility outage or return-to-service shall not apply to a transmission facility derating or uprating.  Charges and payments under this Part 17.5 of this Attachment B shal</w:t>
      </w:r>
      <w:r>
        <w:t>l be made to a Transmission Owner for a transmission facility derating or uprating only as specified in Sections 17.5.2.4.3 and 17.5.3.6.3.</w:t>
      </w:r>
    </w:p>
    <w:p w:rsidR="00916DF8" w:rsidRDefault="003909C1">
      <w:pPr>
        <w:pStyle w:val="Heading4"/>
      </w:pPr>
      <w:bookmarkStart w:id="3" w:name="_Toc263408325"/>
      <w:r>
        <w:t>17.5.1.2</w:t>
      </w:r>
      <w:r>
        <w:tab/>
        <w:t>Defined Terms Used in Part 17.5 of this Attachment B</w:t>
      </w:r>
      <w:bookmarkEnd w:id="3"/>
    </w:p>
    <w:p w:rsidR="00916DF8" w:rsidRDefault="003909C1">
      <w:pPr>
        <w:pStyle w:val="Bodypara"/>
      </w:pPr>
      <w:r>
        <w:t>Capitalized terms used in this Part 17.5 of this Attac</w:t>
      </w:r>
      <w:r>
        <w:t>hment B shall have the meaning specified below in this Section 17.5.1.2, and capitalized terms used in this Part 17.5 of this Attachment B but not defined below shall have the meaning given to them in Section 2 of the Services Tariff:</w:t>
      </w:r>
    </w:p>
    <w:p w:rsidR="00916DF8" w:rsidRDefault="003909C1">
      <w:pPr>
        <w:pStyle w:val="Definition"/>
      </w:pPr>
      <w:r>
        <w:rPr>
          <w:b/>
        </w:rPr>
        <w:t>Actual Qualifying Auc</w:t>
      </w:r>
      <w:r>
        <w:rPr>
          <w:b/>
        </w:rPr>
        <w:t xml:space="preserve">tion Derating: </w:t>
      </w:r>
      <w:r>
        <w:t>As defined in Section 17.5.3.6.3.1.</w:t>
      </w:r>
    </w:p>
    <w:p w:rsidR="00916DF8" w:rsidRDefault="003909C1">
      <w:pPr>
        <w:pStyle w:val="Definition"/>
      </w:pPr>
      <w:r>
        <w:rPr>
          <w:b/>
        </w:rPr>
        <w:t xml:space="preserve">Actual Qualifying Auction Outage: </w:t>
      </w:r>
      <w:r>
        <w:t>As defined in Section 17.5.3.6.2.1.</w:t>
      </w:r>
    </w:p>
    <w:p w:rsidR="00916DF8" w:rsidRDefault="003909C1">
      <w:pPr>
        <w:pStyle w:val="Definition"/>
      </w:pPr>
      <w:r>
        <w:rPr>
          <w:b/>
        </w:rPr>
        <w:t xml:space="preserve">Actual Qualifying Auction Return-to-Service: </w:t>
      </w:r>
      <w:r>
        <w:t>As defined in Section 17.5.3.6.2.1.</w:t>
      </w:r>
    </w:p>
    <w:p w:rsidR="00916DF8" w:rsidRDefault="003909C1">
      <w:pPr>
        <w:pStyle w:val="Definition"/>
      </w:pPr>
      <w:r>
        <w:rPr>
          <w:b/>
        </w:rPr>
        <w:t>Actual Qualifying Auction Uprating:</w:t>
      </w:r>
      <w:r>
        <w:t xml:space="preserve"> As defined in Sect</w:t>
      </w:r>
      <w:r>
        <w:t>ion 17.5.3.6.3.1.</w:t>
      </w:r>
    </w:p>
    <w:p w:rsidR="00916DF8" w:rsidRDefault="003909C1">
      <w:pPr>
        <w:pStyle w:val="Definition"/>
      </w:pPr>
      <w:r>
        <w:rPr>
          <w:b/>
        </w:rPr>
        <w:t xml:space="preserve">Actual Qualifying DAM Derating: </w:t>
      </w:r>
      <w:r>
        <w:t>As defined in Section 17.5.2.4.3.1.</w:t>
      </w:r>
    </w:p>
    <w:p w:rsidR="00916DF8" w:rsidRDefault="003909C1">
      <w:pPr>
        <w:pStyle w:val="Definition"/>
      </w:pPr>
      <w:r>
        <w:rPr>
          <w:b/>
        </w:rPr>
        <w:t xml:space="preserve">Actual Qualifying DAM Outage: </w:t>
      </w:r>
      <w:r>
        <w:t>As defined in Section 17.5.2.4.2.1.</w:t>
      </w:r>
    </w:p>
    <w:p w:rsidR="00916DF8" w:rsidRDefault="003909C1">
      <w:pPr>
        <w:pStyle w:val="Definition"/>
      </w:pPr>
      <w:r>
        <w:rPr>
          <w:b/>
        </w:rPr>
        <w:t xml:space="preserve">Actual Qualifying DAM Return-to-Service: </w:t>
      </w:r>
      <w:r>
        <w:t>As defined in Section 17.5.2.4.2.1.</w:t>
      </w:r>
    </w:p>
    <w:p w:rsidR="00916DF8" w:rsidRDefault="003909C1">
      <w:pPr>
        <w:pStyle w:val="Definition"/>
      </w:pPr>
      <w:r>
        <w:rPr>
          <w:b/>
        </w:rPr>
        <w:t>Actual Qualifying DAM Uprat</w:t>
      </w:r>
      <w:r>
        <w:rPr>
          <w:b/>
        </w:rPr>
        <w:t xml:space="preserve">ing: </w:t>
      </w:r>
      <w:r>
        <w:t>As defined in Section 17.5.2.4.3.1.</w:t>
      </w:r>
    </w:p>
    <w:p w:rsidR="00916DF8" w:rsidRDefault="003909C1">
      <w:pPr>
        <w:pStyle w:val="Definition"/>
      </w:pPr>
      <w:r>
        <w:rPr>
          <w:b/>
        </w:rPr>
        <w:t>Auction Status Change: Any of the following:</w:t>
      </w:r>
      <w:r>
        <w:t xml:space="preserve"> Qualifying Auction Outage, Qualifying Auction Derating, Qualifying Auction Return-to-Service, or Qualifying Auction Uprating.</w:t>
      </w:r>
    </w:p>
    <w:p w:rsidR="00916DF8" w:rsidRDefault="003909C1">
      <w:pPr>
        <w:pStyle w:val="Definition"/>
      </w:pPr>
      <w:r>
        <w:rPr>
          <w:b/>
        </w:rPr>
        <w:t>Centralized TCC Auction Interface Uprate/Der</w:t>
      </w:r>
      <w:r>
        <w:rPr>
          <w:b/>
        </w:rPr>
        <w:t xml:space="preserve">ate Table: </w:t>
      </w:r>
      <w:r>
        <w:t xml:space="preserve"> The interface derate table posted on the ISO website prior to a given Centralized TCC Auction specifying the impact on transfer limits of Qualifying DAM Outages and Qualifying DAM Returns-to-Service for a sub-auction of a Centralized TCC Auctio</w:t>
      </w:r>
      <w:r>
        <w:t>n.</w:t>
      </w:r>
    </w:p>
    <w:p w:rsidR="00916DF8" w:rsidRDefault="003909C1">
      <w:pPr>
        <w:pStyle w:val="Definition"/>
      </w:pPr>
      <w:r>
        <w:rPr>
          <w:b/>
        </w:rPr>
        <w:t xml:space="preserve">DAM Constraint Residual: </w:t>
      </w:r>
      <w:r>
        <w:t>The dollar value associated with a Constraint that is binding for an hour of the Day-Ahead Market, which is calculated pursuant to Section 17.5.2.4.1.</w:t>
      </w:r>
    </w:p>
    <w:p w:rsidR="00916DF8" w:rsidRDefault="003909C1">
      <w:pPr>
        <w:pStyle w:val="Definition"/>
      </w:pPr>
      <w:r>
        <w:rPr>
          <w:b/>
        </w:rPr>
        <w:t xml:space="preserve">DAM Status Change: </w:t>
      </w:r>
      <w:r>
        <w:t>Any of the following: Qualifying DAM Outage, Qualifying DA</w:t>
      </w:r>
      <w:r>
        <w:t>M Derating, Qualifying DAM Return-to-Service, or Qualifying DAM Uprating.</w:t>
      </w:r>
    </w:p>
    <w:p w:rsidR="00916DF8" w:rsidRDefault="003909C1">
      <w:pPr>
        <w:pStyle w:val="Definition"/>
      </w:pPr>
      <w:r>
        <w:rPr>
          <w:b/>
        </w:rPr>
        <w:t>DCR Allocation Threshold:</w:t>
      </w:r>
      <w:r>
        <w:t xml:space="preserve">  Five thousand dollars ($5,000), except that this amount shall be reduced for any given month to the extent necessary so that the sum of all DAM Constraint </w:t>
      </w:r>
      <w:r>
        <w:t>Residuals for the month (for all binding constraints and for all hours of the month) that are less than the DCR Allocation Threshold is not greater than either two hundred and fifty thousand dollars ($250,000) or five percent (5%) of the sum of all DAM Con</w:t>
      </w:r>
      <w:r>
        <w:t>straint Residuals for the month (for all binding constraints and for all hours of the month) that would have been calculated if the DCR Allocation Threshold were set equal to zero.</w:t>
      </w:r>
    </w:p>
    <w:p w:rsidR="00916DF8" w:rsidRDefault="003909C1">
      <w:pPr>
        <w:pStyle w:val="Definition"/>
      </w:pPr>
      <w:r>
        <w:rPr>
          <w:b/>
        </w:rPr>
        <w:t xml:space="preserve">Deemed Qualifying Auction Derating: </w:t>
      </w:r>
      <w:r>
        <w:t>As defined in Section 17.5.3.6.3.1.</w:t>
      </w:r>
    </w:p>
    <w:p w:rsidR="00916DF8" w:rsidRDefault="003909C1">
      <w:pPr>
        <w:pStyle w:val="Definition"/>
      </w:pPr>
      <w:r>
        <w:rPr>
          <w:b/>
        </w:rPr>
        <w:t>Dee</w:t>
      </w:r>
      <w:r>
        <w:rPr>
          <w:b/>
        </w:rPr>
        <w:t xml:space="preserve">med Qualifying Auction Outage: </w:t>
      </w:r>
      <w:r>
        <w:t>As defined in Section 17.5.3.6.2.1.</w:t>
      </w:r>
    </w:p>
    <w:p w:rsidR="00916DF8" w:rsidRDefault="003909C1">
      <w:pPr>
        <w:pStyle w:val="Definition"/>
      </w:pPr>
      <w:r>
        <w:rPr>
          <w:b/>
        </w:rPr>
        <w:t xml:space="preserve">Deemed Qualifying Auction Return-to-Service: </w:t>
      </w:r>
      <w:r>
        <w:t>As defined in Section 17.5.3.6.2.1.</w:t>
      </w:r>
    </w:p>
    <w:p w:rsidR="00916DF8" w:rsidRDefault="003909C1">
      <w:pPr>
        <w:pStyle w:val="Definition"/>
      </w:pPr>
      <w:r>
        <w:rPr>
          <w:b/>
        </w:rPr>
        <w:t xml:space="preserve">Deemed Qualifying Auction Uprating: </w:t>
      </w:r>
      <w:r>
        <w:t>As defined in Section 17.5.3.6.3.1.</w:t>
      </w:r>
    </w:p>
    <w:p w:rsidR="00916DF8" w:rsidRDefault="003909C1">
      <w:pPr>
        <w:pStyle w:val="Definition"/>
      </w:pPr>
      <w:r>
        <w:rPr>
          <w:b/>
        </w:rPr>
        <w:t>Deemed ISO-Directed Auction Status C</w:t>
      </w:r>
      <w:r>
        <w:rPr>
          <w:b/>
        </w:rPr>
        <w:t xml:space="preserve">hange: </w:t>
      </w:r>
      <w:r>
        <w:t>Any of the following: (1) an Actual Qualifying Auction Return-to-Service for a Reconfiguration Auction that occurs for a transmission facility that, in the last 6-month sub-auction held for TCCs valid during the month corresponding to the relevant R</w:t>
      </w:r>
      <w:r>
        <w:t>econfiguration Auction, was a Qualifying Auction Outage that qualified as an ISO-Directed Auction Status Change; (2) an Actual Qualifying Auction Uprating for a Reconfiguration Auction that occurs as a result of an Actual Qualifying Auction Outage or an Ac</w:t>
      </w:r>
      <w:r>
        <w:t>tual Qualifying Auction Return-to-Service of a transmission facility that, in the last 6-month sub-auction held for TCCs valid during the month corresponding to the relevant Reconfiguration Auction, qualified as a Qualifying Auction Outage or Qualifying Au</w:t>
      </w:r>
      <w:r>
        <w:t>ction Return-to-Service that was an ISO-Directed Auction Status Change; or (3) an Actual Qualifying Auction Derating for a Reconfiguration Auction that occurs as a result of an Actual Qualifying Auction Outage or an Actual Qualifying Auction Return-to-Serv</w:t>
      </w:r>
      <w:r>
        <w:t>ice of a transmission facility that, in the last 6-month sub-auction held for TCCs valid during the month corresponding to the relevant Reconfiguration Auction, qualified as an Actual Qualifying Auction Outage or an Actual Qualifying Auction Return-to-Serv</w:t>
      </w:r>
      <w:r>
        <w:t>ice that was an ISO-Directed Auction Status Change.</w:t>
      </w:r>
    </w:p>
    <w:p w:rsidR="00916DF8" w:rsidRDefault="003909C1">
      <w:pPr>
        <w:pStyle w:val="Definition"/>
      </w:pPr>
      <w:r>
        <w:rPr>
          <w:b/>
        </w:rPr>
        <w:t xml:space="preserve">Deemed ISO-Directed DAM Status Change: </w:t>
      </w:r>
      <w:r>
        <w:t>Any of the following: (1) an Actual Qualifying DAM Return-to-Service for an hour of the Day-Ahead Market that occurs for a transmission facility that, in the last Re</w:t>
      </w:r>
      <w:r>
        <w:t>configuration Auction held for TCCs valid for the relevant hour or the last 6-month sub-auction of a Centralized TCC Auction held for TCCs valid for the relevant hour, was an Actual Qualifying Auction Outage that qualified as an ISO-Directed Auction Status</w:t>
      </w:r>
      <w:r>
        <w:t xml:space="preserve"> Change; (2) an Actual Qualifying DAM Uprating for an hour of the Day-Ahead Market that occurs for a transmission facility that, in the last Reconfiguration Auction held for TCCs valid for the relevant hour or the last 6-month sub-auction of a Centralized </w:t>
      </w:r>
      <w:r>
        <w:t>TCC Auction held for TCCs valid for the relevant hour, qualified as an Actual Qualifying Auction Outage or an Actual Qualifying Auction Return-to-Service that was an ISO-Directed Auction Status Change; or (3) an Actual Qualifying DAM Derating for an hour o</w:t>
      </w:r>
      <w:r>
        <w:t>f the Day-Ahead Market that occurs for a transmission facility that, in the last Reconfiguration Auction held for TCCs valid for the relevant hour or the last 6-month sub-auction of a Centralized TCC Auction held for TCCs valid for the relevant hour, quali</w:t>
      </w:r>
      <w:r>
        <w:t>fied as an Actual Qualifying Auction Outage or an Actual Qualifying Auction Return-to-Service that was an ISO-Directed Auction Status Change.  (The terms "Actual Qualifying Auction Outage" and "ISO-Directed Auction Status Change" shall, if not defined in t</w:t>
      </w:r>
      <w:r>
        <w:t>his Section 17.5.1.2, have the meaning given in the ISO's March 17, 2006, filing.)</w:t>
      </w:r>
    </w:p>
    <w:p w:rsidR="00916DF8" w:rsidRDefault="003909C1">
      <w:pPr>
        <w:pStyle w:val="Definition"/>
      </w:pPr>
      <w:r>
        <w:rPr>
          <w:b/>
        </w:rPr>
        <w:t xml:space="preserve">Deemed Qualifying DAM Derating: </w:t>
      </w:r>
      <w:r>
        <w:t>As defined in Section 17.5.2.4.3.1.</w:t>
      </w:r>
    </w:p>
    <w:p w:rsidR="00916DF8" w:rsidRDefault="003909C1">
      <w:pPr>
        <w:pStyle w:val="Definition"/>
      </w:pPr>
      <w:r>
        <w:rPr>
          <w:b/>
        </w:rPr>
        <w:t xml:space="preserve">Deemed Qualifying DAM Outage: </w:t>
      </w:r>
      <w:r>
        <w:t>As defined in Section 17.5.2.4.2.1.</w:t>
      </w:r>
    </w:p>
    <w:p w:rsidR="00916DF8" w:rsidRDefault="003909C1">
      <w:pPr>
        <w:pStyle w:val="Definition"/>
      </w:pPr>
      <w:r>
        <w:rPr>
          <w:b/>
        </w:rPr>
        <w:t xml:space="preserve">Deemed Qualifying DAM Return-to-Service: </w:t>
      </w:r>
      <w:r>
        <w:t>As defined in Section 17.5.2.4.2.1.</w:t>
      </w:r>
    </w:p>
    <w:p w:rsidR="00916DF8" w:rsidRDefault="003909C1">
      <w:pPr>
        <w:pStyle w:val="Definition"/>
      </w:pPr>
      <w:r>
        <w:rPr>
          <w:b/>
        </w:rPr>
        <w:t xml:space="preserve">Deemed Qualifying DAM Uprating: </w:t>
      </w:r>
      <w:r>
        <w:t>As defined in Section 17.5.2.4.3.1.</w:t>
      </w:r>
    </w:p>
    <w:p w:rsidR="00916DF8" w:rsidRDefault="003909C1">
      <w:pPr>
        <w:pStyle w:val="Definition"/>
      </w:pPr>
      <w:r>
        <w:rPr>
          <w:b/>
        </w:rPr>
        <w:t xml:space="preserve">ISO-Directed Auction Status Change: Either of the following: </w:t>
      </w:r>
      <w:r>
        <w:t>(1) an Actual Qualifying Auction Outage for a Reco</w:t>
      </w:r>
      <w:r>
        <w:t xml:space="preserve">nfiguration Auction or a round of a Centralized TCC Auction that is directed by the ISO or results from an Actual Qualifying Auction Outage or an Actual Qualifying Auction Return-to-Service directed by the ISO; or (2) an Actual Qualifying Auction Derating </w:t>
      </w:r>
      <w:r>
        <w:t>or an Actual Qualifying Auction Uprating for a Reconfiguration Auction or a round of a Centralized TCC Auction that results from an Actual Qualifying Auction Outage directed by the ISO.</w:t>
      </w:r>
    </w:p>
    <w:p w:rsidR="00916DF8" w:rsidRDefault="003909C1">
      <w:pPr>
        <w:pStyle w:val="Definition"/>
      </w:pPr>
      <w:r>
        <w:rPr>
          <w:b/>
        </w:rPr>
        <w:t xml:space="preserve">ISO-Directed DAM Status Change: Either of the following: </w:t>
      </w:r>
      <w:r>
        <w:t>(1) an Actual</w:t>
      </w:r>
      <w:r>
        <w:t xml:space="preserve"> Qualifying DAM Outage for an hour of the Day-Ahead Market that is directed by the ISO or results from an Actual Qualifying DAM Outage or an Actual Qualifying DAM Return-to-Service directed by the ISO; or (2) an Actual Qualifying DAM Derating or an Actual </w:t>
      </w:r>
      <w:r>
        <w:t>Qualifying DAM Uprating for an hour of the Day-Ahead Market that results from an Actual Qualifying DAM Outage directed by the ISO.</w:t>
      </w:r>
    </w:p>
    <w:p w:rsidR="00916DF8" w:rsidRDefault="003909C1">
      <w:pPr>
        <w:pStyle w:val="Definition"/>
      </w:pPr>
      <w:r>
        <w:rPr>
          <w:b/>
        </w:rPr>
        <w:t xml:space="preserve">Normally Out-of-Service Equipment:  </w:t>
      </w:r>
      <w:r>
        <w:t xml:space="preserve">Transmission facilities that are normally operated as out-of-service by mutual agreement </w:t>
      </w:r>
      <w:r>
        <w:t>of the transmission facility owner and the ISO and that appear on the list of such equipment posted on the ISO website.</w:t>
      </w:r>
    </w:p>
    <w:p w:rsidR="00916DF8" w:rsidRDefault="003909C1">
      <w:pPr>
        <w:pStyle w:val="Definition"/>
      </w:pPr>
      <w:r>
        <w:rPr>
          <w:b/>
        </w:rPr>
        <w:t xml:space="preserve">Outage/Return-to-Service Auction Constraint Residual (“O/R-t-S Auction Constraint Residual”): </w:t>
      </w:r>
      <w:r>
        <w:t>The portion of an Auction Constraint Resid</w:t>
      </w:r>
      <w:r>
        <w:t>ual that is deemed to be attributable to Qualifying Auction Outages or Qualifying Auction Returns-to-Service, which O/R-t-S Auction Constraint Residual shall be calculated pursuant to Section 17.5.3.6.1.</w:t>
      </w:r>
    </w:p>
    <w:p w:rsidR="00916DF8" w:rsidRDefault="003909C1">
      <w:pPr>
        <w:pStyle w:val="Definition"/>
        <w:rPr>
          <w:color w:val="000000"/>
        </w:rPr>
      </w:pPr>
      <w:bookmarkStart w:id="4" w:name="_DV_C41"/>
      <w:r>
        <w:rPr>
          <w:b/>
        </w:rPr>
        <w:t xml:space="preserve">Outage/Return-to-Service Auction Revenue Shortfall </w:t>
      </w:r>
      <w:r>
        <w:rPr>
          <w:b/>
        </w:rPr>
        <w:t>Charge (“O/R-t-S Auction Revenue Shortfall Charge”):</w:t>
      </w:r>
      <w:r>
        <w:t xml:space="preserve">  A charge to a Transmission Owner that is created as a result of the allocation of an O/R-t-S Auction Constraint Residual pursuant to Section 17.5.3.6.2.</w:t>
      </w:r>
      <w:bookmarkEnd w:id="4"/>
    </w:p>
    <w:p w:rsidR="00916DF8" w:rsidRDefault="003909C1">
      <w:pPr>
        <w:pStyle w:val="Definition"/>
      </w:pPr>
      <w:bookmarkStart w:id="5" w:name="_DV_C42"/>
      <w:r>
        <w:rPr>
          <w:b/>
        </w:rPr>
        <w:t xml:space="preserve">Outage/Return-to-Service Auction Revenue Surplus </w:t>
      </w:r>
      <w:r>
        <w:rPr>
          <w:b/>
        </w:rPr>
        <w:t xml:space="preserve">Payment (“O/R-t-S Auction Revenue Surplus Payment”): </w:t>
      </w:r>
      <w:r>
        <w:t xml:space="preserve"> A payment to a Transmission Owner that is created as a result of the allocation of an O/R-t-S Auction Constraint Residual pursuant to Section 17.5.3.6.2.</w:t>
      </w:r>
      <w:bookmarkEnd w:id="5"/>
    </w:p>
    <w:p w:rsidR="00916DF8" w:rsidRDefault="003909C1">
      <w:pPr>
        <w:pStyle w:val="Definition"/>
      </w:pPr>
      <w:r>
        <w:rPr>
          <w:b/>
        </w:rPr>
        <w:t>Outage/Return-to-Service Congestion Rent Shortfa</w:t>
      </w:r>
      <w:r>
        <w:rPr>
          <w:b/>
        </w:rPr>
        <w:t>ll Charge (“O/R-t-S Congestion Rent Shortfall Charge”):</w:t>
      </w:r>
      <w:r>
        <w:t xml:space="preserve">  A charge to a Transmission Owner that is created as a result of the allocation of an O/R-t-S DAM Constraint Residual pursuant to Section 17.5.2.4.2.</w:t>
      </w:r>
    </w:p>
    <w:p w:rsidR="00916DF8" w:rsidRDefault="003909C1">
      <w:pPr>
        <w:pStyle w:val="Definition"/>
      </w:pPr>
      <w:r>
        <w:rPr>
          <w:b/>
        </w:rPr>
        <w:t>Outage/Return-to-Service Congestion Rent Surplus P</w:t>
      </w:r>
      <w:r>
        <w:rPr>
          <w:b/>
        </w:rPr>
        <w:t xml:space="preserve">ayment (“O/R-t-S Congestion Rent Surplus Payment”):  </w:t>
      </w:r>
      <w:r>
        <w:t>A payment to a Transmission Owner that is created as a result of the allocation of an O/R-t-S DAM Constraint Residual pursuant to Section 17.5.2.4.2.</w:t>
      </w:r>
    </w:p>
    <w:p w:rsidR="00916DF8" w:rsidRDefault="003909C1">
      <w:pPr>
        <w:pStyle w:val="Definition"/>
      </w:pPr>
      <w:r>
        <w:rPr>
          <w:b/>
        </w:rPr>
        <w:t>Outage/Return-to-Service DAM Constraint Residual (“O/</w:t>
      </w:r>
      <w:r>
        <w:rPr>
          <w:b/>
        </w:rPr>
        <w:t>R-t-S DAM Constraint Residual”):</w:t>
      </w:r>
      <w:r>
        <w:t xml:space="preserve">  The portion of a DAM Constraint Residual that is deemed to be attributable to Qualifying DAM Outages or Qualifying DAM Returns-to-Service, which O/R-t-S DAM Constraint Residual shall be calculated pursuant to Section 17.5.</w:t>
      </w:r>
      <w:r>
        <w:t>2.4.1.</w:t>
      </w:r>
    </w:p>
    <w:p w:rsidR="00916DF8" w:rsidRDefault="003909C1">
      <w:pPr>
        <w:pStyle w:val="Definition"/>
      </w:pPr>
      <w:r>
        <w:rPr>
          <w:b/>
        </w:rPr>
        <w:t xml:space="preserve">Qualifying Auction Derating: </w:t>
      </w:r>
      <w:r>
        <w:t>As defined in Section 17.5.3.6.3.1.</w:t>
      </w:r>
    </w:p>
    <w:p w:rsidR="00916DF8" w:rsidRDefault="003909C1">
      <w:pPr>
        <w:pStyle w:val="Definition"/>
      </w:pPr>
      <w:r>
        <w:rPr>
          <w:b/>
        </w:rPr>
        <w:t xml:space="preserve">Qualifying Auction Outage: </w:t>
      </w:r>
      <w:r>
        <w:t>As defined in Section 17.5.3.6.2.1.</w:t>
      </w:r>
    </w:p>
    <w:p w:rsidR="00916DF8" w:rsidRDefault="003909C1">
      <w:pPr>
        <w:pStyle w:val="Definition"/>
      </w:pPr>
      <w:r>
        <w:rPr>
          <w:b/>
        </w:rPr>
        <w:t xml:space="preserve">Qualifying Auction Return-to-Service: </w:t>
      </w:r>
      <w:r>
        <w:t>As defined in Section 17.5.3.6.2.1.</w:t>
      </w:r>
    </w:p>
    <w:p w:rsidR="00916DF8" w:rsidRDefault="003909C1">
      <w:pPr>
        <w:pStyle w:val="Definition"/>
      </w:pPr>
      <w:r>
        <w:rPr>
          <w:b/>
        </w:rPr>
        <w:t xml:space="preserve">Qualifying Auction Uprating: </w:t>
      </w:r>
      <w:r>
        <w:t>As defined in Sect</w:t>
      </w:r>
      <w:r>
        <w:t>ion 17.53.6.3.1.</w:t>
      </w:r>
    </w:p>
    <w:p w:rsidR="00916DF8" w:rsidRDefault="003909C1">
      <w:pPr>
        <w:pStyle w:val="Definition"/>
      </w:pPr>
      <w:r>
        <w:rPr>
          <w:b/>
        </w:rPr>
        <w:t xml:space="preserve">Qualifying DAM Derating:  </w:t>
      </w:r>
      <w:r>
        <w:t>As defined in Section 17.5.2.4.3.1.</w:t>
      </w:r>
    </w:p>
    <w:p w:rsidR="00916DF8" w:rsidRDefault="003909C1">
      <w:pPr>
        <w:pStyle w:val="Definition"/>
      </w:pPr>
      <w:r>
        <w:rPr>
          <w:b/>
        </w:rPr>
        <w:t xml:space="preserve">Qualifying DAM Outage: </w:t>
      </w:r>
      <w:r>
        <w:t xml:space="preserve"> As defined in Section 17.5.2.4.2.1.</w:t>
      </w:r>
    </w:p>
    <w:p w:rsidR="00916DF8" w:rsidRDefault="003909C1">
      <w:pPr>
        <w:pStyle w:val="Definition"/>
      </w:pPr>
      <w:r>
        <w:rPr>
          <w:b/>
        </w:rPr>
        <w:t xml:space="preserve">Qualifying DAM Return-to-Service:  </w:t>
      </w:r>
      <w:r>
        <w:t>As defined in Section 17.5.2.4.2.1.</w:t>
      </w:r>
    </w:p>
    <w:p w:rsidR="00916DF8" w:rsidRDefault="003909C1">
      <w:pPr>
        <w:pStyle w:val="Definition"/>
      </w:pPr>
      <w:r>
        <w:rPr>
          <w:b/>
        </w:rPr>
        <w:t xml:space="preserve">Qualifying DAM Uprating:  </w:t>
      </w:r>
      <w:r>
        <w:t>As defined in Sectio</w:t>
      </w:r>
      <w:r>
        <w:t>n 17.5.2.4.3.1.</w:t>
      </w:r>
    </w:p>
    <w:p w:rsidR="00916DF8" w:rsidRDefault="003909C1">
      <w:pPr>
        <w:pStyle w:val="Definition"/>
      </w:pPr>
      <w:r>
        <w:rPr>
          <w:b/>
        </w:rPr>
        <w:t xml:space="preserve">Reconfiguration Auction Interface Uprate/Derate Table:  </w:t>
      </w:r>
      <w:r>
        <w:t>The interface derate table posted on the ISO website prior to a Reconfiguration Auction specifying the impact on transfer limits of Qualifying DAM Outages and Qualifying DAM Returns-to</w:t>
      </w:r>
      <w:r>
        <w:t>-Service for the Reconfiguration Auction.</w:t>
      </w:r>
    </w:p>
    <w:p w:rsidR="00916DF8" w:rsidRDefault="003909C1">
      <w:pPr>
        <w:pStyle w:val="Definition"/>
        <w:rPr>
          <w:color w:val="000000"/>
        </w:rPr>
      </w:pPr>
      <w:r>
        <w:rPr>
          <w:b/>
        </w:rPr>
        <w:t xml:space="preserve">Uprate/Derate Auction Constraint Residual (“U/D Auction Constraint Residual”): </w:t>
      </w:r>
      <w:r>
        <w:t>The portion of an Auction Constraint Residual that is deemed to be attributable to Qualifying Auction Deratings or Qualifying Auction U</w:t>
      </w:r>
      <w:r>
        <w:t>pratings, which U/D Auction Constraint Residual shall be calculated pursuant to Section 17.5.3.6.1.</w:t>
      </w:r>
    </w:p>
    <w:p w:rsidR="00916DF8" w:rsidRDefault="003909C1">
      <w:pPr>
        <w:pStyle w:val="Definition"/>
        <w:rPr>
          <w:color w:val="000000"/>
        </w:rPr>
      </w:pPr>
      <w:r>
        <w:rPr>
          <w:b/>
        </w:rPr>
        <w:t xml:space="preserve">Uprate/Derate Auction Revenue Shortfall Charge (“U/D Auction Revenue Shortfall Charge”):  </w:t>
      </w:r>
      <w:r>
        <w:t>A charge to a Transmission Owner that is created as a result of th</w:t>
      </w:r>
      <w:r>
        <w:t xml:space="preserve">e allocation of a U/D Auction Constraint Residual pursuant to Section 17.5.3.6.3. </w:t>
      </w:r>
    </w:p>
    <w:p w:rsidR="00916DF8" w:rsidRDefault="003909C1">
      <w:pPr>
        <w:pStyle w:val="Definition"/>
      </w:pPr>
      <w:r>
        <w:rPr>
          <w:b/>
        </w:rPr>
        <w:t xml:space="preserve">Uprate/Derate Auction Revenue Surplus Payment (“U/D Auction Revenue Surplus Payment”): </w:t>
      </w:r>
      <w:r>
        <w:t xml:space="preserve"> A payment to a Transmission Owner that is created as a result of the allocation of a </w:t>
      </w:r>
      <w:r>
        <w:t>U/D Auction Constraint Residual pursuant to Section 17.5.3.6.3.</w:t>
      </w:r>
    </w:p>
    <w:p w:rsidR="00916DF8" w:rsidRDefault="003909C1">
      <w:pPr>
        <w:pStyle w:val="Definition"/>
      </w:pPr>
      <w:r>
        <w:rPr>
          <w:b/>
        </w:rPr>
        <w:t>Uprate/Derate Congestion Rent Shortfall Charge (“U/D Congestion Rent Shortfall Charge”):</w:t>
      </w:r>
      <w:r>
        <w:t xml:space="preserve">  A charge to a Transmission Owner that is created as a result of the allocation of a U/D DAM Constraint</w:t>
      </w:r>
      <w:r>
        <w:t xml:space="preserve"> Residual pursuant to Section 17.5.2.4.3. </w:t>
      </w:r>
    </w:p>
    <w:p w:rsidR="00916DF8" w:rsidRDefault="003909C1">
      <w:pPr>
        <w:pStyle w:val="Definition"/>
      </w:pPr>
      <w:r>
        <w:rPr>
          <w:b/>
        </w:rPr>
        <w:t xml:space="preserve">Uprate/Derate Congestion Rent Surplus Payment (“U/D Congestion Rent Surplus Payment”): </w:t>
      </w:r>
      <w:r>
        <w:t xml:space="preserve"> A payment to a Transmission Owner that is created as a result of the allocation of a U/D DAM Constraint Residual pursuant to </w:t>
      </w:r>
      <w:r>
        <w:t>Section 17.5.2.4.3.</w:t>
      </w:r>
    </w:p>
    <w:p w:rsidR="00916DF8" w:rsidRDefault="003909C1">
      <w:pPr>
        <w:pStyle w:val="Definition"/>
      </w:pPr>
      <w:r>
        <w:rPr>
          <w:b/>
        </w:rPr>
        <w:t>Uprate/Derate DAM Constraint Residual (“U/D DAM Constraint Residual”):</w:t>
      </w:r>
      <w:r>
        <w:t xml:space="preserve">  The portion of a DAM Constraint Residual that is deemed to be attributable to a Qualifying DAM Derating or a Qualifying DAM Uprating, which U/D DAM Constraint Resid</w:t>
      </w:r>
      <w:r>
        <w:t>ual shall be calculated pursuant to Section 17.5.2.4.1.</w:t>
      </w:r>
    </w:p>
    <w:p w:rsidR="00916DF8" w:rsidRDefault="003909C1">
      <w:pPr>
        <w:pStyle w:val="Bodypara"/>
      </w:pPr>
      <w:r>
        <w:t>For purposes of this Part 17.5 of this Attachment B, the term “transmission facility” shall mean any transmission line, phase angle regulator, transformer, series reactor, circuit breaker, or other ty</w:t>
      </w:r>
      <w:r>
        <w:t>pe of transmission equipment.</w:t>
      </w:r>
    </w:p>
    <w:p w:rsidR="00916DF8" w:rsidRDefault="003909C1">
      <w:pPr>
        <w:pStyle w:val="Bodypara"/>
      </w:pPr>
      <w:r>
        <w:t>All references in this Part 17.5 of this Attachment B to sections shall be construed to be references to a section of this Part 17.5 of this Attachment B.</w:t>
      </w:r>
    </w:p>
    <w:p w:rsidR="00916DF8" w:rsidRDefault="003909C1">
      <w:pPr>
        <w:pStyle w:val="Heading3"/>
      </w:pPr>
      <w:bookmarkStart w:id="6" w:name="_Toc263408326"/>
      <w:r>
        <w:t>17.5.2</w:t>
      </w:r>
      <w:r>
        <w:tab/>
        <w:t>Congestion Settlements Related to the Day-Ahead Market</w:t>
      </w:r>
      <w:bookmarkEnd w:id="6"/>
    </w:p>
    <w:p w:rsidR="00916DF8" w:rsidRDefault="003909C1">
      <w:pPr>
        <w:pStyle w:val="Heading4"/>
      </w:pPr>
      <w:bookmarkStart w:id="7" w:name="_Toc263408327"/>
      <w:r>
        <w:t>17.5.2.1</w:t>
      </w:r>
      <w:r>
        <w:tab/>
      </w:r>
      <w:r>
        <w:t>Overview of Congestion Settlements Related to the Day-Ahead Market; Calculation of Net Congestion Rents</w:t>
      </w:r>
      <w:bookmarkEnd w:id="7"/>
    </w:p>
    <w:p w:rsidR="00916DF8" w:rsidRDefault="003909C1">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w:t>
      </w:r>
      <w:r>
        <w:t xml:space="preserve"> Day-Ahead Market.  These Congestion settlements include, as applicable pursuant to the provisions of this Part 17.5 of this Attachment B: (i) Congestion Rent charges or payments for Energy Transactions in the Day-Ahead Market and Bilateral Transactions sc</w:t>
      </w:r>
      <w:r>
        <w:t>heduled in the Day-Ahead Market; (ii) Congestion payments or charges to Primary Holders of TCCs; (iii) O/R-t-S Congestion Rent Shortfall Charges and U/D Congestion Rent Shortfall Charges; and (iv) O/R-t-S Congestion Rent Surplus Payments and U/D Congestion</w:t>
      </w:r>
      <w:r>
        <w:t xml:space="preserve"> Rent Surplus Payments.  Each of these settlements is represented by a variable in Formula B-1.</w:t>
      </w:r>
    </w:p>
    <w:p w:rsidR="00916DF8" w:rsidRDefault="003909C1">
      <w:pPr>
        <w:pStyle w:val="Bodypara"/>
      </w:pPr>
      <w:r>
        <w:t>Calculation</w:t>
      </w:r>
      <w:r>
        <w:rPr>
          <w:i/>
          <w:iCs/>
        </w:rPr>
        <w:t xml:space="preserve"> of Net Congestion Rents for an Hour</w:t>
      </w:r>
      <w:r>
        <w:t xml:space="preserve">.  In each hour </w:t>
      </w:r>
      <w:r>
        <w:rPr>
          <w:i/>
        </w:rPr>
        <w:t>h</w:t>
      </w:r>
      <w:r>
        <w:t xml:space="preserve"> of the Day-Ahead Market, the ISO shall calculate Net Congestion Rents pursuant to Formula B-1.</w:t>
      </w:r>
    </w:p>
    <w:p w:rsidR="00916DF8" w:rsidRDefault="003909C1">
      <w:pPr>
        <w:pStyle w:val="FormulaCaption"/>
        <w:rPr>
          <w:b w:val="0"/>
          <w:bCs w:val="0"/>
        </w:rPr>
      </w:pPr>
      <w:r>
        <w:t>Formula</w:t>
      </w:r>
      <w:r>
        <w:rPr>
          <w:b w:val="0"/>
          <w:bCs w:val="0"/>
        </w:rPr>
        <w:t xml:space="preserve"> </w:t>
      </w:r>
      <w:r>
        <w:rPr>
          <w:bCs w:val="0"/>
        </w:rPr>
        <w:t>B-1</w:t>
      </w:r>
    </w:p>
    <w:p w:rsidR="00916DF8" w:rsidRPr="00916DF8" w:rsidRDefault="00C476D8">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3909C1">
      <w:pPr>
        <w:pStyle w:val="Bodypara"/>
      </w:pPr>
    </w:p>
    <w:p w:rsidR="00916DF8" w:rsidRDefault="003909C1">
      <w:pPr>
        <w:pStyle w:val="Bodypara"/>
      </w:pPr>
      <w:r>
        <w:t>Where,</w:t>
      </w:r>
    </w:p>
    <w:tbl>
      <w:tblPr>
        <w:tblW w:w="9480" w:type="dxa"/>
        <w:tblInd w:w="108" w:type="dxa"/>
        <w:tblLayout w:type="fixed"/>
        <w:tblLook w:val="0000"/>
      </w:tblPr>
      <w:tblGrid>
        <w:gridCol w:w="2880"/>
        <w:gridCol w:w="240"/>
        <w:gridCol w:w="6360"/>
      </w:tblGrid>
      <w:tr w:rsidR="00C476D8" w:rsidTr="00916DF8">
        <w:tc>
          <w:tcPr>
            <w:tcW w:w="2880" w:type="dxa"/>
          </w:tcPr>
          <w:p w:rsidR="00916DF8" w:rsidRDefault="00C476D8" w:rsidP="00916DF8">
            <w:pPr>
              <w:spacing w:after="120"/>
            </w:pPr>
            <m:oMathPara>
              <m:oMathParaPr>
                <m:jc m:val="left"/>
              </m:oMathParaPr>
              <m:oMath>
                <m:sSub>
                  <m:sSubPr>
                    <m:ctrlPr>
                      <w:rPr>
                        <w:rFonts w:ascii="Cambria Math" w:hAnsi="Cambria Math"/>
                        <w:i/>
                      </w:rPr>
                    </m:ctrlPr>
                  </m:sSubPr>
                  <m:e>
                    <m:r>
                      <w:rPr>
                        <w:rFonts w:ascii="Cambria Math" w:hAnsi="Cambria Math"/>
                      </w:rPr>
                      <m:t>Net Congestion Rents</m:t>
                    </m:r>
                  </m:e>
                  <m:sub>
                    <m:r>
                      <w:rPr>
                        <w:rFonts w:ascii="Cambria Math" w:hAnsi="Cambria Math"/>
                      </w:rPr>
                      <m:t>h</m:t>
                    </m:r>
                  </m:sub>
                </m:sSub>
              </m:oMath>
            </m:oMathPara>
          </w:p>
        </w:tc>
        <w:tc>
          <w:tcPr>
            <w:tcW w:w="240" w:type="dxa"/>
          </w:tcPr>
          <w:p w:rsidR="00916DF8" w:rsidRDefault="003909C1">
            <w:pPr>
              <w:spacing w:after="120"/>
            </w:pPr>
            <w:r>
              <w:t>=</w:t>
            </w:r>
          </w:p>
        </w:tc>
        <w:tc>
          <w:tcPr>
            <w:tcW w:w="6360" w:type="dxa"/>
          </w:tcPr>
          <w:p w:rsidR="00916DF8" w:rsidRDefault="003909C1">
            <w:pPr>
              <w:spacing w:after="120"/>
            </w:pPr>
            <w:r>
              <w:t xml:space="preserve">The total Net Congestion Rents for hour </w:t>
            </w:r>
            <w:r>
              <w:rPr>
                <w:i/>
                <w:iCs/>
              </w:rPr>
              <w:t>h</w:t>
            </w:r>
            <w:r>
              <w:t xml:space="preserve"> of the Day-Ahead Market</w:t>
            </w:r>
          </w:p>
        </w:tc>
      </w:tr>
      <w:tr w:rsidR="00C476D8" w:rsidTr="00916DF8">
        <w:tc>
          <w:tcPr>
            <w:tcW w:w="2880" w:type="dxa"/>
          </w:tcPr>
          <w:p w:rsidR="00916DF8" w:rsidRPr="00916DF8" w:rsidRDefault="003909C1" w:rsidP="00916DF8">
            <w:pPr>
              <w:spacing w:after="120"/>
              <w:rPr>
                <w:i/>
              </w:rPr>
            </w:pPr>
            <w:r w:rsidRPr="00916DF8">
              <w:rPr>
                <w:i/>
              </w:rPr>
              <w:t>h</w:t>
            </w:r>
          </w:p>
        </w:tc>
        <w:tc>
          <w:tcPr>
            <w:tcW w:w="240" w:type="dxa"/>
          </w:tcPr>
          <w:p w:rsidR="00916DF8" w:rsidRDefault="003909C1">
            <w:pPr>
              <w:spacing w:after="120"/>
            </w:pPr>
            <w:r>
              <w:t>=</w:t>
            </w:r>
          </w:p>
        </w:tc>
        <w:tc>
          <w:tcPr>
            <w:tcW w:w="6360" w:type="dxa"/>
          </w:tcPr>
          <w:p w:rsidR="00916DF8" w:rsidRDefault="003909C1">
            <w:pPr>
              <w:spacing w:after="120"/>
            </w:pPr>
            <w:r>
              <w:t>An hour of the Day-Ahead Market</w:t>
            </w:r>
          </w:p>
        </w:tc>
      </w:tr>
      <w:tr w:rsidR="00C476D8" w:rsidTr="00916DF8">
        <w:tc>
          <w:tcPr>
            <w:tcW w:w="2880" w:type="dxa"/>
          </w:tcPr>
          <w:p w:rsidR="00916DF8" w:rsidRDefault="00C476D8"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3909C1">
            <w:pPr>
              <w:spacing w:after="120"/>
            </w:pPr>
            <w:r>
              <w:t>=</w:t>
            </w:r>
          </w:p>
        </w:tc>
        <w:tc>
          <w:tcPr>
            <w:tcW w:w="6360" w:type="dxa"/>
          </w:tcPr>
          <w:p w:rsidR="00916DF8" w:rsidRDefault="003909C1">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17.5.2.2</w:t>
            </w:r>
          </w:p>
        </w:tc>
      </w:tr>
      <w:tr w:rsidR="00C476D8" w:rsidTr="00916DF8">
        <w:tc>
          <w:tcPr>
            <w:tcW w:w="2880" w:type="dxa"/>
          </w:tcPr>
          <w:p w:rsidR="00916DF8" w:rsidRDefault="00C476D8"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3909C1">
            <w:pPr>
              <w:spacing w:after="120"/>
            </w:pPr>
            <w:r>
              <w:t>=</w:t>
            </w:r>
          </w:p>
        </w:tc>
        <w:tc>
          <w:tcPr>
            <w:tcW w:w="6360" w:type="dxa"/>
          </w:tcPr>
          <w:p w:rsidR="00916DF8" w:rsidRDefault="003909C1">
            <w:pPr>
              <w:spacing w:after="120"/>
            </w:pPr>
            <w:r>
              <w:t xml:space="preserve">The sum for all TCCs of all payments and charges made pursuant to Section 17.5.2.3 to Primary Holders of TCCs in hour </w:t>
            </w:r>
            <w:r>
              <w:rPr>
                <w:i/>
              </w:rPr>
              <w:t>h</w:t>
            </w:r>
          </w:p>
        </w:tc>
      </w:tr>
      <w:tr w:rsidR="00C476D8" w:rsidTr="00916DF8">
        <w:tc>
          <w:tcPr>
            <w:tcW w:w="2880" w:type="dxa"/>
          </w:tcPr>
          <w:p w:rsidR="00916DF8" w:rsidRPr="000C5FA0" w:rsidRDefault="00C476D8" w:rsidP="005D2846">
            <w:pPr>
              <w:spacing w:after="120"/>
              <w:rPr>
                <w:i/>
              </w:rPr>
            </w:pPr>
            <m:oMathPara>
              <m:oMath>
                <m:sSub>
                  <m:sSubPr>
                    <m:ctrlPr>
                      <w:rPr>
                        <w:rFonts w:ascii="Cambria Math" w:eastAsia="Arial Unicode MS" w:hAnsi="Cambria Math"/>
                        <w:i/>
                      </w:rPr>
                    </m:ctrlPr>
                  </m:sSubPr>
                  <m:e>
                    <w:bookmarkStart w:id="8" w:name="_DV_C32"/>
                    <m:r>
                      <m:rPr>
                        <m:nor/>
                      </m:rPr>
                      <w:rPr>
                        <w:rFonts w:ascii="Cambria Math" w:eastAsia="Arial Unicode MS" w:hAnsi="Cambria Math"/>
                        <w:i/>
                      </w:rPr>
                      <m:t>O/R-t-S&amp;U/D CRSC&amp;CRSP</m:t>
                    </m:r>
                    <w:bookmarkEnd w:id="8"/>
                  </m:e>
                  <m:sub>
                    <m:r>
                      <m:rPr>
                        <m:nor/>
                      </m:rPr>
                      <w:rPr>
                        <w:rFonts w:ascii="Cambria Math" w:eastAsia="Arial Unicode MS" w:hAnsi="Cambria Math"/>
                        <w:i/>
                      </w:rPr>
                      <m:t>h</m:t>
                    </m:r>
                  </m:sub>
                </m:sSub>
              </m:oMath>
            </m:oMathPara>
          </w:p>
        </w:tc>
        <w:tc>
          <w:tcPr>
            <w:tcW w:w="240" w:type="dxa"/>
          </w:tcPr>
          <w:p w:rsidR="00916DF8" w:rsidRDefault="003909C1">
            <w:pPr>
              <w:spacing w:after="120"/>
            </w:pPr>
            <w:r>
              <w:t>=</w:t>
            </w:r>
          </w:p>
        </w:tc>
        <w:tc>
          <w:tcPr>
            <w:tcW w:w="6360" w:type="dxa"/>
          </w:tcPr>
          <w:p w:rsidR="00916DF8" w:rsidRDefault="003909C1">
            <w:pPr>
              <w:spacing w:after="120"/>
              <w:rPr>
                <w:iCs/>
              </w:rPr>
            </w:pPr>
            <w:r>
              <w:t xml:space="preserve">The sum </w:t>
            </w:r>
            <w:r>
              <w:t xml:space="preserve">of all O/R-t-S Congestion Rent Shortfall Charges </w:t>
            </w:r>
            <w:r>
              <w:rPr>
                <w:rFonts w:eastAsia="Arial Unicode MS" w:hAnsi="Times New Roman Bold"/>
              </w:rPr>
              <w:t>(O/R-t-S CRSC</w:t>
            </w:r>
            <w:r>
              <w:rPr>
                <w:rFonts w:eastAsia="Arial Unicode MS" w:hAnsi="Times New Roman Bold"/>
                <w:vertAlign w:val="subscript"/>
              </w:rPr>
              <w:t>a,t,h</w:t>
            </w:r>
            <w:bookmarkStart w:id="9" w:name="_DV_M21"/>
            <w:bookmarkEnd w:id="9"/>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pursuant to Section 17.5.2.4.5</w:t>
            </w:r>
          </w:p>
        </w:tc>
      </w:tr>
    </w:tbl>
    <w:p w:rsidR="00916DF8" w:rsidRDefault="003909C1"/>
    <w:p w:rsidR="00916DF8" w:rsidRDefault="003909C1">
      <w:pPr>
        <w:pStyle w:val="Bodypara"/>
      </w:pPr>
      <w:r>
        <w:t>The ISO shall allocate the Net Co</w:t>
      </w:r>
      <w:r>
        <w:t>ngestion Rents calculated in each hour to Transmission Owners pursuant to Section 17.5.2.5.</w:t>
      </w:r>
    </w:p>
    <w:p w:rsidR="00916DF8" w:rsidRDefault="003909C1">
      <w:pPr>
        <w:pStyle w:val="Heading4"/>
      </w:pPr>
      <w:bookmarkStart w:id="10" w:name="_Toc263408328"/>
      <w:r>
        <w:t>17.5.2.2</w:t>
      </w:r>
      <w:r>
        <w:tab/>
        <w:t>Congestion Rents Charged in the Day-Ahead Market</w:t>
      </w:r>
      <w:bookmarkEnd w:id="10"/>
    </w:p>
    <w:p w:rsidR="00916DF8" w:rsidRDefault="003909C1">
      <w:pPr>
        <w:pStyle w:val="Bodypara"/>
      </w:pPr>
      <w:r>
        <w:t>In each hour of the Day-Ahead Market, the ISO shall collect or pay Congestion Rents through Energy Transac</w:t>
      </w:r>
      <w:r>
        <w:t>tions in the Day-Ahead Market and through Bilateral Transactions scheduled in the Day-Ahead Market.</w:t>
      </w:r>
    </w:p>
    <w:p w:rsidR="00916DF8" w:rsidRDefault="003909C1">
      <w:pPr>
        <w:pStyle w:val="Bodypara"/>
      </w:pPr>
      <w:r>
        <w:rPr>
          <w:i/>
          <w:iCs/>
        </w:rPr>
        <w:t>Day-Ahead Market Energy Transactions</w:t>
      </w:r>
      <w:r>
        <w:t>.  The ISO shall charge or pay Congestion Rents as part of the Congestion Component of the LBMP applicable to Energy inj</w:t>
      </w:r>
      <w:r>
        <w:t xml:space="preserve">ections and withdrawals scheduled in the Day-Ahead Market, as described in Part 17.1 of this Attachment B.  The total Congestion Rents for all Energy Transactions scheduled in the Day-Ahead Market in hour </w:t>
      </w:r>
      <w:r>
        <w:rPr>
          <w:i/>
          <w:iCs/>
        </w:rPr>
        <w:t>h</w:t>
      </w:r>
      <w:r>
        <w:t xml:space="preserve"> are calculated pursuant to Formula B-2.</w:t>
      </w:r>
    </w:p>
    <w:p w:rsidR="00916DF8" w:rsidRDefault="003909C1">
      <w:pPr>
        <w:pStyle w:val="FormulaCaption"/>
        <w:rPr>
          <w:bCs w:val="0"/>
        </w:rPr>
      </w:pPr>
      <w:r>
        <w:t>Formula</w:t>
      </w:r>
      <w:r>
        <w:rPr>
          <w:b w:val="0"/>
          <w:bCs w:val="0"/>
        </w:rPr>
        <w:t xml:space="preserve"> </w:t>
      </w:r>
      <w:r>
        <w:rPr>
          <w:bCs w:val="0"/>
        </w:rPr>
        <w:t>B-2</w:t>
      </w:r>
    </w:p>
    <w:p w:rsidR="002C4E2A" w:rsidRPr="00647F6F" w:rsidRDefault="00C476D8">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3909C1">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C476D8" w:rsidTr="00F257BA">
        <w:tc>
          <w:tcPr>
            <w:tcW w:w="1440" w:type="dxa"/>
          </w:tcPr>
          <w:p w:rsidR="002769EC" w:rsidRDefault="00C476D8"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3909C1" w:rsidP="002769EC">
            <w:pPr>
              <w:spacing w:after="120"/>
              <w:ind w:left="-18" w:firstLine="18"/>
              <w:jc w:val="center"/>
            </w:pPr>
            <w:r>
              <w:t>=</w:t>
            </w:r>
          </w:p>
        </w:tc>
        <w:tc>
          <w:tcPr>
            <w:tcW w:w="7410" w:type="dxa"/>
          </w:tcPr>
          <w:p w:rsidR="002769EC" w:rsidRDefault="003909C1" w:rsidP="00F257BA">
            <w:pPr>
              <w:spacing w:after="120"/>
            </w:pPr>
            <w:r w:rsidRPr="002769EC">
              <w:t xml:space="preserve">Energy, in MWh, scheduled to be withdrawn in hour </w:t>
            </w:r>
            <w:r w:rsidRPr="002769EC">
              <w:rPr>
                <w:i/>
                <w:iCs/>
              </w:rPr>
              <w:t>h</w:t>
            </w:r>
            <w:r w:rsidRPr="002769EC">
              <w:t xml:space="preserve"> pursuant to Day-Ahead Market schedule </w:t>
            </w:r>
            <w:r w:rsidRPr="002769EC">
              <w:rPr>
                <w:i/>
              </w:rPr>
              <w:t>W</w:t>
            </w:r>
          </w:p>
        </w:tc>
      </w:tr>
      <w:tr w:rsidR="00C476D8" w:rsidTr="00F257BA">
        <w:tc>
          <w:tcPr>
            <w:tcW w:w="1440" w:type="dxa"/>
          </w:tcPr>
          <w:p w:rsidR="002769EC" w:rsidRPr="00916DF8" w:rsidRDefault="00C476D8"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3909C1" w:rsidP="002769EC">
            <w:pPr>
              <w:spacing w:after="120"/>
              <w:ind w:left="-18" w:firstLine="18"/>
              <w:jc w:val="center"/>
            </w:pPr>
            <w:r>
              <w:t>=</w:t>
            </w:r>
          </w:p>
        </w:tc>
        <w:tc>
          <w:tcPr>
            <w:tcW w:w="7410" w:type="dxa"/>
          </w:tcPr>
          <w:p w:rsidR="002769EC" w:rsidRDefault="003909C1" w:rsidP="00F257BA">
            <w:pPr>
              <w:spacing w:after="120"/>
            </w:pPr>
            <w:r w:rsidRPr="002769EC">
              <w:t>Congestion Component, in $/MWh, at the Point of Withdraw</w:t>
            </w:r>
            <w:r w:rsidRPr="002769EC">
              <w:t xml:space="preserve">al for Energy withdrawn in hour </w:t>
            </w:r>
            <w:r w:rsidRPr="002769EC">
              <w:rPr>
                <w:i/>
                <w:iCs/>
              </w:rPr>
              <w:t>h</w:t>
            </w:r>
            <w:r w:rsidRPr="002769EC">
              <w:t xml:space="preserve"> pursuant to schedule </w:t>
            </w:r>
            <w:r w:rsidRPr="002769EC">
              <w:rPr>
                <w:i/>
              </w:rPr>
              <w:t>W</w:t>
            </w:r>
          </w:p>
        </w:tc>
      </w:tr>
      <w:tr w:rsidR="00C476D8" w:rsidTr="00F257BA">
        <w:tc>
          <w:tcPr>
            <w:tcW w:w="1440" w:type="dxa"/>
          </w:tcPr>
          <w:p w:rsidR="002769EC" w:rsidRDefault="00C476D8"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3909C1" w:rsidP="002769EC">
            <w:pPr>
              <w:spacing w:after="120"/>
              <w:ind w:left="-18" w:firstLine="18"/>
              <w:jc w:val="center"/>
            </w:pPr>
            <w:r>
              <w:t>=</w:t>
            </w:r>
          </w:p>
        </w:tc>
        <w:tc>
          <w:tcPr>
            <w:tcW w:w="7410" w:type="dxa"/>
          </w:tcPr>
          <w:p w:rsidR="002769EC" w:rsidRDefault="003909C1"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C476D8" w:rsidTr="00F257BA">
        <w:tc>
          <w:tcPr>
            <w:tcW w:w="1440" w:type="dxa"/>
          </w:tcPr>
          <w:p w:rsidR="002769EC" w:rsidRDefault="00C476D8"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3909C1" w:rsidP="002769EC">
            <w:pPr>
              <w:spacing w:after="120"/>
              <w:ind w:left="-18" w:firstLine="18"/>
              <w:jc w:val="center"/>
            </w:pPr>
            <w:r>
              <w:t>=</w:t>
            </w:r>
          </w:p>
        </w:tc>
        <w:tc>
          <w:tcPr>
            <w:tcW w:w="7410" w:type="dxa"/>
          </w:tcPr>
          <w:p w:rsidR="002769EC" w:rsidRDefault="003909C1"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3909C1">
      <w:pPr>
        <w:tabs>
          <w:tab w:val="left" w:pos="2160"/>
        </w:tabs>
        <w:ind w:left="2520" w:hanging="1800"/>
      </w:pPr>
    </w:p>
    <w:p w:rsidR="00916DF8" w:rsidRDefault="003909C1">
      <w:pPr>
        <w:pStyle w:val="Bodypara"/>
      </w:pPr>
      <w:r>
        <w:rPr>
          <w:i/>
          <w:iCs/>
        </w:rPr>
        <w:t>Bilateral Transactions</w:t>
      </w:r>
      <w:r>
        <w:t>.  The ISO shall charge or pay Congestion Rents as part of the Transmission Usage Charge applied to Bilateral Transaction</w:t>
      </w:r>
      <w:r>
        <w:t xml:space="preserve"> </w:t>
      </w:r>
      <w:r>
        <w:rPr>
          <w:i/>
        </w:rPr>
        <w:t>B</w:t>
      </w:r>
      <w:r>
        <w:t xml:space="preserve"> scheduled in the Day-Ahead Market, as described in Section 2.7.2.2 of the OATT.  Total Congestion Rents for all Bilateral Transactions scheduled in the Day-Ahead Market in hour </w:t>
      </w:r>
      <w:r>
        <w:rPr>
          <w:i/>
          <w:iCs/>
        </w:rPr>
        <w:t>h</w:t>
      </w:r>
      <w:r>
        <w:t xml:space="preserve"> are calculated pursuant to Formula B-3.</w:t>
      </w:r>
    </w:p>
    <w:p w:rsidR="00916DF8" w:rsidRDefault="003909C1">
      <w:pPr>
        <w:pStyle w:val="FormulaCaption"/>
      </w:pPr>
      <w:r>
        <w:t>Formula B-3</w:t>
      </w:r>
    </w:p>
    <w:p w:rsidR="005E1106" w:rsidRPr="00647F6F" w:rsidRDefault="00C476D8">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3909C1">
      <w:pPr>
        <w:keepNext/>
        <w:jc w:val="center"/>
      </w:pPr>
    </w:p>
    <w:p w:rsidR="00916DF8" w:rsidRDefault="003909C1">
      <w:pPr>
        <w:pStyle w:val="Bodypara"/>
      </w:pPr>
      <w:r>
        <w:t>Where,</w:t>
      </w:r>
    </w:p>
    <w:tbl>
      <w:tblPr>
        <w:tblW w:w="9210" w:type="dxa"/>
        <w:tblInd w:w="378" w:type="dxa"/>
        <w:tblLayout w:type="fixed"/>
        <w:tblLook w:val="0000"/>
      </w:tblPr>
      <w:tblGrid>
        <w:gridCol w:w="1440"/>
        <w:gridCol w:w="360"/>
        <w:gridCol w:w="7410"/>
      </w:tblGrid>
      <w:tr w:rsidR="00C476D8" w:rsidTr="00235BB1">
        <w:tc>
          <w:tcPr>
            <w:tcW w:w="1440" w:type="dxa"/>
          </w:tcPr>
          <w:p w:rsidR="00F257BA" w:rsidRDefault="00C476D8"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3909C1" w:rsidP="00F257BA">
            <w:pPr>
              <w:spacing w:after="120"/>
              <w:ind w:left="-18" w:firstLine="18"/>
              <w:jc w:val="center"/>
            </w:pPr>
            <w:r>
              <w:t>=</w:t>
            </w:r>
          </w:p>
        </w:tc>
        <w:tc>
          <w:tcPr>
            <w:tcW w:w="7410" w:type="dxa"/>
          </w:tcPr>
          <w:p w:rsidR="00F257BA" w:rsidRDefault="003909C1"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C476D8" w:rsidTr="00235BB1">
        <w:tc>
          <w:tcPr>
            <w:tcW w:w="1440" w:type="dxa"/>
          </w:tcPr>
          <w:p w:rsidR="008C70C6" w:rsidRPr="005D5BBC" w:rsidRDefault="00C476D8"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3909C1" w:rsidP="00F257BA">
            <w:pPr>
              <w:spacing w:after="120"/>
              <w:ind w:left="-18" w:firstLine="18"/>
              <w:jc w:val="center"/>
            </w:pPr>
            <w:r>
              <w:t>=</w:t>
            </w:r>
          </w:p>
        </w:tc>
        <w:tc>
          <w:tcPr>
            <w:tcW w:w="7410" w:type="dxa"/>
          </w:tcPr>
          <w:p w:rsidR="008C70C6" w:rsidRPr="002769EC" w:rsidRDefault="003909C1"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C476D8" w:rsidTr="00235BB1">
        <w:tc>
          <w:tcPr>
            <w:tcW w:w="1440" w:type="dxa"/>
          </w:tcPr>
          <w:p w:rsidR="00F257BA" w:rsidRPr="00916DF8" w:rsidRDefault="00C476D8"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3909C1" w:rsidP="00F257BA">
            <w:pPr>
              <w:spacing w:after="120"/>
              <w:ind w:left="-18" w:firstLine="18"/>
              <w:jc w:val="center"/>
            </w:pPr>
            <w:r>
              <w:t>=</w:t>
            </w:r>
          </w:p>
        </w:tc>
        <w:tc>
          <w:tcPr>
            <w:tcW w:w="7410" w:type="dxa"/>
          </w:tcPr>
          <w:p w:rsidR="00F257BA" w:rsidRDefault="003909C1"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C476D8" w:rsidTr="00235BB1">
        <w:tc>
          <w:tcPr>
            <w:tcW w:w="1440" w:type="dxa"/>
          </w:tcPr>
          <w:p w:rsidR="00F257BA" w:rsidRDefault="00C476D8"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3909C1" w:rsidP="00F257BA">
            <w:pPr>
              <w:spacing w:after="120"/>
              <w:ind w:left="-18" w:firstLine="18"/>
              <w:jc w:val="center"/>
            </w:pPr>
            <w:r>
              <w:t>=</w:t>
            </w:r>
          </w:p>
        </w:tc>
        <w:tc>
          <w:tcPr>
            <w:tcW w:w="7410" w:type="dxa"/>
          </w:tcPr>
          <w:p w:rsidR="00F257BA" w:rsidRDefault="003909C1"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3909C1">
      <w:pPr>
        <w:pStyle w:val="Bodypara"/>
      </w:pPr>
    </w:p>
    <w:p w:rsidR="00916DF8" w:rsidRDefault="003909C1">
      <w:pPr>
        <w:pStyle w:val="Heading4"/>
      </w:pPr>
      <w:bookmarkStart w:id="11" w:name="_Toc263408329"/>
      <w:r>
        <w:t>17.5.2.3</w:t>
      </w:r>
      <w:r>
        <w:tab/>
        <w:t>Congestion Payments Made To Primary Holders</w:t>
      </w:r>
      <w:bookmarkEnd w:id="11"/>
    </w:p>
    <w:p w:rsidR="00916DF8" w:rsidRDefault="003909C1">
      <w:pPr>
        <w:pStyle w:val="Bodypara"/>
      </w:pPr>
      <w:r>
        <w:t xml:space="preserve">For each hour </w:t>
      </w:r>
      <w:r>
        <w:rPr>
          <w:i/>
          <w:iCs/>
        </w:rPr>
        <w:t>h</w:t>
      </w:r>
      <w:r>
        <w:t xml:space="preserve"> of the Day-Ahead Market, the ISO shall charge or pay Congestion payments to the Primary Holders, as follows:</w:t>
      </w:r>
    </w:p>
    <w:p w:rsidR="00916DF8" w:rsidRDefault="003909C1">
      <w:pPr>
        <w:pStyle w:val="FormulaCaption"/>
        <w:rPr>
          <w:bCs w:val="0"/>
        </w:rPr>
      </w:pPr>
      <w:r>
        <w:rPr>
          <w:bCs w:val="0"/>
        </w:rPr>
        <w:t>Formula B-4</w:t>
      </w:r>
    </w:p>
    <w:p w:rsidR="00235BB1" w:rsidRDefault="003909C1">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3909C1">
      <w:pPr>
        <w:keepNext/>
        <w:jc w:val="center"/>
      </w:pPr>
    </w:p>
    <w:p w:rsidR="00916DF8" w:rsidRDefault="003909C1">
      <w:pPr>
        <w:pStyle w:val="Bodypara"/>
      </w:pPr>
      <w:r>
        <w:t>Where,</w:t>
      </w:r>
    </w:p>
    <w:tbl>
      <w:tblPr>
        <w:tblW w:w="9210" w:type="dxa"/>
        <w:tblInd w:w="378" w:type="dxa"/>
        <w:tblLayout w:type="fixed"/>
        <w:tblLook w:val="0000"/>
      </w:tblPr>
      <w:tblGrid>
        <w:gridCol w:w="1440"/>
        <w:gridCol w:w="360"/>
        <w:gridCol w:w="7410"/>
      </w:tblGrid>
      <w:tr w:rsidR="00C476D8" w:rsidTr="00F87763">
        <w:tc>
          <w:tcPr>
            <w:tcW w:w="1440" w:type="dxa"/>
          </w:tcPr>
          <w:p w:rsidR="00235BB1" w:rsidRDefault="003909C1" w:rsidP="00235BB1">
            <w:pPr>
              <w:spacing w:after="120"/>
            </w:pPr>
            <m:oMathPara>
              <m:oMathParaPr>
                <m:jc m:val="left"/>
              </m:oMathParaPr>
              <m:oMath>
                <m:r>
                  <w:rPr>
                    <w:rFonts w:ascii="Cambria Math" w:hAnsi="Cambria Math"/>
                  </w:rPr>
                  <m:t>CCPOW</m:t>
                </m:r>
              </m:oMath>
            </m:oMathPara>
          </w:p>
        </w:tc>
        <w:tc>
          <w:tcPr>
            <w:tcW w:w="360" w:type="dxa"/>
          </w:tcPr>
          <w:p w:rsidR="00235BB1" w:rsidRDefault="003909C1" w:rsidP="00E964CF">
            <w:pPr>
              <w:spacing w:after="120"/>
              <w:ind w:left="-18" w:firstLine="18"/>
              <w:jc w:val="center"/>
            </w:pPr>
            <w:r>
              <w:t>=</w:t>
            </w:r>
          </w:p>
        </w:tc>
        <w:tc>
          <w:tcPr>
            <w:tcW w:w="7410" w:type="dxa"/>
          </w:tcPr>
          <w:p w:rsidR="00235BB1" w:rsidRDefault="003909C1" w:rsidP="00E964CF">
            <w:pPr>
              <w:spacing w:after="120"/>
            </w:pPr>
            <w:r w:rsidRPr="00235BB1">
              <w:t>Congestion Component ($/MWh) at the Po</w:t>
            </w:r>
            <w:r w:rsidRPr="00235BB1">
              <w:t>int of Withdrawal (</w:t>
            </w:r>
            <w:r w:rsidRPr="00235BB1">
              <w:rPr>
                <w:i/>
              </w:rPr>
              <w:t>POW</w:t>
            </w:r>
            <w:r w:rsidRPr="00235BB1">
              <w:t>)</w:t>
            </w:r>
          </w:p>
        </w:tc>
      </w:tr>
      <w:tr w:rsidR="00C476D8" w:rsidTr="00F87763">
        <w:tc>
          <w:tcPr>
            <w:tcW w:w="1440" w:type="dxa"/>
          </w:tcPr>
          <w:p w:rsidR="00235BB1" w:rsidRPr="005D5BBC" w:rsidRDefault="003909C1" w:rsidP="00235BB1">
            <w:pPr>
              <w:spacing w:after="120"/>
            </w:pPr>
            <m:oMathPara>
              <m:oMathParaPr>
                <m:jc m:val="left"/>
              </m:oMathParaPr>
              <m:oMath>
                <m:r>
                  <w:rPr>
                    <w:rFonts w:ascii="Cambria Math" w:hAnsi="Cambria Math"/>
                  </w:rPr>
                  <m:t>CCPOI</m:t>
                </m:r>
              </m:oMath>
            </m:oMathPara>
          </w:p>
        </w:tc>
        <w:tc>
          <w:tcPr>
            <w:tcW w:w="360" w:type="dxa"/>
          </w:tcPr>
          <w:p w:rsidR="00235BB1" w:rsidRDefault="003909C1" w:rsidP="00E964CF">
            <w:pPr>
              <w:spacing w:after="120"/>
              <w:ind w:left="-18" w:firstLine="18"/>
              <w:jc w:val="center"/>
            </w:pPr>
            <w:r>
              <w:t>=</w:t>
            </w:r>
          </w:p>
        </w:tc>
        <w:tc>
          <w:tcPr>
            <w:tcW w:w="7410" w:type="dxa"/>
          </w:tcPr>
          <w:p w:rsidR="00235BB1" w:rsidRPr="002769EC" w:rsidRDefault="003909C1" w:rsidP="00E964CF">
            <w:pPr>
              <w:spacing w:after="120"/>
            </w:pPr>
            <w:r w:rsidRPr="00235BB1">
              <w:t>Congestion Component ($/MWh) at the Point of Injection (</w:t>
            </w:r>
            <w:r w:rsidRPr="00235BB1">
              <w:rPr>
                <w:i/>
              </w:rPr>
              <w:t>POI</w:t>
            </w:r>
            <w:r w:rsidRPr="00235BB1">
              <w:t>)</w:t>
            </w:r>
          </w:p>
        </w:tc>
      </w:tr>
      <w:tr w:rsidR="00C476D8" w:rsidTr="00F87763">
        <w:tc>
          <w:tcPr>
            <w:tcW w:w="1440" w:type="dxa"/>
          </w:tcPr>
          <w:p w:rsidR="00235BB1" w:rsidRPr="00916DF8" w:rsidRDefault="003909C1"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3909C1" w:rsidP="00E964CF">
            <w:pPr>
              <w:spacing w:after="120"/>
              <w:ind w:left="-18" w:firstLine="18"/>
              <w:jc w:val="center"/>
            </w:pPr>
            <w:r>
              <w:t>=</w:t>
            </w:r>
          </w:p>
        </w:tc>
        <w:tc>
          <w:tcPr>
            <w:tcW w:w="7410" w:type="dxa"/>
          </w:tcPr>
          <w:p w:rsidR="00235BB1" w:rsidRDefault="003909C1"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C476D8" w:rsidTr="00F87763">
        <w:tc>
          <w:tcPr>
            <w:tcW w:w="1440" w:type="dxa"/>
          </w:tcPr>
          <w:p w:rsidR="00F87763" w:rsidRDefault="003909C1" w:rsidP="00235BB1">
            <w:pPr>
              <w:spacing w:after="120"/>
            </w:pPr>
          </w:p>
        </w:tc>
        <w:tc>
          <w:tcPr>
            <w:tcW w:w="360" w:type="dxa"/>
          </w:tcPr>
          <w:p w:rsidR="00F87763" w:rsidRDefault="003909C1" w:rsidP="00E964CF">
            <w:pPr>
              <w:spacing w:after="120"/>
              <w:ind w:left="-18" w:firstLine="18"/>
              <w:jc w:val="center"/>
            </w:pPr>
          </w:p>
        </w:tc>
        <w:tc>
          <w:tcPr>
            <w:tcW w:w="7410" w:type="dxa"/>
          </w:tcPr>
          <w:p w:rsidR="00F87763" w:rsidRPr="00235BB1" w:rsidRDefault="003909C1" w:rsidP="00E964CF">
            <w:pPr>
              <w:spacing w:after="120"/>
            </w:pPr>
          </w:p>
        </w:tc>
      </w:tr>
    </w:tbl>
    <w:p w:rsidR="00916DF8" w:rsidRDefault="003909C1">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3909C1">
      <w:pPr>
        <w:pStyle w:val="Bodypara"/>
      </w:pPr>
      <w:r>
        <w:t xml:space="preserve">The ISO shall pay Primary Holders for the Congestion payments from revenues collected from: (i) Congestion Rents, (ii) O/R-t-S Congestion Rent Shortfall Charges and U/D Congestion Rent Shortfall Charges, and (iii) Net </w:t>
      </w:r>
      <w:r>
        <w:t>Congestion Rents in accordance</w:t>
      </w:r>
      <w:r>
        <w:rPr>
          <w:vertAlign w:val="subscript"/>
        </w:rPr>
        <w:t xml:space="preserve"> </w:t>
      </w:r>
      <w:r>
        <w:t>with Section 17.5.2.5.</w:t>
      </w:r>
    </w:p>
    <w:p w:rsidR="00916DF8" w:rsidRDefault="003909C1">
      <w:pPr>
        <w:pStyle w:val="Bodypara"/>
      </w:pPr>
      <w:r>
        <w:t>The ISO shall assess a “Shortfall Reimbursement Surcharge” each month on monthly net positive Congestion payments to Primary Holders of TCCs sold in or after the Autumn 2004 Centralized TCC Auction.  Th</w:t>
      </w:r>
      <w:r>
        <w:t>e Shortfall Reimbursement Surcharge shall be 0.5% of Congestion payments associated with TCCs that have a Point of Withdrawal outside of Load Zone J and 2.5% of Congestion payments associated with TCCs that have a Point of Withdrawal at, or inside of, Load</w:t>
      </w:r>
      <w:r>
        <w:t xml:space="preserve"> Zone J.  </w:t>
      </w:r>
    </w:p>
    <w:p w:rsidR="00916DF8" w:rsidRDefault="003909C1">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w:t>
      </w:r>
      <w:r>
        <w:t>ayments to Primary Holders of Grandfathered TCCs, or on Congestion payments to Primary Holders of ETCNL TCCs or RCRR TCCs.  The Shortfall Reimbursement Surcharge also shall not be assessed on Congestion payments to Primary Holders of TCCs sold before the A</w:t>
      </w:r>
      <w:r>
        <w:t>utumn 2004 Centralized TCC Auction, except to the extent that such TCCs are unbundled or reconfigured at the request of a Primary Holder, and sold, in or after that auction, in which case the Congestion payments associated with them shall be subject to the</w:t>
      </w:r>
      <w:r>
        <w:t xml:space="preserve"> Shortfall Reimbursement Surcharge.  </w:t>
      </w:r>
    </w:p>
    <w:p w:rsidR="00916DF8" w:rsidRDefault="003909C1">
      <w:pPr>
        <w:pStyle w:val="Bodypara"/>
      </w:pPr>
      <w:r>
        <w:t>The ISO shall cease to impose the Shortfall Reimbursement Surcharge when it has collected sufficient funds to: (i) pay refunds for all of the “Historic Shortfall” plus interest pursuant to Article III of the July 13, 2</w:t>
      </w:r>
      <w:r>
        <w:t>004 Settlement Agreement that was approved by the Commission in Docket Nos. EL04-110, EL04-113, EL04-115, and ER04-983; and (ii) replenished the ISO Working Capital Fund pursuant to Article IV of that Settlement Agreement.</w:t>
      </w:r>
    </w:p>
    <w:p w:rsidR="00916DF8" w:rsidRDefault="003909C1">
      <w:pPr>
        <w:pStyle w:val="Heading4"/>
        <w:rPr>
          <w:rFonts w:eastAsia="Arial Unicode MS"/>
        </w:rPr>
      </w:pPr>
      <w:bookmarkStart w:id="12" w:name="_Toc115547744"/>
      <w:bookmarkStart w:id="13" w:name="_Ref115549351"/>
      <w:bookmarkStart w:id="14" w:name="_Ref115553033"/>
      <w:bookmarkStart w:id="15" w:name="_Toc115574857"/>
      <w:bookmarkStart w:id="16" w:name="_Toc115773982"/>
      <w:bookmarkStart w:id="17" w:name="_Toc115840223"/>
      <w:bookmarkStart w:id="18" w:name="_Toc115840427"/>
      <w:bookmarkStart w:id="19" w:name="_Toc115840619"/>
      <w:bookmarkStart w:id="20" w:name="_Toc115845820"/>
      <w:bookmarkStart w:id="21" w:name="_Toc115846357"/>
      <w:bookmarkStart w:id="22" w:name="_Toc115846621"/>
      <w:bookmarkStart w:id="23" w:name="_Toc115847055"/>
      <w:bookmarkStart w:id="24" w:name="_Toc115847314"/>
      <w:bookmarkStart w:id="25" w:name="_Toc116195317"/>
      <w:bookmarkStart w:id="26" w:name="_Toc116196584"/>
      <w:bookmarkStart w:id="27" w:name="_Toc116196761"/>
      <w:bookmarkStart w:id="28" w:name="_Toc116197248"/>
      <w:bookmarkStart w:id="29" w:name="_Toc119143703"/>
      <w:bookmarkStart w:id="30" w:name="_Toc124754723"/>
      <w:bookmarkStart w:id="31" w:name="_Toc124858881"/>
      <w:bookmarkStart w:id="32" w:name="_Toc124858987"/>
      <w:bookmarkStart w:id="33" w:name="_Toc124908502"/>
      <w:bookmarkStart w:id="34" w:name="_Toc124908603"/>
      <w:bookmarkStart w:id="35" w:name="_Toc124909374"/>
      <w:bookmarkStart w:id="36" w:name="_Toc124909478"/>
      <w:bookmarkStart w:id="37" w:name="_Ref125298307"/>
      <w:bookmarkStart w:id="38" w:name="_Toc125885619"/>
      <w:bookmarkStart w:id="39" w:name="_Toc263408330"/>
      <w:r>
        <w:t>17.5.</w:t>
      </w:r>
      <w:r>
        <w:rPr>
          <w:rFonts w:eastAsia="Arial Unicode MS"/>
        </w:rPr>
        <w:t>2.4</w:t>
      </w:r>
      <w:r>
        <w:rPr>
          <w:rFonts w:eastAsia="Arial Unicode MS"/>
        </w:rPr>
        <w:tab/>
      </w:r>
      <w:r>
        <w:t xml:space="preserve">Charges and Payments to </w:t>
      </w:r>
      <w:r>
        <w:t>Transmission Owners for DAM Outages and Returns-to-Service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16DF8" w:rsidRDefault="003909C1">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3909C1">
      <w:pPr>
        <w:pStyle w:val="Heading4"/>
        <w:rPr>
          <w:rFonts w:eastAsia="Arial Unicode MS"/>
        </w:rPr>
      </w:pPr>
      <w:bookmarkStart w:id="40" w:name="_Toc115547745"/>
      <w:bookmarkStart w:id="41" w:name="_Ref115549375"/>
      <w:bookmarkStart w:id="42" w:name="_Toc115574858"/>
      <w:bookmarkStart w:id="43" w:name="_Toc115773983"/>
      <w:bookmarkStart w:id="44" w:name="_Toc115840224"/>
      <w:bookmarkStart w:id="45" w:name="_Toc115840428"/>
      <w:bookmarkStart w:id="46" w:name="_Toc115840620"/>
      <w:bookmarkStart w:id="47" w:name="_Toc115845821"/>
      <w:bookmarkStart w:id="48" w:name="_Toc115846358"/>
      <w:bookmarkStart w:id="49" w:name="_Toc115846622"/>
      <w:bookmarkStart w:id="50" w:name="_Toc115847056"/>
      <w:bookmarkStart w:id="51" w:name="_Toc115847315"/>
      <w:bookmarkStart w:id="52" w:name="_Ref115871358"/>
      <w:bookmarkStart w:id="53" w:name="_Toc116195318"/>
      <w:bookmarkStart w:id="54" w:name="_Toc116196585"/>
      <w:bookmarkStart w:id="55" w:name="_Toc116196762"/>
      <w:bookmarkStart w:id="56" w:name="_Toc116197249"/>
      <w:bookmarkStart w:id="57" w:name="_Toc119143704"/>
      <w:bookmarkStart w:id="58" w:name="_Toc124754724"/>
      <w:bookmarkStart w:id="59" w:name="_Toc124858882"/>
      <w:bookmarkStart w:id="60" w:name="_Toc124858988"/>
      <w:bookmarkStart w:id="61" w:name="_Toc124908503"/>
      <w:bookmarkStart w:id="62" w:name="_Toc124908604"/>
      <w:bookmarkStart w:id="63" w:name="_Toc124909375"/>
      <w:bookmarkStart w:id="64" w:name="_Toc124909479"/>
      <w:bookmarkStart w:id="65" w:name="_Toc125885620"/>
      <w:bookmarkStart w:id="66" w:name="_Toc263408331"/>
      <w:r>
        <w:t>17.5.</w:t>
      </w:r>
      <w:r>
        <w:rPr>
          <w:rFonts w:eastAsia="Arial Unicode MS"/>
        </w:rPr>
        <w:t>2.4.1</w:t>
      </w:r>
      <w:r>
        <w:rPr>
          <w:rFonts w:eastAsia="Arial Unicode MS"/>
        </w:rPr>
        <w:tab/>
      </w:r>
      <w:r>
        <w:t>Measuring the Impact of DAM Outages and Retur</w:t>
      </w:r>
      <w:r>
        <w:t xml:space="preserve">ns-to-Service: </w:t>
      </w:r>
      <w:bookmarkEnd w:id="40"/>
      <w:bookmarkEnd w:id="41"/>
      <w:bookmarkEnd w:id="42"/>
      <w:bookmarkEnd w:id="43"/>
      <w:bookmarkEnd w:id="44"/>
      <w:bookmarkEnd w:id="45"/>
      <w:bookmarkEnd w:id="46"/>
      <w:bookmarkEnd w:id="47"/>
      <w:bookmarkEnd w:id="48"/>
      <w:bookmarkEnd w:id="49"/>
      <w:bookmarkEnd w:id="50"/>
      <w:bookmarkEnd w:id="51"/>
      <w:bookmarkEnd w:id="52"/>
      <w:bookmarkEnd w:id="53"/>
      <w:r>
        <w:t>Calculation of DAM Constraint Residuals and Division of DAM Constraint Residuals into O/R-t-S DAM Constraint Residuals and U/D DAM Constraint Residuals</w:t>
      </w:r>
      <w:bookmarkEnd w:id="54"/>
      <w:bookmarkEnd w:id="55"/>
      <w:bookmarkEnd w:id="56"/>
      <w:bookmarkEnd w:id="57"/>
      <w:bookmarkEnd w:id="58"/>
      <w:bookmarkEnd w:id="59"/>
      <w:bookmarkEnd w:id="60"/>
      <w:bookmarkEnd w:id="61"/>
      <w:bookmarkEnd w:id="62"/>
      <w:bookmarkEnd w:id="63"/>
      <w:bookmarkEnd w:id="64"/>
      <w:bookmarkEnd w:id="65"/>
      <w:bookmarkEnd w:id="66"/>
    </w:p>
    <w:p w:rsidR="00916DF8" w:rsidRDefault="003909C1">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3909C1">
      <w:pPr>
        <w:pStyle w:val="FormulaCaption"/>
      </w:pPr>
      <w:bookmarkStart w:id="67" w:name="_Ref115549739"/>
      <w:r>
        <w:t>Formula B-5</w:t>
      </w:r>
    </w:p>
    <w:p w:rsidR="000B432B" w:rsidRPr="00593A8B" w:rsidRDefault="00C476D8" w:rsidP="00593A8B">
      <w:pPr>
        <w:keepNext/>
        <w:ind w:left="-540" w:right="-720"/>
        <w:rPr>
          <w:sz w:val="22"/>
        </w:rPr>
      </w:pPr>
      <m:oMathPara>
        <m:oMathParaPr>
          <m:jc m:val="center"/>
        </m:oMathParaPr>
        <m:oMath>
          <w:bookmarkEnd w:id="67"/>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3909C1">
      <w:pPr>
        <w:keepNext/>
      </w:pPr>
    </w:p>
    <w:p w:rsidR="00E964CF" w:rsidRDefault="003909C1">
      <w:pPr>
        <w:keepNext/>
      </w:pPr>
    </w:p>
    <w:p w:rsidR="00916DF8" w:rsidRDefault="003909C1">
      <w:pPr>
        <w:spacing w:after="120"/>
      </w:pPr>
      <w:r>
        <w:t>Where,</w:t>
      </w:r>
    </w:p>
    <w:tbl>
      <w:tblPr>
        <w:tblW w:w="9720" w:type="dxa"/>
        <w:tblInd w:w="378" w:type="dxa"/>
        <w:tblLayout w:type="fixed"/>
        <w:tblLook w:val="0000"/>
      </w:tblPr>
      <w:tblGrid>
        <w:gridCol w:w="2070"/>
        <w:gridCol w:w="270"/>
        <w:gridCol w:w="7380"/>
      </w:tblGrid>
      <w:tr w:rsidR="00C476D8" w:rsidTr="003A618A">
        <w:tc>
          <w:tcPr>
            <w:tcW w:w="2070" w:type="dxa"/>
          </w:tcPr>
          <w:p w:rsidR="00F87763" w:rsidRPr="00F87763" w:rsidRDefault="00C476D8"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3909C1" w:rsidP="003A618A">
            <w:pPr>
              <w:spacing w:after="120"/>
              <w:jc w:val="center"/>
            </w:pPr>
            <w:r w:rsidRPr="00F87763">
              <w:t>=</w:t>
            </w:r>
          </w:p>
        </w:tc>
        <w:tc>
          <w:tcPr>
            <w:tcW w:w="7380" w:type="dxa"/>
          </w:tcPr>
          <w:p w:rsidR="00F87763" w:rsidRPr="00F87763" w:rsidRDefault="003909C1" w:rsidP="00F87763">
            <w:pPr>
              <w:spacing w:after="120"/>
            </w:pPr>
            <w:r w:rsidRPr="00235BBD">
              <w:t>The DAM Constraint Residual, in dollars, for binding constra</w:t>
            </w:r>
            <w:r w:rsidRPr="00235BBD">
              <w:t>int</w:t>
            </w:r>
            <w:r w:rsidRPr="00235BBD">
              <w:rPr>
                <w:i/>
              </w:rPr>
              <w:t xml:space="preserve"> a</w:t>
            </w:r>
            <w:r w:rsidRPr="00235BBD">
              <w:t xml:space="preserve"> in hour </w:t>
            </w:r>
            <w:r w:rsidRPr="00235BBD">
              <w:rPr>
                <w:i/>
              </w:rPr>
              <w:t>h</w:t>
            </w:r>
            <w:r w:rsidRPr="00235BBD">
              <w:t xml:space="preserve"> of the Day-Ahead Market</w:t>
            </w:r>
          </w:p>
        </w:tc>
      </w:tr>
      <w:tr w:rsidR="00C476D8" w:rsidTr="003A618A">
        <w:tc>
          <w:tcPr>
            <w:tcW w:w="2070" w:type="dxa"/>
          </w:tcPr>
          <w:p w:rsidR="00F87763" w:rsidRPr="00F87763" w:rsidRDefault="00C476D8"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3909C1" w:rsidP="003A618A">
            <w:pPr>
              <w:spacing w:after="120"/>
              <w:jc w:val="center"/>
            </w:pPr>
            <w:r w:rsidRPr="00F87763">
              <w:t>=</w:t>
            </w:r>
          </w:p>
        </w:tc>
        <w:tc>
          <w:tcPr>
            <w:tcW w:w="7380" w:type="dxa"/>
          </w:tcPr>
          <w:p w:rsidR="00F87763" w:rsidRPr="00F87763" w:rsidRDefault="003909C1"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C476D8" w:rsidTr="003A618A">
        <w:tc>
          <w:tcPr>
            <w:tcW w:w="2070" w:type="dxa"/>
          </w:tcPr>
          <w:p w:rsidR="00F87763" w:rsidRPr="00F87763" w:rsidRDefault="00C476D8"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3909C1" w:rsidP="003A618A">
            <w:pPr>
              <w:spacing w:after="120"/>
              <w:jc w:val="center"/>
            </w:pPr>
            <w:r w:rsidRPr="00F87763">
              <w:t>=</w:t>
            </w:r>
          </w:p>
        </w:tc>
        <w:tc>
          <w:tcPr>
            <w:tcW w:w="7380" w:type="dxa"/>
          </w:tcPr>
          <w:p w:rsidR="00F87763" w:rsidRPr="00F87763" w:rsidRDefault="003909C1"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C476D8" w:rsidTr="003A618A">
        <w:tc>
          <w:tcPr>
            <w:tcW w:w="2070" w:type="dxa"/>
          </w:tcPr>
          <w:p w:rsidR="00054C4E" w:rsidRPr="000432DB" w:rsidRDefault="00C476D8"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3909C1" w:rsidP="003A618A">
            <w:pPr>
              <w:spacing w:after="120"/>
              <w:jc w:val="center"/>
            </w:pPr>
            <w:r>
              <w:t>=</w:t>
            </w:r>
          </w:p>
        </w:tc>
        <w:tc>
          <w:tcPr>
            <w:tcW w:w="7380" w:type="dxa"/>
          </w:tcPr>
          <w:p w:rsidR="00054C4E" w:rsidRPr="00054C4E" w:rsidRDefault="003909C1"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3909C1"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3909C1">
      <w:pPr>
        <w:spacing w:after="120"/>
      </w:pPr>
    </w:p>
    <w:p w:rsidR="00916DF8" w:rsidRDefault="003909C1">
      <w:pPr>
        <w:pStyle w:val="romannumeralpara"/>
      </w:pPr>
      <w:r>
        <w:t>(1)</w:t>
      </w:r>
      <w:r>
        <w:tab/>
        <w:t>in the eve</w:t>
      </w:r>
      <w:r>
        <w:t xml:space="preser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t>
      </w:r>
      <w:r>
        <w:t>w shall be calculated using the set of injections and withdrawals that corresponds to the set of TCCs and Grandfathered Rights represented in the solution to that auction (including those pre-existing TCCs and Grandfathered Rights represented as fixed inje</w:t>
      </w:r>
      <w:r>
        <w:t xml:space="preserve">ctions and withdrawals in that auction) and using Shift Factors from a simulated run of SCUC as first set forth in this definition of </w:t>
      </w:r>
      <w:r w:rsidRPr="00AC3CA1">
        <w:rPr>
          <w:i/>
        </w:rPr>
        <w:t>FLOW</w:t>
      </w:r>
      <w:r w:rsidRPr="00AC3CA1">
        <w:rPr>
          <w:i/>
          <w:vertAlign w:val="subscript"/>
        </w:rPr>
        <w:t>a,h,TCC Auction</w:t>
      </w:r>
    </w:p>
    <w:p w:rsidR="00916DF8" w:rsidRDefault="003909C1">
      <w:pPr>
        <w:pStyle w:val="romannumeralpara"/>
      </w:pPr>
      <w:r>
        <w:t xml:space="preserve">(2) </w:t>
      </w:r>
      <w:r>
        <w:tab/>
        <w:t>in the event that the monitored transmission facility for constraint</w:t>
      </w:r>
      <w:r>
        <w:rPr>
          <w:i/>
        </w:rPr>
        <w:t xml:space="preserve"> a</w:t>
      </w:r>
      <w:r>
        <w:t xml:space="preserve"> was modeled as out-of-serv</w:t>
      </w:r>
      <w:r>
        <w:t xml:space="preserve">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3909C1">
      <w:pPr>
        <w:pStyle w:val="romannumeralpara"/>
      </w:pPr>
      <w:r>
        <w:t>(i)</w:t>
      </w:r>
      <w:r>
        <w:tab/>
        <w:t>the rating limit, in MWh, for the monitored transmission</w:t>
      </w:r>
      <w:r>
        <w:t xml:space="preserve"> facility of binding constraint</w:t>
      </w:r>
      <w:r>
        <w:rPr>
          <w:i/>
        </w:rPr>
        <w:t xml:space="preserve"> a</w:t>
      </w:r>
      <w:r>
        <w:t xml:space="preserve"> applicable in hour </w:t>
      </w:r>
      <w:r>
        <w:rPr>
          <w:i/>
          <w:iCs/>
        </w:rPr>
        <w:t>h</w:t>
      </w:r>
      <w:r>
        <w:t xml:space="preserve"> of the Day-Ahead Market, multiplied by</w:t>
      </w:r>
    </w:p>
    <w:p w:rsidR="00916DF8" w:rsidRDefault="003909C1">
      <w:pPr>
        <w:pStyle w:val="romannumeralpara"/>
      </w:pPr>
      <w:r>
        <w:t xml:space="preserve">(ii) </w:t>
      </w:r>
      <w:r>
        <w:tab/>
        <w:t xml:space="preserve">negative </w:t>
      </w:r>
      <w:r w:rsidRPr="00AC3CA1">
        <w:rPr>
          <w:i/>
        </w:rPr>
        <w:t>SCUCSignChange</w:t>
      </w:r>
      <w:r w:rsidRPr="00AC3CA1">
        <w:rPr>
          <w:i/>
          <w:vertAlign w:val="subscript"/>
        </w:rPr>
        <w:t>a,h</w:t>
      </w:r>
    </w:p>
    <w:p w:rsidR="00916DF8" w:rsidRDefault="003909C1">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w:t>
      </w:r>
      <w:r>
        <w:t>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w:t>
      </w:r>
      <w:r>
        <w:t>alculated using the set of injections and withdrawals that corresponds to the set of TCCs and Grandfathered Rights represented in the solution to that auction (including those pre-existing TCCs and Grandfathered Rights represented as fixed injections and w</w:t>
      </w:r>
      <w:r>
        <w:t xml:space="preserve">ithdrawals in that auction) and using Shift Factors from a simulated run of SCUC as first set forth in this definition of </w:t>
      </w:r>
      <w:r w:rsidRPr="00AC3CA1">
        <w:rPr>
          <w:i/>
        </w:rPr>
        <w:t>FLOW</w:t>
      </w:r>
      <w:r w:rsidRPr="00AC3CA1">
        <w:rPr>
          <w:i/>
          <w:vertAlign w:val="subscript"/>
        </w:rPr>
        <w:t>a,h,TCC Auction</w:t>
      </w:r>
    </w:p>
    <w:p w:rsidR="00916DF8" w:rsidRDefault="003909C1">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t>
      </w:r>
      <w:r w:rsidRPr="00AC3CA1">
        <w:rPr>
          <w:i/>
        </w:rPr>
        <w:t>W</w:t>
      </w:r>
      <w:r w:rsidRPr="00AC3CA1">
        <w:rPr>
          <w:i/>
          <w:vertAlign w:val="subscript"/>
        </w:rPr>
        <w:t>a,h,TCC Auction</w:t>
      </w:r>
      <w:r>
        <w:t xml:space="preserve"> shall be equal to:</w:t>
      </w:r>
    </w:p>
    <w:p w:rsidR="00916DF8" w:rsidRDefault="003909C1">
      <w:pPr>
        <w:pStyle w:val="romannumeralpara"/>
      </w:pPr>
      <w:r>
        <w:t xml:space="preserve">(i) </w:t>
      </w:r>
      <w:r>
        <w:tab/>
        <w:t>the Energy flow on constraint</w:t>
      </w:r>
      <w:r>
        <w:rPr>
          <w:i/>
        </w:rPr>
        <w:t xml:space="preserve"> a</w:t>
      </w:r>
      <w:r>
        <w:t xml:space="preserve"> as determined in the most recent auction in which TCCs valid in hour </w:t>
      </w:r>
      <w:r>
        <w:rPr>
          <w:i/>
          <w:iCs/>
        </w:rPr>
        <w:t>h</w:t>
      </w:r>
      <w:r>
        <w:t xml:space="preserve"> were sold, multiplied by </w:t>
      </w:r>
    </w:p>
    <w:p w:rsidR="00916DF8" w:rsidRDefault="003909C1">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C476D8" w:rsidTr="00646C2A">
        <w:tc>
          <w:tcPr>
            <w:tcW w:w="2430" w:type="dxa"/>
          </w:tcPr>
          <w:p w:rsidR="00AC3CA1" w:rsidRPr="00F87763" w:rsidRDefault="00C476D8"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3909C1" w:rsidP="00170EA6">
            <w:pPr>
              <w:spacing w:after="120"/>
              <w:jc w:val="center"/>
            </w:pPr>
            <w:r w:rsidRPr="00F87763">
              <w:t>=</w:t>
            </w:r>
          </w:p>
        </w:tc>
        <w:tc>
          <w:tcPr>
            <w:tcW w:w="6330" w:type="dxa"/>
          </w:tcPr>
          <w:p w:rsidR="00AC3CA1" w:rsidRPr="00AC3CA1" w:rsidRDefault="003909C1" w:rsidP="00AC3CA1">
            <w:pPr>
              <w:spacing w:after="120"/>
            </w:pPr>
            <w:r w:rsidRPr="00AC3CA1">
              <w:t>Zero, except that in the event of</w:t>
            </w:r>
            <w:r w:rsidRPr="00AC3CA1">
              <w:t xml:space="preserve">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xml:space="preserve">, then the Centralized TCC Auction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w:t>
            </w:r>
            <w:r w:rsidRPr="00AC3CA1">
              <w:t>mpact reflected in such table.</w:t>
            </w:r>
          </w:p>
          <w:p w:rsidR="00AC3CA1" w:rsidRPr="00F87763" w:rsidRDefault="003909C1"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zero in the event that the monitored transmission facility for binding constraint</w:t>
            </w:r>
            <w:r w:rsidRPr="00AC3CA1">
              <w:rPr>
                <w:i/>
              </w:rPr>
              <w:t xml:space="preserve"> a</w:t>
            </w:r>
            <w:r w:rsidRPr="00AC3CA1">
              <w:t xml:space="preserve"> in the Day-Ahead Market was modeled as out-of-service in the most re</w:t>
            </w:r>
            <w:r w:rsidRPr="00AC3CA1">
              <w:t xml:space="preserve">cent auction in which TCCs valid in hour </w:t>
            </w:r>
            <w:r w:rsidRPr="00AC3CA1">
              <w:rPr>
                <w:i/>
                <w:iCs/>
              </w:rPr>
              <w:t>h</w:t>
            </w:r>
            <w:r w:rsidRPr="00AC3CA1">
              <w:t xml:space="preserve"> were sold and that transmission facility returns to service for hour </w:t>
            </w:r>
            <w:r w:rsidRPr="00AC3CA1">
              <w:rPr>
                <w:i/>
                <w:iCs/>
              </w:rPr>
              <w:t>h</w:t>
            </w:r>
            <w:r w:rsidRPr="00AC3CA1">
              <w:t>.</w:t>
            </w:r>
          </w:p>
        </w:tc>
      </w:tr>
      <w:tr w:rsidR="00C476D8" w:rsidTr="00646C2A">
        <w:tc>
          <w:tcPr>
            <w:tcW w:w="2430" w:type="dxa"/>
          </w:tcPr>
          <w:p w:rsidR="00AC3CA1" w:rsidRPr="00F87763" w:rsidRDefault="00C476D8"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3909C1" w:rsidP="00170EA6">
            <w:pPr>
              <w:spacing w:after="120"/>
              <w:jc w:val="center"/>
            </w:pPr>
            <w:r>
              <w:t>=</w:t>
            </w:r>
          </w:p>
        </w:tc>
        <w:tc>
          <w:tcPr>
            <w:tcW w:w="6330" w:type="dxa"/>
          </w:tcPr>
          <w:p w:rsidR="00AC3CA1" w:rsidRPr="00F87763" w:rsidRDefault="003909C1"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m:t>
                  </m:r>
                  <m:r>
                    <w:rPr>
                      <w:rFonts w:ascii="Cambria Math" w:hAnsi="Cambria Math"/>
                      <w:sz w:val="22"/>
                    </w:rPr>
                    <m: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w:t>
            </w:r>
            <w:r w:rsidRPr="00170EA6">
              <w:t>uction in which TCCs valid in hour</w:t>
            </w:r>
            <w:r w:rsidRPr="00170EA6">
              <w:rPr>
                <w:i/>
                <w:iCs/>
              </w:rPr>
              <w:t xml:space="preserve"> h </w:t>
            </w:r>
            <w:r w:rsidRPr="00170EA6">
              <w:t xml:space="preserve">were sold but which transmission Capacity was not sold; or (2) the absolute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C476D8" w:rsidTr="00646C2A">
        <w:tc>
          <w:tcPr>
            <w:tcW w:w="2430" w:type="dxa"/>
          </w:tcPr>
          <w:p w:rsidR="00AC3CA1" w:rsidRPr="00F87763" w:rsidRDefault="00C476D8"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3909C1" w:rsidP="00170EA6">
            <w:pPr>
              <w:spacing w:after="120"/>
              <w:jc w:val="center"/>
            </w:pPr>
            <w:r>
              <w:t>=</w:t>
            </w:r>
          </w:p>
        </w:tc>
        <w:tc>
          <w:tcPr>
            <w:tcW w:w="6330" w:type="dxa"/>
          </w:tcPr>
          <w:p w:rsidR="00AC3CA1" w:rsidRPr="00F87763" w:rsidRDefault="003909C1"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C476D8" w:rsidTr="00646C2A">
        <w:tc>
          <w:tcPr>
            <w:tcW w:w="2430" w:type="dxa"/>
          </w:tcPr>
          <w:p w:rsidR="00AC3CA1" w:rsidRPr="000432DB" w:rsidRDefault="00C476D8"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3909C1" w:rsidP="00170EA6">
            <w:pPr>
              <w:spacing w:after="120"/>
              <w:jc w:val="center"/>
            </w:pPr>
            <w:r>
              <w:t>=</w:t>
            </w:r>
          </w:p>
        </w:tc>
        <w:tc>
          <w:tcPr>
            <w:tcW w:w="6330" w:type="dxa"/>
          </w:tcPr>
          <w:p w:rsidR="00AC3CA1" w:rsidRPr="00054C4E" w:rsidRDefault="003909C1"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3909C1" w:rsidP="00AC3CA1">
      <w:pPr>
        <w:pStyle w:val="romannumeralpara"/>
        <w:ind w:left="0" w:firstLine="0"/>
      </w:pPr>
    </w:p>
    <w:p w:rsidR="00916DF8" w:rsidRDefault="003909C1">
      <w:pPr>
        <w:pStyle w:val="Bodypara"/>
      </w:pPr>
      <w:r>
        <w:t>Following calculation of the DAM Constraint Residual for each constraint</w:t>
      </w:r>
      <w:r>
        <w:rPr>
          <w:i/>
        </w:rPr>
        <w:t xml:space="preserve"> a</w:t>
      </w:r>
      <w:r>
        <w:t xml:space="preserve"> for each hour </w:t>
      </w:r>
      <w:r>
        <w:rPr>
          <w:i/>
          <w:iCs/>
        </w:rPr>
        <w:t>h</w:t>
      </w:r>
      <w:r>
        <w:t xml:space="preserve">, the ISO </w:t>
      </w:r>
      <w:r>
        <w:t>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w:t>
      </w:r>
      <w:r>
        <w:t xml:space="preserve">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3909C1">
      <w:pPr>
        <w:pStyle w:val="FormulaCaption"/>
      </w:pPr>
      <w:bookmarkStart w:id="68" w:name="_Ref115549869"/>
      <w:r>
        <w:t>Formula B-6</w:t>
      </w:r>
    </w:p>
    <w:p w:rsidR="00D17BC8" w:rsidRDefault="00C476D8" w:rsidP="00B2602B">
      <w:pPr>
        <w:spacing w:after="120"/>
        <w:ind w:left="-360" w:right="-360"/>
        <w:jc w:val="both"/>
      </w:pPr>
      <m:oMathPara>
        <m:oMath>
          <w:bookmarkEnd w:id="68"/>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3909C1">
      <w:pPr>
        <w:spacing w:after="120"/>
        <w:jc w:val="both"/>
      </w:pPr>
    </w:p>
    <w:p w:rsidR="00916DF8" w:rsidRDefault="003909C1">
      <w:pPr>
        <w:spacing w:after="120"/>
        <w:jc w:val="both"/>
      </w:pPr>
      <w:r>
        <w:t>Where,</w:t>
      </w:r>
    </w:p>
    <w:p w:rsidR="00442490" w:rsidRDefault="003909C1" w:rsidP="00442490">
      <w:pPr>
        <w:tabs>
          <w:tab w:val="left" w:pos="1680"/>
        </w:tabs>
        <w:snapToGrid w:val="0"/>
        <w:spacing w:after="120"/>
        <w:ind w:left="2040" w:hanging="2040"/>
      </w:pPr>
      <w:r w:rsidRPr="000D7816">
        <w:rPr>
          <w:i/>
        </w:rPr>
        <w:t>O/R-t-S DCR</w:t>
      </w:r>
      <w:r w:rsidRPr="000D7816">
        <w:rPr>
          <w:i/>
          <w:vertAlign w:val="subscript"/>
        </w:rPr>
        <w:t>a,h</w:t>
      </w:r>
      <w:r>
        <w:tab/>
        <w:t>=</w:t>
      </w:r>
      <w:r>
        <w:tab/>
        <w:t xml:space="preserve">The amount of the O/R-t-S DAM Constraint Residual, in dollars, for hour </w:t>
      </w:r>
      <w:r>
        <w:rPr>
          <w:i/>
          <w:iCs/>
        </w:rPr>
        <w:t>h</w:t>
      </w:r>
      <w:r>
        <w:t xml:space="preserve"> and for constraint</w:t>
      </w:r>
      <w:r>
        <w:rPr>
          <w:i/>
        </w:rPr>
        <w:t xml:space="preserve"> a</w:t>
      </w:r>
      <w:r>
        <w:t xml:space="preserve"> </w:t>
      </w:r>
    </w:p>
    <w:p w:rsidR="00442490" w:rsidRDefault="003909C1" w:rsidP="00442490">
      <w:pPr>
        <w:tabs>
          <w:tab w:val="left" w:pos="1680"/>
        </w:tabs>
        <w:snapToGrid w:val="0"/>
        <w:spacing w:after="120"/>
        <w:ind w:left="2040" w:hanging="2040"/>
      </w:pPr>
    </w:p>
    <w:p w:rsidR="00916DF8" w:rsidRDefault="003909C1" w:rsidP="00442490">
      <w:pPr>
        <w:tabs>
          <w:tab w:val="left" w:pos="1680"/>
        </w:tabs>
        <w:snapToGrid w:val="0"/>
        <w:spacing w:after="120"/>
        <w:ind w:left="2040" w:hanging="2040"/>
      </w:pPr>
      <w:r>
        <w:t xml:space="preserve">and each of the </w:t>
      </w:r>
      <w:r>
        <w:t>other variables are as defined in Formula B-5.</w:t>
      </w:r>
    </w:p>
    <w:p w:rsidR="00916DF8" w:rsidRDefault="003909C1">
      <w:pPr>
        <w:pStyle w:val="FormulaCaption"/>
      </w:pPr>
      <w:bookmarkStart w:id="69" w:name="_Ref115549898"/>
      <w:r>
        <w:t>Formula B-7</w:t>
      </w:r>
    </w:p>
    <w:p w:rsidR="00442490" w:rsidRDefault="00C476D8" w:rsidP="003A618A">
      <w:pPr>
        <w:spacing w:after="120"/>
        <w:ind w:left="-360" w:right="-360"/>
      </w:pPr>
      <m:oMathPara>
        <m:oMath>
          <w:bookmarkEnd w:id="69"/>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3909C1">
      <w:pPr>
        <w:spacing w:after="120"/>
      </w:pPr>
    </w:p>
    <w:p w:rsidR="00916DF8" w:rsidRDefault="003909C1" w:rsidP="00B63077">
      <w:pPr>
        <w:pStyle w:val="Bodypara"/>
        <w:ind w:firstLine="0"/>
      </w:pPr>
      <w:r>
        <w:t>Wh</w:t>
      </w:r>
      <w:r>
        <w:rPr>
          <w:rStyle w:val="BodyparaChar"/>
        </w:rPr>
        <w:t>er</w:t>
      </w:r>
      <w:r>
        <w:t>e,</w:t>
      </w:r>
    </w:p>
    <w:p w:rsidR="00442490" w:rsidRDefault="003909C1"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3909C1" w:rsidP="00B63077">
      <w:pPr>
        <w:pStyle w:val="equationtext"/>
        <w:tabs>
          <w:tab w:val="clear" w:pos="1440"/>
          <w:tab w:val="clear" w:pos="2160"/>
          <w:tab w:val="left" w:pos="1350"/>
        </w:tabs>
        <w:ind w:left="1710" w:hanging="1710"/>
      </w:pPr>
    </w:p>
    <w:p w:rsidR="00916DF8" w:rsidRDefault="003909C1" w:rsidP="00B63077">
      <w:pPr>
        <w:pStyle w:val="equationtext"/>
        <w:tabs>
          <w:tab w:val="clear" w:pos="1440"/>
          <w:tab w:val="clear" w:pos="2160"/>
          <w:tab w:val="left" w:pos="1350"/>
        </w:tabs>
        <w:ind w:left="1710" w:hanging="1710"/>
      </w:pPr>
      <w:r>
        <w:t>and each of the other variables are as defined in Formula B-5.</w:t>
      </w:r>
    </w:p>
    <w:p w:rsidR="00916DF8" w:rsidRDefault="003909C1">
      <w:pPr>
        <w:pStyle w:val="Heading4"/>
        <w:rPr>
          <w:rFonts w:eastAsia="Arial Unicode MS"/>
        </w:rPr>
      </w:pPr>
      <w:bookmarkStart w:id="70" w:name="_Toc115547746"/>
      <w:bookmarkStart w:id="71" w:name="_Ref115549408"/>
      <w:bookmarkStart w:id="72" w:name="_Ref115549988"/>
      <w:bookmarkStart w:id="73" w:name="_Toc115574859"/>
      <w:bookmarkStart w:id="74" w:name="_Toc115773984"/>
      <w:bookmarkStart w:id="75" w:name="_Toc115840225"/>
      <w:bookmarkStart w:id="76" w:name="_Toc115840429"/>
      <w:bookmarkStart w:id="77" w:name="_Toc115840621"/>
      <w:bookmarkStart w:id="78" w:name="_Toc115845822"/>
      <w:bookmarkStart w:id="79" w:name="_Toc115846359"/>
      <w:bookmarkStart w:id="80" w:name="_Toc115846623"/>
      <w:bookmarkStart w:id="81" w:name="_Toc115847057"/>
      <w:bookmarkStart w:id="82" w:name="_Toc115847316"/>
      <w:bookmarkStart w:id="83" w:name="_Ref115871287"/>
      <w:bookmarkStart w:id="84" w:name="_Toc116195319"/>
      <w:bookmarkStart w:id="85" w:name="_Toc116196586"/>
      <w:bookmarkStart w:id="86" w:name="_Toc116196763"/>
      <w:bookmarkStart w:id="87" w:name="_Toc116197250"/>
      <w:bookmarkStart w:id="88" w:name="_Toc119143705"/>
      <w:bookmarkStart w:id="89" w:name="_Toc124754725"/>
      <w:bookmarkStart w:id="90" w:name="_Toc124858883"/>
      <w:bookmarkStart w:id="91" w:name="_Toc124858989"/>
      <w:bookmarkStart w:id="92" w:name="_Toc124908504"/>
      <w:bookmarkStart w:id="93" w:name="_Toc124908605"/>
      <w:bookmarkStart w:id="94" w:name="_Toc124909376"/>
      <w:bookmarkStart w:id="95" w:name="_Toc124909480"/>
      <w:bookmarkStart w:id="96" w:name="_Toc125885621"/>
      <w:bookmarkStart w:id="97" w:name="_Toc263408332"/>
      <w:r>
        <w:t>17.5.</w:t>
      </w:r>
      <w:r>
        <w:rPr>
          <w:rFonts w:eastAsia="Arial Unicode MS"/>
        </w:rPr>
        <w:t>2.4.2</w:t>
      </w:r>
      <w:r>
        <w:rPr>
          <w:rFonts w:eastAsia="Arial Unicode MS"/>
        </w:rPr>
        <w:tab/>
      </w:r>
      <w:r>
        <w:t xml:space="preserve">Charges and Payments for the Direct Impact of DAM Outages and </w:t>
      </w:r>
      <w:r>
        <w:t>Returns-to-Service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916DF8" w:rsidRDefault="003909C1">
      <w:pPr>
        <w:pStyle w:val="Bodypara"/>
      </w:pPr>
      <w:r>
        <w:t>The ISO shall use O/R-t-S DAM Constraint Residuals to allocate O/R-t-S Congestion Rent Shortfall Charges and O/R-t-S Congestion Rent Surplus Payments, as the case may be, among Transmission Owners pursuant to this Section 17.5.2.4.2.  Ea</w:t>
      </w:r>
      <w:r>
        <w:t>ch O/R-t-S Congestion Rent Shortfall Charge and each O/R-t-S Congestion Rent Surplus Payment allocated to a Transmission Owner pursuant to this Section 17.5.2.4.2 is subject to being set equal to zero pursuant to Section 17.5.2.4.5.</w:t>
      </w:r>
    </w:p>
    <w:p w:rsidR="00916DF8" w:rsidRDefault="003909C1">
      <w:pPr>
        <w:pStyle w:val="Heading4"/>
      </w:pPr>
      <w:bookmarkStart w:id="98" w:name="_Toc115547747"/>
      <w:bookmarkStart w:id="99" w:name="_Ref115548442"/>
      <w:bookmarkStart w:id="100" w:name="_Toc115574860"/>
      <w:bookmarkStart w:id="101" w:name="_Toc115773985"/>
      <w:bookmarkStart w:id="102" w:name="_Toc115840226"/>
      <w:bookmarkStart w:id="103" w:name="_Toc115840430"/>
      <w:bookmarkStart w:id="104" w:name="_Toc115840622"/>
      <w:bookmarkStart w:id="105" w:name="_Toc115845823"/>
      <w:bookmarkStart w:id="106" w:name="_Toc115846360"/>
      <w:bookmarkStart w:id="107" w:name="_Toc115846624"/>
      <w:bookmarkStart w:id="108" w:name="_Toc115847058"/>
      <w:bookmarkStart w:id="109" w:name="_Toc115847317"/>
      <w:bookmarkStart w:id="110" w:name="_Toc116195320"/>
      <w:bookmarkStart w:id="111" w:name="_Toc116196587"/>
      <w:bookmarkStart w:id="112" w:name="_Toc116196764"/>
      <w:bookmarkStart w:id="113" w:name="_Toc116197251"/>
      <w:bookmarkStart w:id="114" w:name="_Toc119143706"/>
      <w:bookmarkStart w:id="115" w:name="_Toc124754726"/>
      <w:bookmarkStart w:id="116" w:name="_Toc124858884"/>
      <w:bookmarkStart w:id="117" w:name="_Toc124858990"/>
      <w:bookmarkStart w:id="118" w:name="_Toc124908505"/>
      <w:bookmarkStart w:id="119" w:name="_Toc124908606"/>
      <w:bookmarkStart w:id="120" w:name="_Toc124909377"/>
      <w:bookmarkStart w:id="121" w:name="_Toc124909481"/>
      <w:bookmarkStart w:id="122" w:name="_Ref124952478"/>
      <w:bookmarkStart w:id="123" w:name="_Toc125885622"/>
      <w:bookmarkStart w:id="124" w:name="_Toc263408333"/>
      <w:r>
        <w:t>17.5.2.4.2.1</w:t>
      </w:r>
      <w:r>
        <w:tab/>
        <w:t>Identifica</w:t>
      </w:r>
      <w:r>
        <w:t>tion of Outages and Returns-to-Service Qualifying for Charges and Payments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16DF8" w:rsidRDefault="003909C1">
      <w:pPr>
        <w:pStyle w:val="Bodypara"/>
      </w:pPr>
      <w:r>
        <w:t>For each hour of the Day-Ahead Market, the ISO shall identify each Qualifying DAM Outage and each Qualifying DAM Return-to-Service, as described below.  The Transmission Owner respo</w:t>
      </w:r>
      <w:r>
        <w:t>nsible, as determined pursuant to Section 17.5.2.4.4, for a Qualifying DAM Outage or Qualifying DAM Return-to-Service shall be allocated an O/R-t-S Congestion Rent Shortfall Charge or an O/R-t-S Congestion Rent Surplus Payment pursuant to Sections 17.5.2.4</w:t>
      </w:r>
      <w:r>
        <w:t>.2.2 or 17.5.2.4.2.3.</w:t>
      </w:r>
    </w:p>
    <w:p w:rsidR="00916DF8" w:rsidRDefault="003909C1">
      <w:pPr>
        <w:pStyle w:val="Heading4"/>
      </w:pPr>
      <w:bookmarkStart w:id="125" w:name="_Toc263408334"/>
      <w:r>
        <w:t>17.5.2.4.2.1.1</w:t>
      </w:r>
      <w:r>
        <w:tab/>
        <w:t>Definition of Qualifying DAM Outage</w:t>
      </w:r>
      <w:bookmarkEnd w:id="125"/>
      <w:r>
        <w:t xml:space="preserve"> </w:t>
      </w:r>
    </w:p>
    <w:p w:rsidR="00916DF8" w:rsidRDefault="003909C1">
      <w:pPr>
        <w:pStyle w:val="Bodypara"/>
      </w:pPr>
      <w:r>
        <w:t>A “</w:t>
      </w:r>
      <w:r>
        <w:rPr>
          <w:b/>
          <w:bCs/>
        </w:rPr>
        <w:t>Qualifying DAM Outage</w:t>
      </w:r>
      <w:r>
        <w:t>” shall be defined to mean either an Actual Qualifying DAM Outage or a Deemed Qualifying DAM Outage.  For purposes of this Part 17.5 of this Attachment B, “</w:t>
      </w:r>
      <w:r>
        <w:rPr>
          <w:i/>
          <w:iCs/>
        </w:rPr>
        <w:t>o</w:t>
      </w:r>
      <w:r>
        <w:t>”</w:t>
      </w:r>
      <w:r>
        <w:t xml:space="preserve"> shall refer to a single Qualifying DAM Outage.  </w:t>
      </w:r>
    </w:p>
    <w:p w:rsidR="00916DF8" w:rsidRDefault="003909C1">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3909C1">
      <w:pPr>
        <w:pStyle w:val="romannumeralpara"/>
      </w:pPr>
      <w:r>
        <w:t>(i)</w:t>
      </w:r>
      <w:r>
        <w:tab/>
        <w:t>the facility exists but is not</w:t>
      </w:r>
      <w:r>
        <w:t xml:space="preserve"> modeled as in-service for the Day-Ahead Market for hour </w:t>
      </w:r>
      <w:r>
        <w:rPr>
          <w:i/>
          <w:iCs/>
        </w:rPr>
        <w:t>h</w:t>
      </w:r>
      <w:r>
        <w:t>;</w:t>
      </w:r>
    </w:p>
    <w:p w:rsidR="00916DF8" w:rsidRDefault="003909C1">
      <w:pPr>
        <w:pStyle w:val="romannumeralpara"/>
      </w:pPr>
      <w:r>
        <w:t>(ii)</w:t>
      </w:r>
      <w:r>
        <w:tab/>
        <w:t xml:space="preserve">the facility existed and was modeled as in-service in the last auction held for TCCs valid for hour </w:t>
      </w:r>
      <w:r>
        <w:rPr>
          <w:i/>
          <w:iCs/>
        </w:rPr>
        <w:t>h</w:t>
      </w:r>
      <w:r>
        <w:t>; and</w:t>
      </w:r>
    </w:p>
    <w:p w:rsidR="00916DF8" w:rsidRDefault="003909C1">
      <w:pPr>
        <w:pStyle w:val="romannumeralpara"/>
      </w:pPr>
      <w:r>
        <w:t>(iii)</w:t>
      </w:r>
      <w:r>
        <w:tab/>
      </w:r>
      <w:r>
        <w:t xml:space="preserve">the facility was not Normally Out-of-Service Equipment at the time of the last auction held for TCCs valid for hour </w:t>
      </w:r>
      <w:r>
        <w:rPr>
          <w:i/>
          <w:iCs/>
        </w:rPr>
        <w:t>h</w:t>
      </w:r>
      <w:r>
        <w:t>.</w:t>
      </w:r>
    </w:p>
    <w:p w:rsidR="00916DF8" w:rsidRDefault="003909C1">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w:t>
      </w:r>
      <w:r>
        <w:t xml:space="preserve"> of the following requirements:  </w:t>
      </w:r>
    </w:p>
    <w:p w:rsidR="00916DF8" w:rsidRDefault="003909C1">
      <w:pPr>
        <w:pStyle w:val="romannumeralpara"/>
      </w:pPr>
      <w:r>
        <w:t>(i)</w:t>
      </w:r>
      <w:r>
        <w:tab/>
        <w:t xml:space="preserve">the facility existed but was not modeled as in-service for the last auction held for TCCs valid for hour </w:t>
      </w:r>
      <w:r>
        <w:rPr>
          <w:i/>
          <w:iCs/>
        </w:rPr>
        <w:t>h</w:t>
      </w:r>
      <w:r>
        <w:t>;</w:t>
      </w:r>
    </w:p>
    <w:p w:rsidR="00916DF8" w:rsidRDefault="003909C1">
      <w:pPr>
        <w:pStyle w:val="romannumeralpara"/>
      </w:pPr>
      <w:r>
        <w:t>(ii)</w:t>
      </w:r>
      <w:r>
        <w:tab/>
        <w:t xml:space="preserve">the facility existed but was not modeled as in-service in hour </w:t>
      </w:r>
      <w:r>
        <w:rPr>
          <w:i/>
          <w:iCs/>
        </w:rPr>
        <w:t>h</w:t>
      </w:r>
      <w:r>
        <w:t xml:space="preserve"> as a result of a DAM Status Change or ex</w:t>
      </w:r>
      <w:r>
        <w:t>ternal event described in Section 17.5.2.4.4.3 for which responsibility was assigned pursuant to Section 17.5.2.4.4 to a Transmission Owner (including the ISO when it is deemed a Transmission Owner pursuant to Section 17.5.2.4.4) other than the Transmissio</w:t>
      </w:r>
      <w:r>
        <w:t xml:space="preserve">n Owner assigned responsibility for the facility not being modeled as in-service for the last auction held for TCCs valid for hour </w:t>
      </w:r>
      <w:r>
        <w:rPr>
          <w:i/>
          <w:iCs/>
        </w:rPr>
        <w:t>h</w:t>
      </w:r>
      <w:r>
        <w:t>;</w:t>
      </w:r>
    </w:p>
    <w:p w:rsidR="00916DF8" w:rsidRDefault="003909C1">
      <w:pPr>
        <w:pStyle w:val="romannumeralpara"/>
      </w:pPr>
      <w:r>
        <w:t>(iii)</w:t>
      </w:r>
      <w:r>
        <w:tab/>
        <w:t xml:space="preserve">the facility was not Normally Out-of-Service Equipment at the time of the last auction held for TCCs valid for hour </w:t>
      </w:r>
      <w:r>
        <w:rPr>
          <w:i/>
          <w:iCs/>
        </w:rPr>
        <w:t>h</w:t>
      </w:r>
      <w:r>
        <w:t>.</w:t>
      </w:r>
    </w:p>
    <w:p w:rsidR="00916DF8" w:rsidRDefault="003909C1">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alternative transmission equipment to bring th</w:t>
      </w:r>
      <w:r>
        <w:t>e facility back in-service so long as the Transmission Owner has notified the ISO in advance of or contemporaneously with the use of such spare or alternative equipment and the estimated duration of its use.</w:t>
      </w:r>
    </w:p>
    <w:p w:rsidR="00916DF8" w:rsidRDefault="003909C1">
      <w:pPr>
        <w:pStyle w:val="Heading4"/>
      </w:pPr>
      <w:bookmarkStart w:id="126" w:name="_Toc263408335"/>
      <w:r>
        <w:t>17.5.2.4.2.1.2</w:t>
      </w:r>
      <w:r>
        <w:tab/>
        <w:t>Definition of Qualifying DAM Retu</w:t>
      </w:r>
      <w:r>
        <w:t>rn-to-Service</w:t>
      </w:r>
      <w:bookmarkEnd w:id="126"/>
    </w:p>
    <w:p w:rsidR="00916DF8" w:rsidRDefault="003909C1">
      <w:pPr>
        <w:pStyle w:val="Bodypara"/>
      </w:pPr>
      <w:r>
        <w:t>A “</w:t>
      </w:r>
      <w:r>
        <w:rPr>
          <w:b/>
          <w:bCs/>
        </w:rPr>
        <w:t>Qualifying DAM Return-to-Service</w:t>
      </w:r>
      <w:r>
        <w:t>” shall be defined to mean either an Actual Qualifying DAM Return-to-Service or a Deemed Qualifying DAM Return-to-Service.  For purposes of this Part 17.5 of this Attachment B, “</w:t>
      </w:r>
      <w:r>
        <w:rPr>
          <w:i/>
          <w:iCs/>
        </w:rPr>
        <w:t>o</w:t>
      </w:r>
      <w:r>
        <w:t>” shall refer to a single Qu</w:t>
      </w:r>
      <w:r>
        <w:t>alifying DAM Return-to-Service.</w:t>
      </w:r>
    </w:p>
    <w:p w:rsidR="00916DF8" w:rsidRDefault="003909C1">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3909C1">
      <w:pPr>
        <w:pStyle w:val="romannumeralpara"/>
      </w:pPr>
      <w:r>
        <w:t>(i)</w:t>
      </w:r>
      <w:r>
        <w:tab/>
      </w:r>
      <w:r>
        <w:t xml:space="preserve">the facility exists and is modeled as in-service in the Day-Ahead Market for hour </w:t>
      </w:r>
      <w:r>
        <w:rPr>
          <w:i/>
          <w:iCs/>
        </w:rPr>
        <w:t>h</w:t>
      </w:r>
      <w:r>
        <w:t>;</w:t>
      </w:r>
    </w:p>
    <w:p w:rsidR="00916DF8" w:rsidRDefault="003909C1">
      <w:pPr>
        <w:pStyle w:val="romannumeralpara"/>
      </w:pPr>
      <w:r>
        <w:t>(ii)</w:t>
      </w:r>
      <w:r>
        <w:tab/>
        <w:t xml:space="preserve">the facility existed but was not modeled as in-service for the last auction held for TCCs valid for hour </w:t>
      </w:r>
      <w:r>
        <w:rPr>
          <w:i/>
          <w:iCs/>
        </w:rPr>
        <w:t>h</w:t>
      </w:r>
      <w:r>
        <w:t>; and</w:t>
      </w:r>
    </w:p>
    <w:p w:rsidR="00916DF8" w:rsidRDefault="003909C1">
      <w:pPr>
        <w:pStyle w:val="romannumeralpara"/>
      </w:pPr>
      <w:r>
        <w:t>(iii)</w:t>
      </w:r>
      <w:r>
        <w:tab/>
        <w:t>the facility was not Normally Out-of-Service Equ</w:t>
      </w:r>
      <w:r>
        <w:t xml:space="preserve">ipment at the time of the last auction held for TCCs valid for hour </w:t>
      </w:r>
      <w:r>
        <w:rPr>
          <w:i/>
          <w:iCs/>
        </w:rPr>
        <w:t>h</w:t>
      </w:r>
      <w:r>
        <w:rPr>
          <w:iCs/>
        </w:rPr>
        <w:t>.</w:t>
      </w:r>
    </w:p>
    <w:p w:rsidR="00916DF8" w:rsidRDefault="003909C1">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3909C1">
      <w:pPr>
        <w:pStyle w:val="romannumeralpara"/>
      </w:pPr>
      <w:r>
        <w:t>(i)</w:t>
      </w:r>
      <w:r>
        <w:tab/>
        <w:t xml:space="preserve">the facility existed but was not modeled as in-service for the last auction held for TCCs valid for hour </w:t>
      </w:r>
      <w:r>
        <w:rPr>
          <w:i/>
          <w:iCs/>
        </w:rPr>
        <w:t>h</w:t>
      </w:r>
      <w:r>
        <w:t>;</w:t>
      </w:r>
    </w:p>
    <w:p w:rsidR="00916DF8" w:rsidRDefault="003909C1">
      <w:pPr>
        <w:pStyle w:val="romannumeralpara"/>
      </w:pPr>
      <w:r>
        <w:t>(ii)</w:t>
      </w:r>
      <w:r>
        <w:tab/>
        <w:t xml:space="preserve">the facility existed but was not modeled as in-service in the Day-Ahead Market for hour </w:t>
      </w:r>
      <w:r>
        <w:rPr>
          <w:i/>
          <w:iCs/>
        </w:rPr>
        <w:t>h</w:t>
      </w:r>
      <w:r>
        <w:t xml:space="preserve"> as a result of a DAM Status Change or external event</w:t>
      </w:r>
      <w:r>
        <w:t xml:space="preserve"> described in Section 17.5.2.4.4.3 for which responsibility is assigned pursuant to Section 17.5.2.4.4 to a Transmission Owner (including the ISO when it is deemed a Transmission Owner pursuant to Section 17.5.2.4.4) other than the Transmission Owner assig</w:t>
      </w:r>
      <w:r>
        <w:t xml:space="preserve">ned responsibility for the facility not being modeled as in-service for the last auction held for TCCs valid for hour </w:t>
      </w:r>
      <w:r>
        <w:rPr>
          <w:i/>
          <w:iCs/>
        </w:rPr>
        <w:t>h</w:t>
      </w:r>
      <w:r>
        <w:t>; and</w:t>
      </w:r>
    </w:p>
    <w:p w:rsidR="00916DF8" w:rsidRDefault="003909C1">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3909C1">
      <w:pPr>
        <w:pStyle w:val="Heading4"/>
        <w:rPr>
          <w:rFonts w:eastAsia="Arial Unicode MS"/>
        </w:rPr>
      </w:pPr>
      <w:bookmarkStart w:id="127" w:name="_Toc115547748"/>
      <w:bookmarkStart w:id="128" w:name="_Ref115550084"/>
      <w:bookmarkStart w:id="129" w:name="_Toc115574861"/>
      <w:bookmarkStart w:id="130" w:name="_Toc115773986"/>
      <w:bookmarkStart w:id="131" w:name="_Toc115840227"/>
      <w:bookmarkStart w:id="132" w:name="_Toc115840431"/>
      <w:bookmarkStart w:id="133" w:name="_Toc115840623"/>
      <w:bookmarkStart w:id="134" w:name="_Toc115845824"/>
      <w:bookmarkStart w:id="135" w:name="_Toc115846361"/>
      <w:bookmarkStart w:id="136" w:name="_Toc115846625"/>
      <w:bookmarkStart w:id="137" w:name="_Toc115847059"/>
      <w:bookmarkStart w:id="138" w:name="_Toc115847318"/>
      <w:bookmarkStart w:id="139" w:name="_Toc116195321"/>
      <w:bookmarkStart w:id="140" w:name="_Toc116196588"/>
      <w:bookmarkStart w:id="141" w:name="_Toc116196765"/>
      <w:bookmarkStart w:id="142" w:name="_Toc116197252"/>
      <w:bookmarkStart w:id="143" w:name="_Toc119143707"/>
      <w:bookmarkStart w:id="144" w:name="_Toc124754727"/>
      <w:bookmarkStart w:id="145" w:name="_Toc124858885"/>
      <w:bookmarkStart w:id="146" w:name="_Toc124858991"/>
      <w:bookmarkStart w:id="147" w:name="_Toc124908506"/>
      <w:bookmarkStart w:id="148" w:name="_Toc124908607"/>
      <w:bookmarkStart w:id="149" w:name="_Toc124909378"/>
      <w:bookmarkStart w:id="150" w:name="_Toc124909482"/>
      <w:bookmarkStart w:id="151" w:name="_Toc125885623"/>
      <w:bookmarkStart w:id="152" w:name="_Toc263408336"/>
      <w:r>
        <w:t>17.5.</w:t>
      </w:r>
      <w:r>
        <w:rPr>
          <w:rFonts w:eastAsia="Arial Unicode MS"/>
        </w:rPr>
        <w:t>2</w:t>
      </w:r>
      <w:r>
        <w:rPr>
          <w:rFonts w:eastAsia="Arial Unicode MS"/>
        </w:rPr>
        <w:t>.4.2.2</w:t>
      </w:r>
      <w:r>
        <w:rPr>
          <w:rFonts w:eastAsia="Arial Unicode MS"/>
        </w:rPr>
        <w:tab/>
      </w:r>
      <w:r>
        <w:t>Allocation of an O/R-t-S DAM Constraint Residual When Only One Transmission Owner is Responsible for All of the Relevant Outages and Returns-to-Service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916DF8" w:rsidRDefault="003909C1">
      <w:pPr>
        <w:pStyle w:val="Bodypara"/>
        <w:rPr>
          <w:iCs/>
        </w:rPr>
      </w:pPr>
      <w:r>
        <w:t>This Section 17.5.2.4.2.2 describes the allocation of an O/R-t-S DAM Constraint Residual for a gi</w:t>
      </w:r>
      <w:r>
        <w:t>ven hour and a given constraint when only one Transmission Owner is responsible, as determined pursuant to Section 17.5.2.4.4, for all of the Qualifying DAM Outages and all of the Qualifying DAM Returns-to-Service for that hour that contribute to that cons</w:t>
      </w:r>
      <w:r>
        <w:t>traint.</w:t>
      </w:r>
    </w:p>
    <w:p w:rsidR="00916DF8" w:rsidRDefault="003909C1">
      <w:pPr>
        <w:pStyle w:val="Bodypara"/>
      </w:pPr>
      <w:bookmarkStart w:id="153" w:name="_Toc115547749"/>
      <w:bookmarkStart w:id="154" w:name="_Ref115550127"/>
      <w:bookmarkStart w:id="155" w:name="_Toc115574862"/>
      <w:bookmarkStart w:id="156" w:name="_Toc115773987"/>
      <w:bookmarkStart w:id="157" w:name="_Toc115840228"/>
      <w:bookmarkStart w:id="158" w:name="_Toc115840432"/>
      <w:bookmarkStart w:id="159" w:name="_Toc115840624"/>
      <w:bookmarkStart w:id="160" w:name="_Toc115845825"/>
      <w:bookmarkStart w:id="161" w:name="_Toc115846362"/>
      <w:bookmarkStart w:id="162" w:name="_Toc115846626"/>
      <w:bookmarkStart w:id="163" w:name="_Toc115847060"/>
      <w:bookmarkStart w:id="164"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w:t>
      </w:r>
      <w:r>
        <w:t xml:space="preserv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w:t>
      </w:r>
      <w:r>
        <w:t xml:space="preserve">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3909C1">
      <w:pPr>
        <w:pStyle w:val="Heading4"/>
        <w:rPr>
          <w:rFonts w:eastAsia="Arial Unicode MS"/>
        </w:rPr>
      </w:pPr>
      <w:bookmarkStart w:id="165" w:name="_Ref116186891"/>
      <w:bookmarkStart w:id="166" w:name="_Toc116195322"/>
      <w:bookmarkStart w:id="167" w:name="_Toc116196589"/>
      <w:bookmarkStart w:id="168" w:name="_Toc116196766"/>
      <w:bookmarkStart w:id="169" w:name="_Toc116197253"/>
      <w:bookmarkStart w:id="170" w:name="_Toc119143708"/>
      <w:bookmarkStart w:id="171" w:name="_Toc124754728"/>
      <w:bookmarkStart w:id="172" w:name="_Toc124858886"/>
      <w:bookmarkStart w:id="173" w:name="_Toc124858992"/>
      <w:bookmarkStart w:id="174" w:name="_Toc124908507"/>
      <w:bookmarkStart w:id="175" w:name="_Toc124908608"/>
      <w:bookmarkStart w:id="176" w:name="_Toc124909379"/>
      <w:bookmarkStart w:id="177" w:name="_Toc124909483"/>
      <w:bookmarkStart w:id="178" w:name="_Toc125885624"/>
      <w:bookmarkStart w:id="179" w:name="_Toc263408337"/>
      <w:r>
        <w:t>17.5.</w:t>
      </w:r>
      <w:r>
        <w:rPr>
          <w:rFonts w:eastAsia="Arial Unicode MS"/>
        </w:rPr>
        <w:t>2.4.2.3</w:t>
      </w:r>
      <w:r>
        <w:rPr>
          <w:rFonts w:eastAsia="Arial Unicode MS"/>
        </w:rPr>
        <w:tab/>
      </w:r>
      <w:r>
        <w:t>Allocation of an O/R-t-S DAM Constraint Residual When More Than One Transmission Owner is Responsible for the Relevant Outages and Returns-t</w:t>
      </w:r>
      <w:r>
        <w:t>o-Service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16DF8" w:rsidRDefault="003909C1">
      <w:pPr>
        <w:pStyle w:val="Bodypara"/>
        <w:rPr>
          <w:iCs/>
        </w:rPr>
      </w:pPr>
      <w:r>
        <w:t>This Section 17.5.2.4.2.3 describes the allocation of an O/R-t-S DAM Constraint Residual for a given hour and a given constraint when more than one Transmission Owner is responsible, as determined pursuant to Section 17.5.2.4.4, for the Qualifyin</w:t>
      </w:r>
      <w:r>
        <w:t>g DAM Outages and the Qualifying DAM Returns-to-Service for that hour that contribute to that constraint.</w:t>
      </w:r>
    </w:p>
    <w:p w:rsidR="00916DF8" w:rsidRDefault="003909C1">
      <w:pPr>
        <w:pStyle w:val="Bodypara"/>
      </w:pPr>
      <w:r>
        <w:t>If more than one Transmission Owner is responsible, as determined pursuant to Section 17.5.2.4.4, for the Qualifying DAM Outages and the Qualifying DA</w:t>
      </w:r>
      <w:r>
        <w:t xml:space="preserve">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w:t>
      </w:r>
      <w:r>
        <w:t xml:space="preserve">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B-8, and then applying either Formula B-9</w:t>
      </w:r>
      <w:r>
        <w:t xml:space="preserve"> or Formula B-10, as specified herein, to assess O/R-t-S Congestion Rent Shortfall Charges and O/R-t-S Congestion Rent Surplus Payments.</w:t>
      </w:r>
    </w:p>
    <w:p w:rsidR="00916DF8" w:rsidRDefault="003909C1">
      <w:pPr>
        <w:pStyle w:val="FormulaCaption"/>
      </w:pPr>
      <w:bookmarkStart w:id="180" w:name="_Ref115550328"/>
      <w:r>
        <w:t>Formula B-8</w:t>
      </w:r>
    </w:p>
    <w:p w:rsidR="003A3D7A" w:rsidRDefault="00C476D8">
      <w:pPr>
        <w:tabs>
          <w:tab w:val="right" w:pos="8640"/>
        </w:tabs>
        <w:spacing w:after="120"/>
      </w:pPr>
      <m:oMathPara>
        <m:oMath>
          <w:bookmarkEnd w:id="180"/>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m:t>
              </m:r>
              <m:r>
                <w:rPr>
                  <w:rFonts w:ascii="Cambria Math" w:hAnsi="Cambria Math"/>
                  <w:sz w:val="20"/>
                </w:rPr>
                <m:t>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3909C1">
      <w:pPr>
        <w:tabs>
          <w:tab w:val="right" w:pos="8640"/>
        </w:tabs>
        <w:spacing w:after="120"/>
      </w:pPr>
    </w:p>
    <w:p w:rsidR="00916DF8" w:rsidRDefault="003909C1">
      <w:pPr>
        <w:pStyle w:val="Bodypara"/>
      </w:pPr>
      <w:r>
        <w:t>Where,</w:t>
      </w:r>
    </w:p>
    <w:p w:rsidR="00916DF8" w:rsidRDefault="003909C1">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subject to recalculation as specified in the paragraph immediately following this Formula B-8</w:t>
      </w:r>
    </w:p>
    <w:p w:rsidR="00916DF8" w:rsidRDefault="003909C1">
      <w:pPr>
        <w:tabs>
          <w:tab w:val="left" w:pos="1680"/>
        </w:tabs>
        <w:snapToGrid w:val="0"/>
        <w:spacing w:after="120"/>
        <w:ind w:left="1920" w:hanging="1920"/>
      </w:pPr>
      <w:r w:rsidRPr="0010253E">
        <w:rPr>
          <w:i/>
        </w:rPr>
        <w:t>FlowImpact</w:t>
      </w:r>
      <w:r w:rsidRPr="0010253E">
        <w:rPr>
          <w:i/>
          <w:vertAlign w:val="subscript"/>
        </w:rPr>
        <w:t>a,h,o</w:t>
      </w:r>
      <w:r>
        <w:tab/>
        <w:t>=</w:t>
      </w:r>
      <w:r>
        <w:tab/>
        <w:t>The Energy flow imp</w:t>
      </w:r>
      <w:r>
        <w:t xml:space="preserve">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916DF8" w:rsidRDefault="003909C1">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w:t>
      </w:r>
      <w:r w:rsidRPr="0010253E">
        <w:rPr>
          <w:i/>
          <w:vertAlign w:val="subscript"/>
        </w:rPr>
        <w:t>o</w:t>
      </w:r>
      <w:r>
        <w:t xml:space="preserve"> calculated for the corresponding Deemed Qualifying DAM Return-to-Service as described in part (b) of this definition of </w:t>
      </w:r>
      <w:r w:rsidRPr="0010253E">
        <w:rPr>
          <w:i/>
        </w:rPr>
        <w:t>FlowImpacta,h,o</w:t>
      </w:r>
      <w:r>
        <w:t>; or</w:t>
      </w:r>
    </w:p>
    <w:p w:rsidR="00916DF8" w:rsidRDefault="003909C1">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w:t>
      </w:r>
      <w:r>
        <w:t>l Qualifying DAM Return-to-Service, or a Deemed Qualifying DAM Return-to-Service, be calculated pursuant to the following formula:</w:t>
      </w:r>
    </w:p>
    <w:p w:rsidR="0010253E" w:rsidRDefault="00C476D8">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3909C1">
      <w:pPr>
        <w:pStyle w:val="Bodypara"/>
      </w:pPr>
      <w:r>
        <w:t>Where,</w:t>
      </w:r>
    </w:p>
    <w:p w:rsidR="00916DF8" w:rsidRDefault="003909C1">
      <w:pPr>
        <w:pStyle w:val="equationtext"/>
      </w:pPr>
      <w:r w:rsidRPr="0010253E">
        <w:rPr>
          <w:i/>
        </w:rPr>
        <w:t>BaseCaseFlow</w:t>
      </w:r>
      <w:r w:rsidRPr="0010253E">
        <w:rPr>
          <w:i/>
          <w:vertAlign w:val="subscript"/>
        </w:rPr>
        <w:t>a,h</w:t>
      </w:r>
      <w:r>
        <w:t xml:space="preserve"> = </w:t>
      </w:r>
      <w:r>
        <w:tab/>
        <w:t xml:space="preserve">The Energy flow on </w:t>
      </w:r>
      <w:r>
        <w:t>binding constraint</w:t>
      </w:r>
      <w:r>
        <w:rPr>
          <w:i/>
        </w:rPr>
        <w:t xml:space="preserve"> a</w:t>
      </w:r>
      <w:r>
        <w:t xml:space="preserve"> resulting from a Power Flow or similar analysis using (1) the set of injections and withdrawals corresponding to the TCCs and Grandfathered Rights represented in the solution to the most recent auction in which TCCs valid in hour </w:t>
      </w:r>
      <w:r>
        <w:rPr>
          <w:i/>
          <w:iCs/>
        </w:rPr>
        <w:t>h</w:t>
      </w:r>
      <w:r>
        <w:t xml:space="preserve"> wer</w:t>
      </w:r>
      <w:r>
        <w:t>e sold (including those pre-existing TCCs and Grandfathered Rights represented as fixed injections and withdrawals in that auction); (2) the phase angle regulator schedule determined in the Optimal Power Flow solution for the final round of the last auctio</w:t>
      </w:r>
      <w:r>
        <w:t xml:space="preserve">n held for TCCs valid in hour </w:t>
      </w:r>
      <w:r>
        <w:rPr>
          <w:i/>
          <w:iCs/>
        </w:rPr>
        <w:t>h</w:t>
      </w:r>
      <w:r>
        <w:t xml:space="preserve">; and (3) the Transmission System model for the last auction held for TCCs valid in hour </w:t>
      </w:r>
      <w:r>
        <w:rPr>
          <w:i/>
          <w:iCs/>
        </w:rPr>
        <w:t>h</w:t>
      </w:r>
      <w:r>
        <w:t>;</w:t>
      </w:r>
    </w:p>
    <w:p w:rsidR="00916DF8" w:rsidRDefault="003909C1" w:rsidP="0010253E">
      <w:pPr>
        <w:snapToGrid w:val="0"/>
        <w:spacing w:after="120"/>
        <w:ind w:left="2880" w:hanging="2160"/>
      </w:pPr>
      <w:r w:rsidRPr="0010253E">
        <w:rPr>
          <w:i/>
        </w:rPr>
        <w:t>One-OffFlow</w:t>
      </w:r>
      <w:r w:rsidRPr="0010253E">
        <w:rPr>
          <w:i/>
          <w:vertAlign w:val="subscript"/>
        </w:rPr>
        <w:t>a,h,o</w:t>
      </w:r>
      <w:r>
        <w:t xml:space="preserve"> = </w:t>
      </w:r>
      <w:r>
        <w:tab/>
        <w:t>Either</w:t>
      </w:r>
    </w:p>
    <w:p w:rsidR="00916DF8" w:rsidRDefault="003909C1">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w:t>
      </w:r>
      <w:r>
        <w:t>r an Actual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if a tra</w:t>
      </w:r>
      <w:r>
        <w:t xml:space="preserve">nsmission facility was modeled as free-flowing in hour </w:t>
      </w:r>
      <w:r>
        <w:rPr>
          <w:i/>
          <w:iCs/>
        </w:rPr>
        <w:t>h</w:t>
      </w:r>
      <w:r>
        <w:t xml:space="preserve"> of the Day-Ahead Market because of the outage of any transmission facility, the ISO shall appropriately adjust the phase angle regulator schedule and related variables to model the transmission facil</w:t>
      </w:r>
      <w:r>
        <w:t xml:space="preserve">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916DF8" w:rsidRDefault="003909C1">
      <w:pPr>
        <w:pStyle w:val="romannumeralpara"/>
      </w:pPr>
      <w:r>
        <w:t>(2</w:t>
      </w:r>
      <w:r>
        <w:t xml:space="preserve">)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w:t>
      </w:r>
      <w:r w:rsidRPr="00173D09">
        <w:rPr>
          <w:i/>
        </w:rPr>
        <w:t>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and related </w:t>
      </w:r>
      <w:r>
        <w:t xml:space="preserve">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where the absolute va</w:t>
      </w:r>
      <w:r>
        <w:t xml:space="preserve">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w:t>
      </w:r>
      <w:r>
        <w:t>ely following this Formula B-8</w:t>
      </w:r>
    </w:p>
    <w:p w:rsidR="00916DF8" w:rsidRDefault="003909C1">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916DF8" w:rsidRDefault="003909C1">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3909C1">
      <w:pPr>
        <w:pStyle w:val="Bodypara"/>
      </w:pPr>
      <w:r>
        <w:t xml:space="preserve">After calculating O/R-t-S </w:t>
      </w:r>
      <w:r>
        <w:t>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w:t>
      </w:r>
      <w:r>
        <w: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w:t>
      </w:r>
      <w:r>
        <w:t>d reset value of FlowImpact</w:t>
      </w:r>
      <w:r>
        <w:rPr>
          <w:vertAlign w:val="subscript"/>
        </w:rPr>
        <w:t>a,h,o</w:t>
      </w:r>
      <w:r>
        <w:t xml:space="preserve"> to allocate O/R-t-S Congestion Rent Shortfall Charges and O/R-t-S Congestion Rent Surplus Payments pursuant to Formula B-9 or Formula B-10, as specified below.</w:t>
      </w:r>
    </w:p>
    <w:p w:rsidR="00916DF8" w:rsidRDefault="003909C1">
      <w:pPr>
        <w:pStyle w:val="Bodypara"/>
      </w:pPr>
      <w:r>
        <w:t>If the absolute value of the net impact (O/R-t-S NetDAMImpact</w:t>
      </w:r>
      <w:r>
        <w:rPr>
          <w:vertAlign w:val="subscript"/>
        </w:rPr>
        <w:t>a,</w:t>
      </w:r>
      <w:r>
        <w:rPr>
          <w:vertAlign w:val="subscript"/>
        </w:rPr>
        <w:t>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greate</w:t>
      </w:r>
      <w:r>
        <w:t>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w:t>
      </w:r>
      <w:r>
        <w:t>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B-9.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B-10.</w:t>
      </w:r>
    </w:p>
    <w:p w:rsidR="00916DF8" w:rsidRDefault="003909C1">
      <w:pPr>
        <w:pStyle w:val="FormulaCaption"/>
      </w:pPr>
      <w:bookmarkStart w:id="181" w:name="_Ref115550351"/>
      <w:r>
        <w:t>Formula B-9</w:t>
      </w:r>
    </w:p>
    <w:bookmarkEnd w:id="181"/>
    <w:p w:rsidR="00173D09" w:rsidRDefault="00C476D8">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C476D8" w:rsidTr="00A64F2B">
        <w:trPr>
          <w:jc w:val="center"/>
        </w:trPr>
        <w:tc>
          <w:tcPr>
            <w:tcW w:w="2546" w:type="dxa"/>
            <w:vMerge w:val="restart"/>
            <w:vAlign w:val="center"/>
          </w:tcPr>
          <w:p w:rsidR="00A40609" w:rsidRPr="00A40609" w:rsidRDefault="00C476D8"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3909C1" w:rsidP="00A40609">
            <w:pPr>
              <w:widowControl w:val="0"/>
              <w:jc w:val="center"/>
              <w:rPr>
                <w:snapToGrid w:val="0"/>
                <w:sz w:val="16"/>
                <w:szCs w:val="20"/>
              </w:rPr>
            </w:pPr>
          </w:p>
        </w:tc>
        <w:tc>
          <w:tcPr>
            <w:tcW w:w="5001" w:type="dxa"/>
            <w:tcBorders>
              <w:bottom w:val="single" w:sz="4" w:space="0" w:color="auto"/>
            </w:tcBorders>
          </w:tcPr>
          <w:p w:rsidR="00A40609" w:rsidRPr="00A40609" w:rsidRDefault="00C476D8"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3909C1" w:rsidP="00A40609">
            <w:pPr>
              <w:widowControl w:val="0"/>
              <w:jc w:val="center"/>
              <w:rPr>
                <w:snapToGrid w:val="0"/>
                <w:sz w:val="22"/>
                <w:szCs w:val="20"/>
              </w:rPr>
            </w:pPr>
          </w:p>
        </w:tc>
        <w:tc>
          <w:tcPr>
            <w:tcW w:w="1836" w:type="dxa"/>
            <w:vMerge w:val="restart"/>
            <w:vAlign w:val="center"/>
          </w:tcPr>
          <w:p w:rsidR="00A40609" w:rsidRPr="00A40609" w:rsidRDefault="003909C1"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C476D8" w:rsidTr="00A64F2B">
        <w:trPr>
          <w:jc w:val="center"/>
        </w:trPr>
        <w:tc>
          <w:tcPr>
            <w:tcW w:w="2546" w:type="dxa"/>
            <w:vMerge/>
          </w:tcPr>
          <w:p w:rsidR="00A40609" w:rsidRPr="00A40609" w:rsidRDefault="003909C1" w:rsidP="00A40609">
            <w:pPr>
              <w:widowControl w:val="0"/>
              <w:rPr>
                <w:snapToGrid w:val="0"/>
                <w:sz w:val="22"/>
                <w:szCs w:val="20"/>
              </w:rPr>
            </w:pPr>
          </w:p>
        </w:tc>
        <w:tc>
          <w:tcPr>
            <w:tcW w:w="259" w:type="dxa"/>
            <w:vMerge/>
          </w:tcPr>
          <w:p w:rsidR="00A40609" w:rsidRPr="00A40609" w:rsidRDefault="003909C1" w:rsidP="00A40609">
            <w:pPr>
              <w:widowControl w:val="0"/>
              <w:rPr>
                <w:snapToGrid w:val="0"/>
                <w:sz w:val="22"/>
                <w:szCs w:val="20"/>
              </w:rPr>
            </w:pPr>
          </w:p>
        </w:tc>
        <w:tc>
          <w:tcPr>
            <w:tcW w:w="5001" w:type="dxa"/>
            <w:tcBorders>
              <w:top w:val="single" w:sz="4" w:space="0" w:color="auto"/>
            </w:tcBorders>
          </w:tcPr>
          <w:p w:rsidR="00A40609" w:rsidRPr="00A40609" w:rsidRDefault="00C476D8"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3909C1" w:rsidP="00A40609">
            <w:pPr>
              <w:widowControl w:val="0"/>
              <w:rPr>
                <w:snapToGrid w:val="0"/>
                <w:sz w:val="22"/>
                <w:szCs w:val="20"/>
              </w:rPr>
            </w:pPr>
          </w:p>
        </w:tc>
        <w:tc>
          <w:tcPr>
            <w:tcW w:w="1836" w:type="dxa"/>
            <w:vMerge/>
          </w:tcPr>
          <w:p w:rsidR="00A40609" w:rsidRPr="00A40609" w:rsidRDefault="003909C1" w:rsidP="00A40609">
            <w:pPr>
              <w:widowControl w:val="0"/>
              <w:rPr>
                <w:snapToGrid w:val="0"/>
                <w:sz w:val="22"/>
                <w:szCs w:val="20"/>
              </w:rPr>
            </w:pPr>
          </w:p>
        </w:tc>
      </w:tr>
    </w:tbl>
    <w:p w:rsidR="00A40609" w:rsidRDefault="003909C1">
      <w:pPr>
        <w:tabs>
          <w:tab w:val="right" w:pos="8640"/>
        </w:tabs>
      </w:pPr>
    </w:p>
    <w:p w:rsidR="00A40609" w:rsidRDefault="003909C1">
      <w:pPr>
        <w:tabs>
          <w:tab w:val="right" w:pos="8640"/>
        </w:tabs>
      </w:pPr>
    </w:p>
    <w:p w:rsidR="00916DF8" w:rsidRDefault="003909C1">
      <w:pPr>
        <w:spacing w:after="120"/>
      </w:pPr>
      <w:r>
        <w:t>Where,</w:t>
      </w:r>
    </w:p>
    <w:p w:rsidR="00916DF8" w:rsidRDefault="003909C1" w:rsidP="00542215">
      <w:pPr>
        <w:tabs>
          <w:tab w:val="left" w:pos="2250"/>
        </w:tabs>
        <w:snapToGrid w:val="0"/>
        <w:spacing w:after="180"/>
        <w:ind w:left="2520" w:hanging="2520"/>
      </w:pPr>
      <w:r w:rsidRPr="00542215">
        <w:rPr>
          <w:i/>
        </w:rPr>
        <w:t>O/R-t-S Allocation</w:t>
      </w:r>
      <w:r w:rsidRPr="00542215">
        <w:rPr>
          <w:i/>
          <w:vertAlign w:val="subscript"/>
        </w:rPr>
        <w:t>a,t,h</w:t>
      </w:r>
      <w:r>
        <w:tab/>
        <w:t>=</w:t>
      </w:r>
      <w:r>
        <w:tab/>
        <w:t xml:space="preserve">Either an O/R-t-S Congestion Rent Shortfall </w:t>
      </w:r>
      <w:r>
        <w:t>Charge or an O/R-t-S Congestion Rent Surplus Payment, as specified in (a) and (b) below:</w:t>
      </w:r>
    </w:p>
    <w:p w:rsidR="00916DF8" w:rsidRDefault="003909C1"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3909C1"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w:t>
      </w:r>
    </w:p>
    <w:p w:rsidR="00916DF8" w:rsidRDefault="003909C1" w:rsidP="00542215">
      <w:pPr>
        <w:tabs>
          <w:tab w:val="left" w:pos="2160"/>
        </w:tabs>
        <w:snapToGrid w:val="0"/>
        <w:spacing w:after="120"/>
        <w:ind w:left="1890" w:hanging="189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Return-to-Service </w:t>
      </w:r>
      <w:r>
        <w:rPr>
          <w:i/>
          <w:iCs/>
        </w:rPr>
        <w:t>o</w:t>
      </w:r>
      <w:r>
        <w:t xml:space="preserve"> in hour </w:t>
      </w:r>
      <w:r>
        <w:rPr>
          <w:i/>
          <w:iCs/>
        </w:rPr>
        <w:t>h</w:t>
      </w:r>
      <w:r>
        <w:t xml:space="preserve">, as determined pursuant to </w:t>
      </w:r>
      <w:r>
        <w:t>Section 17.5.2.4.4</w:t>
      </w:r>
    </w:p>
    <w:p w:rsidR="00916DF8" w:rsidRDefault="003909C1">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3909C1">
      <w:pPr>
        <w:pStyle w:val="FormulaCaption"/>
      </w:pPr>
      <w:bookmarkStart w:id="182" w:name="_Ref115550371"/>
      <w:r>
        <w:t>Formula B-10</w:t>
      </w:r>
    </w:p>
    <w:bookmarkEnd w:id="182"/>
    <w:p w:rsidR="00916DF8" w:rsidRDefault="003909C1" w:rsidP="006C12AC">
      <w:pPr>
        <w:keepNext/>
        <w:tabs>
          <w:tab w:val="right" w:pos="8640"/>
        </w:tabs>
        <w:ind w:left="-180"/>
      </w:pPr>
    </w:p>
    <w:p w:rsidR="00542215" w:rsidRDefault="00C476D8"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3909C1">
      <w:pPr>
        <w:keepNext/>
        <w:tabs>
          <w:tab w:val="right" w:pos="8640"/>
        </w:tabs>
        <w:ind w:left="-720"/>
      </w:pPr>
    </w:p>
    <w:p w:rsidR="00542215" w:rsidRDefault="003909C1">
      <w:pPr>
        <w:keepNext/>
        <w:tabs>
          <w:tab w:val="right" w:pos="8640"/>
        </w:tabs>
        <w:ind w:left="-720"/>
      </w:pPr>
    </w:p>
    <w:p w:rsidR="00916DF8" w:rsidRDefault="003909C1">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h,q,</w:t>
      </w:r>
      <w:r w:rsidRPr="006C12AC">
        <w:rPr>
          <w:i/>
          <w:vertAlign w:val="subscript"/>
        </w:rPr>
        <w:t xml:space="preserve">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3909C1">
      <w:pPr>
        <w:pStyle w:val="Heading4"/>
      </w:pPr>
      <w:bookmarkStart w:id="183" w:name="_Toc116196590"/>
      <w:bookmarkStart w:id="184" w:name="_Toc116196767"/>
      <w:bookmarkStart w:id="185" w:name="_Toc116197254"/>
      <w:bookmarkStart w:id="186" w:name="_Ref116199833"/>
      <w:bookmarkStart w:id="187" w:name="_Ref118811745"/>
      <w:bookmarkStart w:id="188" w:name="_Toc119143709"/>
      <w:bookmarkStart w:id="189" w:name="_Toc124754729"/>
      <w:bookmarkStart w:id="190" w:name="_Toc124858887"/>
      <w:bookmarkStart w:id="191" w:name="_Toc124858993"/>
      <w:bookmarkStart w:id="192" w:name="_Toc124908508"/>
      <w:bookmarkStart w:id="193" w:name="_Toc124908609"/>
      <w:bookmarkStart w:id="194" w:name="_Toc124909380"/>
      <w:bookmarkStart w:id="195" w:name="_Toc124909484"/>
      <w:bookmarkStart w:id="196" w:name="_Toc125885625"/>
      <w:bookmarkStart w:id="197" w:name="_Toc263408338"/>
      <w:r>
        <w:t>17.5.</w:t>
      </w:r>
      <w:r>
        <w:rPr>
          <w:rFonts w:eastAsia="Arial Unicode MS"/>
        </w:rPr>
        <w:t>2.4.3</w:t>
      </w:r>
      <w:r>
        <w:rPr>
          <w:rFonts w:eastAsia="Arial Unicode MS"/>
        </w:rPr>
        <w:tab/>
      </w:r>
      <w:r>
        <w:t>Charges and Payments for the Secondary Impact of DAM Outages and Returns-to-Service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916DF8" w:rsidRDefault="003909C1">
      <w:pPr>
        <w:pStyle w:val="Bodypara"/>
      </w:pPr>
      <w:r>
        <w:t>The ISO shall use U/D DAM Constraint</w:t>
      </w:r>
      <w:r>
        <w:t xml:space="preserve"> Residuals to allocate U/D Congestion Rent Shortfall Charges and U/D Congestion Rent Surplus Payments, as the case may be, among Transmission Owners pursuant to this Section 17.5.2.4.3.  Each U/D Congestion Rent Shortfall Charge and each U/D Congestion Ren</w:t>
      </w:r>
      <w:r>
        <w:t>t Surplus Payment allocated to a Transmission Owner pursuant to this Section 17.5.2.4.3 is subject to being set equal to zero pursuant to Section 17.5.2.4.5.</w:t>
      </w:r>
    </w:p>
    <w:p w:rsidR="00916DF8" w:rsidRDefault="003909C1">
      <w:pPr>
        <w:pStyle w:val="Heading4"/>
        <w:rPr>
          <w:rFonts w:eastAsia="Arial Unicode MS"/>
        </w:rPr>
      </w:pPr>
      <w:bookmarkStart w:id="198" w:name="_Toc115547751"/>
      <w:bookmarkStart w:id="199" w:name="_Ref115548420"/>
      <w:bookmarkStart w:id="200" w:name="_Toc115574864"/>
      <w:bookmarkStart w:id="201" w:name="_Toc115773989"/>
      <w:bookmarkStart w:id="202" w:name="_Toc115840230"/>
      <w:bookmarkStart w:id="203" w:name="_Toc115840434"/>
      <w:bookmarkStart w:id="204" w:name="_Toc115840626"/>
      <w:bookmarkStart w:id="205" w:name="_Toc115845827"/>
      <w:bookmarkStart w:id="206" w:name="_Toc115846364"/>
      <w:bookmarkStart w:id="207" w:name="_Toc115846628"/>
      <w:bookmarkStart w:id="208" w:name="_Toc115847062"/>
      <w:bookmarkStart w:id="209" w:name="_Toc115847321"/>
      <w:bookmarkStart w:id="210" w:name="_Toc116195324"/>
      <w:bookmarkStart w:id="211" w:name="_Toc116196591"/>
      <w:bookmarkStart w:id="212" w:name="_Toc116196768"/>
      <w:bookmarkStart w:id="213" w:name="_Toc116197255"/>
      <w:bookmarkStart w:id="214" w:name="_Toc119143710"/>
      <w:bookmarkStart w:id="215" w:name="_Toc124754730"/>
      <w:bookmarkStart w:id="216" w:name="_Toc124858888"/>
      <w:bookmarkStart w:id="217" w:name="_Toc124858994"/>
      <w:bookmarkStart w:id="218" w:name="_Toc124908509"/>
      <w:bookmarkStart w:id="219" w:name="_Toc124908610"/>
      <w:bookmarkStart w:id="220" w:name="_Toc124909381"/>
      <w:bookmarkStart w:id="221" w:name="_Toc124909485"/>
      <w:bookmarkStart w:id="222" w:name="_Ref124970030"/>
      <w:bookmarkStart w:id="223" w:name="_Toc125885626"/>
      <w:bookmarkStart w:id="224" w:name="_Toc263408339"/>
      <w:r>
        <w:t>17.5.</w:t>
      </w:r>
      <w:r>
        <w:rPr>
          <w:rFonts w:eastAsia="Arial Unicode MS"/>
        </w:rPr>
        <w:t>2.4.3.1</w:t>
      </w:r>
      <w:r>
        <w:rPr>
          <w:rFonts w:eastAsia="Arial Unicode MS"/>
        </w:rPr>
        <w:tab/>
      </w:r>
      <w:r>
        <w:t>Identification of Upratings and Deratings Qualifying for Charges and Payments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916DF8" w:rsidRDefault="003909C1">
      <w:pPr>
        <w:pStyle w:val="Bodypara"/>
      </w:pPr>
      <w:r>
        <w:t>For eac</w:t>
      </w:r>
      <w:r>
        <w:t>h hour of the Day-Ahead Market and for each constraint, the ISO shall identify each Qualifying DAM Derating and each Qualifying DAM Uprating, as described below.  The Transmission Owner responsible, as determined pursuant to Section 17.5.2.4.4, for the Qua</w:t>
      </w:r>
      <w:r>
        <w:t>lifying DAM Derating shall be allocated a U/D Congestion Rent Shortfall Charge and the Transmission Owner responsible, as determined pursuant to Section 17.5.2.4.4, for the Qualifying DAM Uprating shall be allocated a U/D Congestion Rent Surplus Payment pu</w:t>
      </w:r>
      <w:r>
        <w:t>rsuant to Section 17.5.2.4.3.2.</w:t>
      </w:r>
    </w:p>
    <w:p w:rsidR="00916DF8" w:rsidRDefault="003909C1">
      <w:pPr>
        <w:pStyle w:val="Heading4"/>
      </w:pPr>
      <w:bookmarkStart w:id="225" w:name="_Toc263408340"/>
      <w:r>
        <w:t>17.5.2.4.3.1.1</w:t>
      </w:r>
      <w:r>
        <w:tab/>
        <w:t>Definition of Qualifying DAM Derating</w:t>
      </w:r>
      <w:bookmarkEnd w:id="225"/>
    </w:p>
    <w:p w:rsidR="00916DF8" w:rsidRDefault="003909C1">
      <w:pPr>
        <w:pStyle w:val="Bodypara"/>
      </w:pPr>
      <w:r>
        <w:t>A “</w:t>
      </w:r>
      <w:r>
        <w:rPr>
          <w:b/>
          <w:bCs/>
        </w:rPr>
        <w:t>Qualifying DAM Derating</w:t>
      </w:r>
      <w:r>
        <w:t xml:space="preserve">” shall be defined to mean either an Actual Qualifying DAM Derating or a Deemed Qualifying DAM Derating.  For purposes of this Part 17.5 of this </w:t>
      </w:r>
      <w:r>
        <w:t>Attachment B, “</w:t>
      </w:r>
      <w:r>
        <w:rPr>
          <w:i/>
          <w:iCs/>
        </w:rPr>
        <w:t>r</w:t>
      </w:r>
      <w:r>
        <w:t>” shall refer to a single Qualifying DAM Derating.</w:t>
      </w:r>
    </w:p>
    <w:p w:rsidR="00916DF8" w:rsidRDefault="003909C1">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916DF8" w:rsidRDefault="003909C1">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3909C1">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3909C1">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916DF8" w:rsidRDefault="003909C1">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3909C1">
      <w:pPr>
        <w:pStyle w:val="romannumeralpara"/>
      </w:pPr>
      <w:r>
        <w:t>(v)</w:t>
      </w:r>
      <w:r>
        <w:tab/>
        <w:t xml:space="preserve">the constraint is binding in the Day-Ahead Market for hour </w:t>
      </w:r>
      <w:r>
        <w:rPr>
          <w:i/>
          <w:iCs/>
        </w:rPr>
        <w:t>h</w:t>
      </w:r>
      <w:r>
        <w:t>.</w:t>
      </w:r>
    </w:p>
    <w:p w:rsidR="00916DF8" w:rsidRDefault="003909C1">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3909C1">
      <w:pPr>
        <w:pStyle w:val="romannumeralpara"/>
      </w:pPr>
      <w:r>
        <w:t>(i)</w:t>
      </w:r>
      <w:r>
        <w:tab/>
        <w:t xml:space="preserve">the constraint has a lower rating in hour </w:t>
      </w:r>
      <w:r>
        <w:rPr>
          <w:i/>
          <w:iCs/>
        </w:rPr>
        <w:t>h</w:t>
      </w:r>
      <w:r>
        <w:t xml:space="preserve"> than it </w:t>
      </w:r>
      <w:r>
        <w:t xml:space="preserve">would have if all transmission facilities were modeled as in-service in hour </w:t>
      </w:r>
      <w:r>
        <w:rPr>
          <w:i/>
          <w:iCs/>
        </w:rPr>
        <w:t>h</w:t>
      </w:r>
      <w:r>
        <w:t>;</w:t>
      </w:r>
    </w:p>
    <w:p w:rsidR="00916DF8" w:rsidRDefault="003909C1">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3909C1">
      <w:pPr>
        <w:pStyle w:val="romannumeralpara"/>
      </w:pPr>
      <w:r>
        <w:t>(iii)</w:t>
      </w:r>
      <w:r>
        <w:tab/>
        <w:t>the lower rating res</w:t>
      </w:r>
      <w:r>
        <w:t xml:space="preserve">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w:t>
      </w:r>
      <w:r>
        <w:t xml:space="preserve">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for the lower rating</w:t>
      </w:r>
      <w:r>
        <w:t xml:space="preserve"> in the last auction held for TCCs valid for hour </w:t>
      </w:r>
      <w:r>
        <w:rPr>
          <w:i/>
          <w:iCs/>
        </w:rPr>
        <w:t>h</w:t>
      </w:r>
      <w:r>
        <w:t xml:space="preserve">; </w:t>
      </w:r>
    </w:p>
    <w:p w:rsidR="00916DF8" w:rsidRDefault="003909C1">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w:t>
      </w:r>
      <w:r>
        <w:t xml:space="preserve">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3909C1">
      <w:pPr>
        <w:pStyle w:val="romannumeralpara"/>
      </w:pPr>
      <w:r>
        <w:t>(v)</w:t>
      </w:r>
      <w:r>
        <w:tab/>
        <w:t>the constraint is binding in the Day-Ahead Market for ho</w:t>
      </w:r>
      <w:r>
        <w:t xml:space="preserve">ur </w:t>
      </w:r>
      <w:r>
        <w:rPr>
          <w:i/>
          <w:iCs/>
        </w:rPr>
        <w:t>h</w:t>
      </w:r>
      <w:r>
        <w:t>.</w:t>
      </w:r>
    </w:p>
    <w:p w:rsidR="00916DF8" w:rsidRDefault="003909C1">
      <w:pPr>
        <w:pStyle w:val="Heading4"/>
        <w:rPr>
          <w:iCs/>
        </w:rPr>
      </w:pPr>
      <w:bookmarkStart w:id="226" w:name="_Toc263408341"/>
      <w:r>
        <w:t>17.5.</w:t>
      </w:r>
      <w:r>
        <w:rPr>
          <w:iCs/>
        </w:rPr>
        <w:t>2.4.3.1.2</w:t>
      </w:r>
      <w:r>
        <w:rPr>
          <w:iCs/>
        </w:rPr>
        <w:tab/>
      </w:r>
      <w:r>
        <w:t>Definition of Qualifying DAM Uprating</w:t>
      </w:r>
      <w:bookmarkEnd w:id="226"/>
    </w:p>
    <w:p w:rsidR="00916DF8" w:rsidRDefault="003909C1">
      <w:pPr>
        <w:pStyle w:val="Bodypara"/>
      </w:pPr>
      <w:r>
        <w:t>A “</w:t>
      </w:r>
      <w:r>
        <w:rPr>
          <w:b/>
          <w:bCs/>
        </w:rPr>
        <w:t>Qualifying DAM Uprating</w:t>
      </w:r>
      <w:r>
        <w:t>” shall be defined to mean either an Actual Qualifying DAM Uprating or a Deemed Qualifying DAM Uprating.  For purposes of this Part 17.5 of this Attachment B, “</w:t>
      </w:r>
      <w:r>
        <w:rPr>
          <w:i/>
          <w:iCs/>
        </w:rPr>
        <w:t>r</w:t>
      </w:r>
      <w:r>
        <w:t xml:space="preserve">” shall </w:t>
      </w:r>
      <w:r>
        <w:t>refer to a single Qualifying DAM Uprating.</w:t>
      </w:r>
    </w:p>
    <w:p w:rsidR="00916DF8" w:rsidRDefault="003909C1">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916DF8" w:rsidRDefault="003909C1">
      <w:pPr>
        <w:pStyle w:val="romannumeralpara"/>
      </w:pPr>
      <w:r>
        <w:t>(i)</w:t>
      </w:r>
      <w:r>
        <w:tab/>
        <w:t>the co</w:t>
      </w:r>
      <w:r>
        <w:t xml:space="preserve">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3909C1">
      <w:pPr>
        <w:pStyle w:val="romannumeralpara"/>
      </w:pPr>
      <w:r>
        <w:t>(ii)</w:t>
      </w:r>
      <w:r>
        <w:tab/>
        <w:t xml:space="preserve">this higher rating resulting from Actual Qualifying DAM Outage </w:t>
      </w:r>
      <w:r>
        <w:rPr>
          <w:i/>
          <w:iCs/>
        </w:rPr>
        <w:t>o</w:t>
      </w:r>
      <w:r>
        <w:t xml:space="preserve"> or Actual Qualifying Return-t</w:t>
      </w:r>
      <w:r>
        <w:t xml:space="preserve">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3909C1">
      <w:pPr>
        <w:pStyle w:val="romannumeralpara"/>
      </w:pPr>
      <w:r>
        <w:t>(iii)</w:t>
      </w:r>
      <w:r>
        <w:tab/>
        <w:t>this higher rating is included in the Reconfiguration Auction Interface Uprate/Derate Table in effect for the last Reconfiguration Auction in which TCCs valid</w:t>
      </w:r>
      <w:r>
        <w:t xml:space="preserve">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3909C1">
      <w:pPr>
        <w:pStyle w:val="romannumeralpara"/>
      </w:pPr>
      <w:r>
        <w:t>(iv)</w:t>
      </w:r>
      <w:r>
        <w:tab/>
        <w:t xml:space="preserve">the constraint </w:t>
      </w:r>
      <w:r>
        <w:t xml:space="preserve">is binding in the Day-Ahead Market for hour </w:t>
      </w:r>
      <w:r>
        <w:rPr>
          <w:i/>
          <w:iCs/>
        </w:rPr>
        <w:t>h</w:t>
      </w:r>
      <w:r>
        <w:t xml:space="preserve">.  </w:t>
      </w:r>
    </w:p>
    <w:p w:rsidR="00916DF8" w:rsidRDefault="003909C1">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3909C1">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3909C1">
      <w:pPr>
        <w:pStyle w:val="romannumeralpara"/>
      </w:pPr>
      <w:r>
        <w:t>(ii)</w:t>
      </w:r>
      <w:r>
        <w:tab/>
        <w:t xml:space="preserve">this lower rating is in whole or in part the result of a Deemed Qualifying DAM Outage </w:t>
      </w:r>
      <w:r>
        <w:rPr>
          <w:i/>
          <w:iCs/>
        </w:rPr>
        <w:t>o</w:t>
      </w:r>
      <w:r>
        <w:t xml:space="preserve"> or Deemed Qualifying DAM Return</w:t>
      </w:r>
      <w:r>
        <w:t xml:space="preserve">-to-Service </w:t>
      </w:r>
      <w:r>
        <w:rPr>
          <w:i/>
          <w:iCs/>
        </w:rPr>
        <w:t>o</w:t>
      </w:r>
      <w:r>
        <w:t xml:space="preserve"> for hour </w:t>
      </w:r>
      <w:r>
        <w:rPr>
          <w:i/>
          <w:iCs/>
        </w:rPr>
        <w:t>h</w:t>
      </w:r>
      <w:r>
        <w:t>;</w:t>
      </w:r>
    </w:p>
    <w:p w:rsidR="00916DF8" w:rsidRDefault="003909C1">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responsibility for Qualifying DAM Ou</w:t>
      </w:r>
      <w:r>
        <w:t xml:space="preserve">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purpose of applying Section 17.5.2.4.</w:t>
      </w:r>
      <w:r>
        <w:t xml:space="preserve">4) other than the Transmission Owner responsible for the lower rating in the last auction held for TCCs valid for hour </w:t>
      </w:r>
      <w:r>
        <w:rPr>
          <w:i/>
          <w:iCs/>
        </w:rPr>
        <w:t>h</w:t>
      </w:r>
      <w:r>
        <w:t>;</w:t>
      </w:r>
    </w:p>
    <w:p w:rsidR="00916DF8" w:rsidRDefault="003909C1">
      <w:pPr>
        <w:pStyle w:val="romannumeralpara"/>
      </w:pPr>
      <w:r>
        <w:t>(iv)</w:t>
      </w:r>
      <w:r>
        <w:tab/>
        <w:t xml:space="preserve">this lower rating for hour </w:t>
      </w:r>
      <w:r>
        <w:rPr>
          <w:i/>
          <w:iCs/>
        </w:rPr>
        <w:t>h</w:t>
      </w:r>
      <w:r>
        <w:t xml:space="preserve"> is included in the Reconfiguration Auction Interface Uprate/Derate Table in effect for the last Reco</w:t>
      </w:r>
      <w:r>
        <w:t xml:space="preserve">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w:t>
      </w:r>
      <w:r>
        <w:t xml:space="preserve">id in hour </w:t>
      </w:r>
      <w:r>
        <w:rPr>
          <w:i/>
          <w:iCs/>
        </w:rPr>
        <w:t>h</w:t>
      </w:r>
      <w:r>
        <w:t>); and</w:t>
      </w:r>
    </w:p>
    <w:p w:rsidR="00916DF8" w:rsidRDefault="003909C1">
      <w:pPr>
        <w:pStyle w:val="romannumeralpara"/>
      </w:pPr>
      <w:r>
        <w:t>(v)</w:t>
      </w:r>
      <w:r>
        <w:tab/>
        <w:t xml:space="preserve">the constraint is binding in the Day-Ahead Market for hour </w:t>
      </w:r>
      <w:r>
        <w:rPr>
          <w:i/>
          <w:iCs/>
        </w:rPr>
        <w:t>h</w:t>
      </w:r>
      <w:r>
        <w:t xml:space="preserve">.  </w:t>
      </w:r>
    </w:p>
    <w:p w:rsidR="00916DF8" w:rsidRDefault="003909C1">
      <w:pPr>
        <w:pStyle w:val="Heading4"/>
        <w:rPr>
          <w:rFonts w:eastAsia="Arial Unicode MS"/>
        </w:rPr>
      </w:pPr>
      <w:bookmarkStart w:id="227" w:name="_Toc115547752"/>
      <w:bookmarkStart w:id="228" w:name="_Ref115552247"/>
      <w:bookmarkStart w:id="229" w:name="_Toc115574865"/>
      <w:bookmarkStart w:id="230" w:name="_Toc115773990"/>
      <w:bookmarkStart w:id="231" w:name="_Toc115840231"/>
      <w:bookmarkStart w:id="232" w:name="_Toc115840435"/>
      <w:bookmarkStart w:id="233" w:name="_Toc115840627"/>
      <w:bookmarkStart w:id="234" w:name="_Toc115845828"/>
      <w:bookmarkStart w:id="235" w:name="_Toc115846365"/>
      <w:bookmarkStart w:id="236" w:name="_Toc115846629"/>
      <w:bookmarkStart w:id="237" w:name="_Toc115847063"/>
      <w:bookmarkStart w:id="238" w:name="_Toc115847322"/>
      <w:bookmarkStart w:id="239" w:name="_Toc116195325"/>
      <w:bookmarkStart w:id="240" w:name="_Toc116196592"/>
      <w:bookmarkStart w:id="241" w:name="_Toc116196769"/>
      <w:bookmarkStart w:id="242" w:name="_Toc116197256"/>
      <w:bookmarkStart w:id="243" w:name="_Toc119143711"/>
      <w:bookmarkStart w:id="244" w:name="_Toc124754731"/>
      <w:bookmarkStart w:id="245" w:name="_Toc124858889"/>
      <w:bookmarkStart w:id="246" w:name="_Toc124858995"/>
      <w:bookmarkStart w:id="247" w:name="_Toc124908510"/>
      <w:bookmarkStart w:id="248" w:name="_Toc124908611"/>
      <w:bookmarkStart w:id="249" w:name="_Toc124909382"/>
      <w:bookmarkStart w:id="250" w:name="_Toc124909486"/>
      <w:bookmarkStart w:id="251" w:name="_Toc125885627"/>
      <w:bookmarkStart w:id="252" w:name="_Toc263408342"/>
      <w:r>
        <w:t>17.5.</w:t>
      </w:r>
      <w:r>
        <w:rPr>
          <w:rFonts w:eastAsia="Arial Unicode MS"/>
        </w:rPr>
        <w:t>2.4.3.2</w:t>
      </w:r>
      <w:r>
        <w:rPr>
          <w:rFonts w:eastAsia="Arial Unicode MS"/>
        </w:rPr>
        <w:tab/>
      </w:r>
      <w:r>
        <w:t>Allocation of U/D DAM Constraint Residuals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16DF8" w:rsidRDefault="003909C1">
      <w:pPr>
        <w:pStyle w:val="Bodypara"/>
      </w:pPr>
      <w:r>
        <w:t>This Section 17.5.2.4.3.2 describes the allocation of U/D DAM Constraint Residuals</w:t>
      </w:r>
      <w:r>
        <w:rPr>
          <w:iCs/>
        </w:rPr>
        <w:t xml:space="preserve"> to Qualifying DAM Deratings and Qualifying DAM Upratings</w:t>
      </w:r>
      <w:r>
        <w:t>.</w:t>
      </w:r>
    </w:p>
    <w:p w:rsidR="00916DF8" w:rsidRDefault="003909C1">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w:t>
      </w:r>
      <w:r>
        <w:t>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w:t>
      </w:r>
      <w:r>
        <w:t xml:space="preserve">ula B-11 and then applying either Formula B-12 or Formula B-13, as specified herein, to assess U/D Congestion Rent Shortfall Charges and U/D Congestion Rent Surplus Payments.  </w:t>
      </w:r>
    </w:p>
    <w:p w:rsidR="00916DF8" w:rsidRDefault="003909C1">
      <w:pPr>
        <w:pStyle w:val="FormulaCaption"/>
      </w:pPr>
      <w:bookmarkStart w:id="253" w:name="_Ref115552336"/>
      <w:r>
        <w:t>Formula B-11</w:t>
      </w:r>
    </w:p>
    <w:p w:rsidR="004E1504" w:rsidRPr="004E1504" w:rsidRDefault="00C476D8" w:rsidP="004E1504">
      <w:pPr>
        <w:widowControl w:val="0"/>
        <w:ind w:left="-360" w:right="-450"/>
        <w:rPr>
          <w:snapToGrid w:val="0"/>
          <w:sz w:val="20"/>
          <w:szCs w:val="20"/>
        </w:rPr>
      </w:pPr>
      <m:oMathPara>
        <m:oMath>
          <w:bookmarkEnd w:id="253"/>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m:t>
                      </m:r>
                      <m:r>
                        <w:rPr>
                          <w:rFonts w:ascii="Cambria Math" w:hAnsi="Cambria Math"/>
                          <w:snapToGrid w:val="0"/>
                          <w:sz w:val="22"/>
                          <w:szCs w:val="20"/>
                        </w:rPr>
                        <m:t>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3909C1"/>
    <w:p w:rsidR="00916DF8" w:rsidRDefault="003909C1">
      <w:pPr>
        <w:spacing w:after="120"/>
      </w:pPr>
      <w:r>
        <w:t>Where,</w:t>
      </w:r>
    </w:p>
    <w:p w:rsidR="00916DF8" w:rsidRDefault="003909C1">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3909C1">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3909C1">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w:t>
      </w:r>
      <w:r>
        <w:t xml:space="preserv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3909C1">
      <w:pPr>
        <w:pStyle w:val="alphapara"/>
      </w:pPr>
      <w:r>
        <w:t>(b)</w:t>
      </w:r>
      <w:r>
        <w:tab/>
        <w:t>If Qualifying DAM Derati</w:t>
      </w:r>
      <w:r>
        <w:t xml:space="preserve">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w:t>
      </w:r>
      <w:r>
        <w:t>an Actual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w:t>
      </w:r>
      <w:r>
        <w:t xml:space="preserve">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3909C1">
      <w:pPr>
        <w:pStyle w:val="Bodypara"/>
      </w:pPr>
      <w:r>
        <w:rPr>
          <w:i/>
          <w:iCs/>
        </w:rPr>
        <w:t>provided, however</w:t>
      </w:r>
      <w:r>
        <w:t xml:space="preserve">, </w:t>
      </w:r>
      <w:r w:rsidRPr="004E1504">
        <w:rPr>
          <w:i/>
        </w:rPr>
        <w:t>RatingChange</w:t>
      </w:r>
      <w:r w:rsidRPr="004E1504">
        <w:rPr>
          <w:i/>
          <w:vertAlign w:val="subscript"/>
        </w:rPr>
        <w:t>a,h,r</w:t>
      </w:r>
      <w:r>
        <w:t xml:space="preserve"> shall</w:t>
      </w:r>
      <w:r>
        <w:t xml:space="preserve"> be subject to being set equal to zero as specified in the paragraph immediately following this Formula B-11</w:t>
      </w:r>
    </w:p>
    <w:p w:rsidR="00916DF8" w:rsidRDefault="003909C1"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3909C1">
      <w:pPr>
        <w:pStyle w:val="Bodypara"/>
      </w:pPr>
      <w:r>
        <w:t>and the variables</w:t>
      </w:r>
      <w:r w:rsidRPr="004E1504">
        <w:rPr>
          <w:i/>
        </w:rPr>
        <w:t xml:space="preserve"> SCUCSignChange</w:t>
      </w:r>
      <w:r w:rsidRPr="004E1504">
        <w:rPr>
          <w:i/>
          <w:vertAlign w:val="subscript"/>
        </w:rPr>
        <w:t>a</w:t>
      </w:r>
      <w:r w:rsidRPr="004E1504">
        <w:rPr>
          <w:i/>
          <w:vertAlign w:val="subscript"/>
        </w:rPr>
        <w:t>,h</w:t>
      </w:r>
      <w:r>
        <w:t xml:space="preserve"> and </w:t>
      </w:r>
      <w:r w:rsidRPr="004E1504">
        <w:rPr>
          <w:i/>
        </w:rPr>
        <w:t>ShadowPrice</w:t>
      </w:r>
      <w:r w:rsidRPr="004E1504">
        <w:rPr>
          <w:i/>
          <w:vertAlign w:val="subscript"/>
        </w:rPr>
        <w:t>a,h</w:t>
      </w:r>
      <w:r>
        <w:t xml:space="preserve"> are defined as set forth in Formula B-5.</w:t>
      </w:r>
    </w:p>
    <w:p w:rsidR="00916DF8" w:rsidRDefault="003909C1">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w:t>
      </w:r>
      <w:r>
        <w:t>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w:t>
      </w:r>
      <w:r>
        <w:t>la B-13, as specified below.</w:t>
      </w:r>
    </w:p>
    <w:p w:rsidR="00916DF8" w:rsidRDefault="003909C1">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w:t>
      </w:r>
      <w:r>
        <w:t xml:space="preserve"> Formula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w:t>
      </w:r>
      <w:r>
        <w:t xml:space="preserv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w:t>
      </w:r>
      <w:r>
        <w:t>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w:t>
      </w:r>
      <w:r>
        <w:t xml:space="preserv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w:t>
      </w:r>
      <w:r w:rsidRPr="00A64F2B">
        <w:rPr>
          <w:i/>
        </w:rPr>
        <w:t xml:space="preserve"> CRSP</w:t>
      </w:r>
      <w:r w:rsidRPr="00A64F2B">
        <w:rPr>
          <w:i/>
          <w:vertAlign w:val="subscript"/>
        </w:rPr>
        <w:t>a,t,h</w:t>
      </w:r>
      <w:r>
        <w:t>, by using Formula B-13.</w:t>
      </w:r>
    </w:p>
    <w:p w:rsidR="00916DF8" w:rsidRDefault="003909C1">
      <w:pPr>
        <w:pStyle w:val="FormulaCaption"/>
      </w:pPr>
      <w:bookmarkStart w:id="254" w:name="_Ref115552375"/>
      <w:r>
        <w:t>Formula B-12</w:t>
      </w:r>
    </w:p>
    <w:bookmarkEnd w:id="254"/>
    <w:p w:rsidR="00A64F2B" w:rsidRDefault="00C476D8"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C476D8" w:rsidTr="000178DC">
        <w:trPr>
          <w:jc w:val="center"/>
        </w:trPr>
        <w:tc>
          <w:tcPr>
            <w:tcW w:w="2216" w:type="dxa"/>
            <w:vMerge w:val="restart"/>
            <w:vAlign w:val="center"/>
          </w:tcPr>
          <w:p w:rsidR="00A64F2B" w:rsidRPr="00A50207" w:rsidRDefault="00C476D8"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3909C1" w:rsidP="00A64F2B">
            <w:pPr>
              <w:widowControl w:val="0"/>
              <w:jc w:val="center"/>
              <w:rPr>
                <w:snapToGrid w:val="0"/>
                <w:sz w:val="22"/>
                <w:szCs w:val="20"/>
              </w:rPr>
            </w:pPr>
          </w:p>
        </w:tc>
        <w:tc>
          <w:tcPr>
            <w:tcW w:w="4957" w:type="dxa"/>
            <w:tcBorders>
              <w:bottom w:val="single" w:sz="4" w:space="0" w:color="auto"/>
            </w:tcBorders>
          </w:tcPr>
          <w:p w:rsidR="00A64F2B" w:rsidRPr="00A50207" w:rsidRDefault="00C476D8"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C476D8" w:rsidP="00A64F2B">
            <w:pPr>
              <w:widowControl w:val="0"/>
              <w:jc w:val="center"/>
              <w:rPr>
                <w:snapToGrid w:val="0"/>
                <w:sz w:val="22"/>
                <w:szCs w:val="20"/>
              </w:rPr>
            </w:pPr>
            <w:r w:rsidRPr="00C476D8">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3909C1"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C476D8" w:rsidTr="000178DC">
        <w:trPr>
          <w:jc w:val="center"/>
        </w:trPr>
        <w:tc>
          <w:tcPr>
            <w:tcW w:w="2216" w:type="dxa"/>
            <w:vMerge/>
            <w:vAlign w:val="center"/>
          </w:tcPr>
          <w:p w:rsidR="00A64F2B" w:rsidRPr="00A50207" w:rsidRDefault="003909C1" w:rsidP="000178DC">
            <w:pPr>
              <w:widowControl w:val="0"/>
              <w:jc w:val="right"/>
              <w:rPr>
                <w:snapToGrid w:val="0"/>
                <w:sz w:val="22"/>
                <w:szCs w:val="20"/>
              </w:rPr>
            </w:pPr>
          </w:p>
        </w:tc>
        <w:tc>
          <w:tcPr>
            <w:tcW w:w="258" w:type="dxa"/>
            <w:vMerge/>
          </w:tcPr>
          <w:p w:rsidR="00A64F2B" w:rsidRPr="00A50207" w:rsidRDefault="003909C1" w:rsidP="00A64F2B">
            <w:pPr>
              <w:widowControl w:val="0"/>
              <w:rPr>
                <w:snapToGrid w:val="0"/>
                <w:sz w:val="22"/>
                <w:szCs w:val="20"/>
              </w:rPr>
            </w:pPr>
          </w:p>
        </w:tc>
        <w:tc>
          <w:tcPr>
            <w:tcW w:w="4957" w:type="dxa"/>
            <w:tcBorders>
              <w:top w:val="single" w:sz="4" w:space="0" w:color="auto"/>
            </w:tcBorders>
          </w:tcPr>
          <w:p w:rsidR="00A64F2B" w:rsidRPr="00A50207" w:rsidRDefault="00C476D8"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3909C1" w:rsidP="00A64F2B">
            <w:pPr>
              <w:widowControl w:val="0"/>
              <w:rPr>
                <w:snapToGrid w:val="0"/>
                <w:sz w:val="22"/>
                <w:szCs w:val="20"/>
              </w:rPr>
            </w:pPr>
          </w:p>
        </w:tc>
        <w:tc>
          <w:tcPr>
            <w:tcW w:w="1357" w:type="dxa"/>
            <w:vMerge/>
          </w:tcPr>
          <w:p w:rsidR="00A64F2B" w:rsidRPr="00A50207" w:rsidRDefault="003909C1" w:rsidP="00A64F2B">
            <w:pPr>
              <w:widowControl w:val="0"/>
              <w:rPr>
                <w:snapToGrid w:val="0"/>
                <w:sz w:val="22"/>
                <w:szCs w:val="20"/>
              </w:rPr>
            </w:pPr>
          </w:p>
        </w:tc>
      </w:tr>
    </w:tbl>
    <w:p w:rsidR="00A64F2B" w:rsidRDefault="003909C1" w:rsidP="00A64F2B"/>
    <w:p w:rsidR="00916DF8" w:rsidRDefault="003909C1">
      <w:pPr>
        <w:pStyle w:val="Bodypara"/>
      </w:pPr>
      <w:r>
        <w:t>Where,</w:t>
      </w:r>
    </w:p>
    <w:p w:rsidR="00916DF8" w:rsidRDefault="003909C1">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3909C1">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3909C1">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3909C1">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w:t>
      </w:r>
      <w:r>
        <w:t>7.5.2.4.4</w:t>
      </w:r>
    </w:p>
    <w:p w:rsidR="00916DF8" w:rsidRDefault="003909C1">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3909C1">
      <w:pPr>
        <w:pStyle w:val="FormulaCaption"/>
      </w:pPr>
      <w:bookmarkStart w:id="255" w:name="_Ref115552486"/>
      <w:r>
        <w:t>Formula B-13</w:t>
      </w:r>
    </w:p>
    <w:p w:rsidR="00B4123E" w:rsidRDefault="00C476D8">
      <w:pPr>
        <w:keepNext/>
      </w:pPr>
      <m:oMathPara>
        <m:oMath>
          <w:bookmarkEnd w:id="255"/>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3909C1">
      <w:pPr>
        <w:keepNext/>
      </w:pPr>
    </w:p>
    <w:p w:rsidR="00916DF8" w:rsidRDefault="003909C1">
      <w:pPr>
        <w:keepNext/>
        <w:spacing w:after="120"/>
      </w:pPr>
      <w:r>
        <w:t>Where,</w:t>
      </w:r>
    </w:p>
    <w:p w:rsidR="00916DF8" w:rsidRDefault="003909C1">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w:t>
      </w:r>
      <w:r w:rsidRPr="007F2D34">
        <w:rPr>
          <w:i/>
        </w:rPr>
        <w: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3909C1">
      <w:pPr>
        <w:pStyle w:val="Heading4"/>
      </w:pPr>
      <w:bookmarkStart w:id="256" w:name="_Toc115547753"/>
      <w:bookmarkStart w:id="257" w:name="_Ref115549440"/>
      <w:bookmarkStart w:id="258" w:name="_Ref115549585"/>
      <w:bookmarkStart w:id="259" w:name="_Toc115574866"/>
      <w:bookmarkStart w:id="260" w:name="_Ref115772216"/>
      <w:bookmarkStart w:id="261" w:name="_Toc115773991"/>
      <w:bookmarkStart w:id="262" w:name="_Toc115840232"/>
      <w:bookmarkStart w:id="263" w:name="_Toc115840436"/>
      <w:bookmarkStart w:id="264" w:name="_Toc115840628"/>
      <w:bookmarkStart w:id="265" w:name="_Toc115845829"/>
      <w:bookmarkStart w:id="266" w:name="_Toc115846366"/>
      <w:bookmarkStart w:id="267" w:name="_Toc115846630"/>
      <w:bookmarkStart w:id="268" w:name="_Toc115847064"/>
      <w:bookmarkStart w:id="269" w:name="_Toc115847323"/>
      <w:bookmarkStart w:id="270" w:name="_Toc116195326"/>
      <w:bookmarkStart w:id="271" w:name="_Toc116196593"/>
      <w:bookmarkStart w:id="272" w:name="_Toc116196770"/>
      <w:bookmarkStart w:id="273" w:name="_Toc116197257"/>
      <w:bookmarkStart w:id="274" w:name="_Toc119143712"/>
      <w:bookmarkStart w:id="275" w:name="_Toc124754732"/>
      <w:bookmarkStart w:id="276" w:name="_Ref124846418"/>
      <w:bookmarkStart w:id="277" w:name="_Toc124858890"/>
      <w:bookmarkStart w:id="278" w:name="_Toc124858996"/>
      <w:bookmarkStart w:id="279" w:name="_Toc124908511"/>
      <w:bookmarkStart w:id="280" w:name="_Toc124908612"/>
      <w:bookmarkStart w:id="281" w:name="_Toc124909383"/>
      <w:bookmarkStart w:id="282" w:name="_Toc124909487"/>
      <w:bookmarkStart w:id="283" w:name="_Ref124951923"/>
      <w:bookmarkStart w:id="284" w:name="_Ref125363955"/>
      <w:bookmarkStart w:id="285" w:name="_Toc125885628"/>
      <w:bookmarkStart w:id="286" w:name="_Toc263408343"/>
      <w:r>
        <w:t>17.5.</w:t>
      </w:r>
      <w:r>
        <w:rPr>
          <w:rFonts w:eastAsia="Arial Unicode MS"/>
        </w:rPr>
        <w:t>2.4.4</w:t>
      </w:r>
      <w:r>
        <w:rPr>
          <w:rFonts w:eastAsia="Arial Unicode MS"/>
        </w:rPr>
        <w:tab/>
      </w:r>
      <w:r>
        <w:t>Assigning Responsibility for Outages, Returns-to-Service, Deratings, and Upratings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16DF8" w:rsidRDefault="003909C1">
      <w:pPr>
        <w:pStyle w:val="Heading4"/>
        <w:rPr>
          <w:rFonts w:eastAsia="Arial Unicode MS"/>
        </w:rPr>
      </w:pPr>
      <w:bookmarkStart w:id="287" w:name="_Toc115547754"/>
      <w:bookmarkStart w:id="288" w:name="_Toc115574867"/>
      <w:bookmarkStart w:id="289" w:name="_Toc115773992"/>
      <w:bookmarkStart w:id="290" w:name="_Toc115840233"/>
      <w:bookmarkStart w:id="291" w:name="_Toc115840437"/>
      <w:bookmarkStart w:id="292" w:name="_Toc115840629"/>
      <w:bookmarkStart w:id="293" w:name="_Toc115845830"/>
      <w:bookmarkStart w:id="294" w:name="_Toc115846367"/>
      <w:bookmarkStart w:id="295" w:name="_Toc115846631"/>
      <w:bookmarkStart w:id="296" w:name="_Toc115847065"/>
      <w:bookmarkStart w:id="297" w:name="_Toc115847324"/>
      <w:bookmarkStart w:id="298" w:name="_Toc116195327"/>
      <w:bookmarkStart w:id="299" w:name="_Toc116196594"/>
      <w:bookmarkStart w:id="300" w:name="_Toc116196771"/>
      <w:bookmarkStart w:id="301" w:name="_Toc116197258"/>
      <w:bookmarkStart w:id="302" w:name="_Toc119143713"/>
      <w:bookmarkStart w:id="303" w:name="_Ref124679581"/>
      <w:bookmarkStart w:id="304" w:name="_Toc124754733"/>
      <w:bookmarkStart w:id="305" w:name="_Toc124858891"/>
      <w:bookmarkStart w:id="306" w:name="_Toc124858997"/>
      <w:bookmarkStart w:id="307" w:name="_Toc124908512"/>
      <w:bookmarkStart w:id="308" w:name="_Toc124908613"/>
      <w:bookmarkStart w:id="309" w:name="_Toc124909384"/>
      <w:bookmarkStart w:id="310" w:name="_Toc124909488"/>
      <w:bookmarkStart w:id="311" w:name="_Toc125885629"/>
      <w:bookmarkStart w:id="312" w:name="_Toc263408344"/>
      <w:r>
        <w:t>17.5.</w:t>
      </w:r>
      <w:r>
        <w:rPr>
          <w:rFonts w:eastAsia="Arial Unicode MS"/>
        </w:rPr>
        <w:t>2.4.4.1</w:t>
      </w:r>
      <w:r>
        <w:rPr>
          <w:rFonts w:eastAsia="Arial Unicode MS"/>
        </w:rPr>
        <w:tab/>
      </w:r>
      <w:r>
        <w:t>General Rule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 xml:space="preserve"> </w:t>
      </w:r>
      <w:r>
        <w:t>for Assigning Responsibility; Presumption of Causation</w:t>
      </w:r>
      <w:bookmarkEnd w:id="303"/>
      <w:bookmarkEnd w:id="304"/>
      <w:bookmarkEnd w:id="305"/>
      <w:bookmarkEnd w:id="306"/>
      <w:bookmarkEnd w:id="307"/>
      <w:bookmarkEnd w:id="308"/>
      <w:bookmarkEnd w:id="309"/>
      <w:bookmarkEnd w:id="310"/>
      <w:bookmarkEnd w:id="311"/>
      <w:bookmarkEnd w:id="312"/>
    </w:p>
    <w:p w:rsidR="00916DF8" w:rsidRDefault="003909C1">
      <w:pPr>
        <w:pStyle w:val="Bodypara"/>
      </w:pPr>
      <w:r>
        <w:t>Unless the special rules set forth in Sections 17.5.2.4.4.2 through 17.5.2.4.4.4 apply, a Transmission Owner shall for purposes of this Section 17.5.2.4 be deemed responsible for a DAM Status Change to</w:t>
      </w:r>
      <w:r>
        <w:t xml:space="preserve"> the 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w:t>
      </w:r>
      <w:r>
        <w:t>ervice status of a transmission facility owned by more than one Transmission Owner, responsibility for such DAM Status Change shall be assigned to each owning Transmission Owner based on the percentage of the transmission facility that is owned by the Tran</w:t>
      </w:r>
      <w:r>
        <w:t>smission Owner (as determined in accordance with Section 17.5.2.4.6.1) during the hour for which the DAM Status Change occurred.  For the sake of clarity, a Transmission Owner may, by changing the in-service or out-of-service status of its transmission fac</w:t>
      </w:r>
      <w:r>
        <w:t>ility, cause a DAM Status Change of another transmission facility if the Transmission Owner’s change in the in-service or out-of-service status of its transmission facility causes (directly or as a result of Good Utility Practice) a change in the in-servic</w:t>
      </w:r>
      <w:r>
        <w:t xml:space="preserve">e or out-of-service status of the other transmission facility.  </w:t>
      </w:r>
    </w:p>
    <w:p w:rsidR="00916DF8" w:rsidRDefault="003909C1">
      <w:pPr>
        <w:pStyle w:val="Bodypara"/>
      </w:pPr>
      <w:r>
        <w:t>The Transmission Owner that owns a transmission facility that qualifies as a DAM Status Change shall be deemed to have caused the DAM Status Change of that transmission facility unless (i) th</w:t>
      </w:r>
      <w:r>
        <w:t>e Transmission Owner that owns the facility informs the ISO that another Transmission Owner caused the DAM Status Change or that responsibility is to be shared among Transmission Owners in accordance with Sections 17.5.2.4.4.2, 17.5.2.4.4.3, or 17.5.2.4.4.</w:t>
      </w:r>
      <w:r>
        <w:t>4, and no party disputes such claim; (ii) in case of a dispute over the assignment of responsibility, the ISO determines a Transmission Owner other than the owner of the transmission facility caused the DAM Status Change or that responsibility is to be sha</w:t>
      </w:r>
      <w:r>
        <w:t>red among Transmission Owners in accordance with Sections 17.5.2.4.4.2, 17.5.2.4.4.3, or 17.5.2.4.4.4; or (iii) FERC orders otherwise.</w:t>
      </w:r>
    </w:p>
    <w:p w:rsidR="00916DF8" w:rsidRDefault="003909C1">
      <w:pPr>
        <w:pStyle w:val="Heading4"/>
        <w:rPr>
          <w:rFonts w:eastAsia="Arial Unicode MS"/>
        </w:rPr>
      </w:pPr>
      <w:bookmarkStart w:id="313" w:name="_Toc115547756"/>
      <w:bookmarkStart w:id="314" w:name="_Ref115549006"/>
      <w:bookmarkStart w:id="315" w:name="_Ref115550516"/>
      <w:bookmarkStart w:id="316" w:name="_Toc115574869"/>
      <w:bookmarkStart w:id="317" w:name="_Toc115773994"/>
      <w:bookmarkStart w:id="318" w:name="_Toc115840235"/>
      <w:bookmarkStart w:id="319" w:name="_Toc115840439"/>
      <w:bookmarkStart w:id="320" w:name="_Toc115840631"/>
      <w:bookmarkStart w:id="321" w:name="_Toc115845832"/>
      <w:bookmarkStart w:id="322" w:name="_Toc115846369"/>
      <w:bookmarkStart w:id="323" w:name="_Toc115846633"/>
      <w:bookmarkStart w:id="324" w:name="_Toc115847067"/>
      <w:bookmarkStart w:id="325" w:name="_Toc115847326"/>
      <w:bookmarkStart w:id="326" w:name="_Toc116195329"/>
      <w:bookmarkStart w:id="327" w:name="_Toc116196596"/>
      <w:bookmarkStart w:id="328" w:name="_Toc116196773"/>
      <w:bookmarkStart w:id="329" w:name="_Toc116197260"/>
      <w:bookmarkStart w:id="330" w:name="_Toc119143715"/>
      <w:bookmarkStart w:id="331" w:name="_Ref124679298"/>
      <w:bookmarkStart w:id="332" w:name="_Toc124754734"/>
      <w:bookmarkStart w:id="333" w:name="_Toc124858892"/>
      <w:bookmarkStart w:id="334" w:name="_Toc124858998"/>
      <w:bookmarkStart w:id="335" w:name="_Toc124908513"/>
      <w:bookmarkStart w:id="336" w:name="_Toc124908614"/>
      <w:bookmarkStart w:id="337" w:name="_Toc124909385"/>
      <w:bookmarkStart w:id="338" w:name="_Toc124909489"/>
      <w:bookmarkStart w:id="339" w:name="_Toc125885630"/>
      <w:bookmarkStart w:id="340" w:name="_Toc263408345"/>
      <w:r>
        <w:t>17.5.</w:t>
      </w:r>
      <w:r>
        <w:rPr>
          <w:rFonts w:eastAsia="Arial Unicode MS"/>
        </w:rPr>
        <w:t>2.4.4.2</w:t>
      </w:r>
      <w:r>
        <w:rPr>
          <w:rFonts w:eastAsia="Arial Unicode MS"/>
        </w:rPr>
        <w:tab/>
      </w:r>
      <w:r>
        <w:t>Shared Responsibility For Outages, Returns-to-Service, and Ratings Changes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 Directed by the ISO or Caused by </w:t>
      </w:r>
      <w:r>
        <w:t>Facility Status Changes Directed by the ISO</w:t>
      </w:r>
      <w:bookmarkEnd w:id="332"/>
      <w:bookmarkEnd w:id="333"/>
      <w:bookmarkEnd w:id="334"/>
      <w:bookmarkEnd w:id="335"/>
      <w:bookmarkEnd w:id="336"/>
      <w:bookmarkEnd w:id="337"/>
      <w:bookmarkEnd w:id="338"/>
      <w:bookmarkEnd w:id="339"/>
      <w:bookmarkEnd w:id="340"/>
    </w:p>
    <w:p w:rsidR="00916DF8" w:rsidRDefault="003909C1">
      <w:pPr>
        <w:pStyle w:val="Bodypara"/>
      </w:pPr>
      <w:r>
        <w:t>A Transmission Owner shall not be responsible for any DAM Status Change that qualifies as an ISO-Directed DAM Status Change or Deemed ISO-Directed DAM Status Change.  Instead, the ISO shall allocate any revenue i</w:t>
      </w:r>
      <w:r>
        <w:t xml:space="preserve">mpacts 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Section 17.5.2.4.2 and Section 17.5.2.4.3, and any DAM Status Change that qualifies as an ISO-Directed DAM Status Change or Deemed ISO-Direct</w:t>
      </w:r>
      <w:r>
        <w:t xml:space="preserve">ed DAM Status Change shall be attributed to the ISO when performing the calculations described in Section 17.5.2.4.2 and Section 17.5.2.4.3; </w:t>
      </w:r>
      <w:r>
        <w:rPr>
          <w:i/>
          <w:iCs/>
        </w:rPr>
        <w:t>provided, however</w:t>
      </w:r>
      <w:r>
        <w:t>, any O/R-t-S Congestion Rent Shortfall Charge, U/D Congestion Rent Shortfall Charge, O/R-t-S Cong</w:t>
      </w:r>
      <w:r>
        <w:t>estion Rent Surplus Payment, or U/D Congestion Rent Surplus Payment allocable to the ISO pursuant to this Section 17.5.2.4.4.2 shall ultimately be allocated to the Transmission Owners as Net Congestion Rents pursuant to Section 17.5.2.5.</w:t>
      </w:r>
    </w:p>
    <w:p w:rsidR="00916DF8" w:rsidRDefault="003909C1">
      <w:pPr>
        <w:pStyle w:val="Bodypara"/>
      </w:pPr>
      <w:r>
        <w:t>Responsibility for</w:t>
      </w:r>
      <w:r>
        <w:t xml:space="preserve"> a Qualifying DAM Return-to-Service or Qualifying DAM Uprating that is directed by the ISO but does not qualify as a Deemed ISO-Directed DAM Status Change shall be assigned to the Transmission Owner that was responsible for the Qualifying Auction Outage or</w:t>
      </w:r>
      <w:r>
        <w:t xml:space="preserve"> Qualifying Auction Derating in the last Reconfiguration Auction held for TCCs valid for the relevant hour or the last 6-month sub-auction of a Centralized TCC Auction held for TCCs valid for the relevant hour.</w:t>
      </w:r>
    </w:p>
    <w:p w:rsidR="00916DF8" w:rsidRDefault="003909C1">
      <w:pPr>
        <w:pStyle w:val="Heading4"/>
        <w:rPr>
          <w:rFonts w:eastAsia="Arial Unicode MS"/>
        </w:rPr>
      </w:pPr>
      <w:bookmarkStart w:id="341" w:name="_Toc115547757"/>
      <w:bookmarkStart w:id="342" w:name="_Ref115549031"/>
      <w:bookmarkStart w:id="343" w:name="_Ref115550549"/>
      <w:bookmarkStart w:id="344" w:name="_Toc115574870"/>
      <w:bookmarkStart w:id="345" w:name="_Toc115773995"/>
      <w:bookmarkStart w:id="346" w:name="_Toc115840236"/>
      <w:bookmarkStart w:id="347" w:name="_Toc115840440"/>
      <w:bookmarkStart w:id="348" w:name="_Toc115840632"/>
      <w:bookmarkStart w:id="349" w:name="_Toc115845833"/>
      <w:bookmarkStart w:id="350" w:name="_Toc115846370"/>
      <w:bookmarkStart w:id="351" w:name="_Toc115846634"/>
      <w:bookmarkStart w:id="352" w:name="_Toc115847068"/>
      <w:bookmarkStart w:id="353" w:name="_Toc115847327"/>
      <w:bookmarkStart w:id="354" w:name="_Toc116195330"/>
      <w:bookmarkStart w:id="355" w:name="_Toc116196597"/>
      <w:bookmarkStart w:id="356" w:name="_Toc116196774"/>
      <w:bookmarkStart w:id="357" w:name="_Toc116197261"/>
      <w:bookmarkStart w:id="358" w:name="_Toc119143716"/>
      <w:bookmarkStart w:id="359" w:name="_Toc124754735"/>
      <w:bookmarkStart w:id="360" w:name="_Toc124858893"/>
      <w:bookmarkStart w:id="361" w:name="_Toc124858999"/>
      <w:bookmarkStart w:id="362" w:name="_Toc124908514"/>
      <w:bookmarkStart w:id="363" w:name="_Toc124908615"/>
      <w:bookmarkStart w:id="364" w:name="_Toc124909386"/>
      <w:bookmarkStart w:id="365" w:name="_Toc124909490"/>
      <w:bookmarkStart w:id="366" w:name="_Ref125363931"/>
      <w:bookmarkStart w:id="367" w:name="_Toc125885631"/>
      <w:bookmarkStart w:id="368" w:name="_Toc263408346"/>
      <w:r>
        <w:t>17.5.</w:t>
      </w:r>
      <w:r>
        <w:rPr>
          <w:rFonts w:eastAsia="Arial Unicode MS"/>
        </w:rPr>
        <w:t>2.4.4.3</w:t>
      </w:r>
      <w:r>
        <w:rPr>
          <w:rFonts w:eastAsia="Arial Unicode MS"/>
        </w:rPr>
        <w:tab/>
      </w:r>
      <w:r>
        <w:t>Shared Responsibility for Extern</w:t>
      </w:r>
      <w:r>
        <w:t>al Events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16DF8" w:rsidRDefault="003909C1">
      <w:pPr>
        <w:pStyle w:val="Bodypara"/>
      </w:pPr>
      <w:r>
        <w:t>A Transmission Owner shall not be responsible for a DAM Status Change occurring inside the NYCA that is caused by a change in the in-service or out-of-service status or rating of a transmission facility located outside the NYCA.  Instead, the ISO</w:t>
      </w:r>
      <w:r>
        <w:t xml:space="preserve">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w:t>
      </w:r>
      <w:r>
        <w:t xml:space="preserve"> pursuant to Section 17.5.2.4.2 and Section 17.5.2.4.3 and any DAM Status Change caused by such an event outside the NYCA shall be attributed to the ISO when performing the calculations described in Section 17.5.2.4.2 and Section 17.5.2.4.3; </w:t>
      </w:r>
      <w:r>
        <w:rPr>
          <w:i/>
          <w:iCs/>
        </w:rPr>
        <w:t>provided, howe</w:t>
      </w:r>
      <w:r>
        <w:rPr>
          <w:i/>
          <w:iCs/>
        </w:rPr>
        <w:t>ver</w:t>
      </w:r>
      <w:r>
        <w:t>, any O/R-t-S Congestion Rent Shortfall Charge, U/D Congestion Rent Shortfall Charge, O/R-t-S Congestion Rent Surplus Payment, or U/D Congestion Rent Surplus Payment allocable to the ISO pursuant to this Section 17.5.2.4.4.3 shall ultimately be allocate</w:t>
      </w:r>
      <w:r>
        <w:t>d to the Transmission Owners as Net Congestion Rents pursuant to Section 17.5.2.5.</w:t>
      </w:r>
    </w:p>
    <w:p w:rsidR="00916DF8" w:rsidRDefault="003909C1">
      <w:pPr>
        <w:pStyle w:val="Heading4"/>
        <w:rPr>
          <w:rFonts w:eastAsia="Arial Unicode MS"/>
        </w:rPr>
      </w:pPr>
      <w:bookmarkStart w:id="369" w:name="_Toc115547760"/>
      <w:bookmarkStart w:id="370" w:name="_Toc115574873"/>
      <w:bookmarkStart w:id="371" w:name="_Toc115773998"/>
      <w:bookmarkStart w:id="372" w:name="_Toc115840239"/>
      <w:bookmarkStart w:id="373" w:name="_Toc115840443"/>
      <w:bookmarkStart w:id="374" w:name="_Toc115840635"/>
      <w:bookmarkStart w:id="375" w:name="_Toc115845836"/>
      <w:bookmarkStart w:id="376" w:name="_Toc115846373"/>
      <w:bookmarkStart w:id="377" w:name="_Toc115846637"/>
      <w:bookmarkStart w:id="378" w:name="_Toc115847071"/>
      <w:bookmarkStart w:id="379" w:name="_Toc115847330"/>
      <w:bookmarkStart w:id="380" w:name="_Toc116195334"/>
      <w:bookmarkStart w:id="381" w:name="_Toc116196601"/>
      <w:bookmarkStart w:id="382" w:name="_Toc116196778"/>
      <w:bookmarkStart w:id="383" w:name="_Toc116197265"/>
      <w:bookmarkStart w:id="384" w:name="_Toc119143720"/>
      <w:bookmarkStart w:id="385" w:name="_Ref124132222"/>
      <w:bookmarkStart w:id="386" w:name="_Ref124132367"/>
      <w:bookmarkStart w:id="387" w:name="_Ref124679319"/>
      <w:bookmarkStart w:id="388" w:name="_Toc124754736"/>
      <w:bookmarkStart w:id="389" w:name="_Toc124858894"/>
      <w:bookmarkStart w:id="390" w:name="_Toc124859000"/>
      <w:bookmarkStart w:id="391" w:name="_Toc124908515"/>
      <w:bookmarkStart w:id="392" w:name="_Toc124908616"/>
      <w:bookmarkStart w:id="393" w:name="_Toc124909387"/>
      <w:bookmarkStart w:id="394" w:name="_Toc124909491"/>
      <w:bookmarkStart w:id="395" w:name="_Toc125885632"/>
      <w:bookmarkStart w:id="396" w:name="_Toc263408347"/>
      <w:r>
        <w:t>17.5.</w:t>
      </w:r>
      <w:r>
        <w:rPr>
          <w:rFonts w:eastAsia="Arial Unicode MS"/>
        </w:rPr>
        <w:t>2.4.4.4</w:t>
      </w:r>
      <w:r>
        <w:rPr>
          <w:rFonts w:eastAsia="Arial Unicode MS"/>
        </w:rPr>
        <w:tab/>
      </w:r>
      <w:r>
        <w:t>Shared Responsibility For Returns-to-Service and Upratings During a Transitional Period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16DF8" w:rsidRDefault="003909C1">
      <w:pPr>
        <w:pStyle w:val="Bodypara"/>
      </w:pPr>
      <w:r>
        <w:t>Notwithstanding any other provision of this Part 17.5 of this Attachment</w:t>
      </w:r>
      <w:r>
        <w:t xml:space="preserve"> B, a Transmission Owner shall be deemed to be not responsible for a Qualifying DAM Return-to-Service, Qualifying DAM Derating, or Qualifying DAM Uprating for an hour of the Day-Ahead Market if this Part 17.5 of this Attachment B was not in effect at the t</w:t>
      </w:r>
      <w:r>
        <w:t>ime of the last Reconfiguration Auction held for TCCs valid for the hour.  Instead, the ISO shall allocate any revenue impacts resulting from such a Qualifying DAM Return-to-Service, Qualifying DAM Derating, or Qualifying DAM Uprating as part of Net Conges</w:t>
      </w:r>
      <w:r>
        <w:t xml:space="preserve">tion Rents for hour </w:t>
      </w:r>
      <w:r>
        <w:rPr>
          <w:i/>
        </w:rPr>
        <w:t>h</w:t>
      </w:r>
      <w:r>
        <w:t>.  To do so, the ISO shall be treated as a Transmission Owner when allocating DAM Constraint Residuals pursuant to Section 17.5.2.4.2 and Section 17.5.2.4.3, and any such Qualifying DAM Return-to-Service, Qualifying DAM Derating, or Qu</w:t>
      </w:r>
      <w:r>
        <w:t xml:space="preserve">alifying DAM Uprating during this transitional period shall be attributed to the ISO when performing the calculations described in Section 17.5.2.4.2 and Section 17.5.2.4.3; </w:t>
      </w:r>
      <w:r>
        <w:rPr>
          <w:i/>
          <w:iCs/>
        </w:rPr>
        <w:t>provided, however</w:t>
      </w:r>
      <w:r>
        <w:t>, any O/R-t-S Congestion Rent Shortfall Charge, U/D Congestion Re</w:t>
      </w:r>
      <w:r>
        <w:t>nt Shortfall Charge, O/R-t-S Congestion Rent Surplus Payment, or U/D Congestion Rent Surplus Payment allocable to the ISO pursuant to this Section 17.5.2.4.4.4 shall ultimately be allocated to the Transmission Owners as Net Congestion Rents pursuant to Sec</w:t>
      </w:r>
      <w:r>
        <w:t>tion 17.5.2.5.</w:t>
      </w:r>
    </w:p>
    <w:p w:rsidR="00916DF8" w:rsidRDefault="003909C1">
      <w:pPr>
        <w:pStyle w:val="Heading4"/>
        <w:rPr>
          <w:rFonts w:eastAsia="Arial Unicode MS"/>
        </w:rPr>
      </w:pPr>
      <w:bookmarkStart w:id="397" w:name="_Toc116195332"/>
      <w:bookmarkStart w:id="398" w:name="_Toc116196599"/>
      <w:bookmarkStart w:id="399" w:name="_Toc116196776"/>
      <w:bookmarkStart w:id="400" w:name="_Toc116197263"/>
      <w:bookmarkStart w:id="401" w:name="_Toc119143718"/>
      <w:bookmarkStart w:id="402" w:name="_Toc124754737"/>
      <w:bookmarkStart w:id="403" w:name="_Toc124858895"/>
      <w:bookmarkStart w:id="404" w:name="_Toc124859001"/>
      <w:bookmarkStart w:id="405" w:name="_Toc124908516"/>
      <w:bookmarkStart w:id="406" w:name="_Toc124908617"/>
      <w:bookmarkStart w:id="407" w:name="_Toc124909388"/>
      <w:bookmarkStart w:id="408" w:name="_Toc124909492"/>
      <w:bookmarkStart w:id="409" w:name="_Toc125885633"/>
      <w:bookmarkStart w:id="410" w:name="_Toc263408348"/>
      <w:bookmarkStart w:id="411" w:name="_Toc115547759"/>
      <w:bookmarkStart w:id="412" w:name="_Ref115548948"/>
      <w:bookmarkStart w:id="413" w:name="_Ref115549472"/>
      <w:bookmarkStart w:id="414" w:name="_Ref115549623"/>
      <w:bookmarkStart w:id="415" w:name="_Toc115574872"/>
      <w:bookmarkStart w:id="416" w:name="_Toc115773997"/>
      <w:bookmarkStart w:id="417" w:name="_Toc115840238"/>
      <w:bookmarkStart w:id="418" w:name="_Toc115840442"/>
      <w:bookmarkStart w:id="419" w:name="_Toc115840634"/>
      <w:bookmarkStart w:id="420" w:name="_Toc115845835"/>
      <w:bookmarkStart w:id="421" w:name="_Toc115846372"/>
      <w:bookmarkStart w:id="422" w:name="_Toc115846636"/>
      <w:bookmarkStart w:id="423" w:name="_Toc115847070"/>
      <w:bookmarkStart w:id="424" w:name="_Toc115847329"/>
      <w:r>
        <w:t>17.5.</w:t>
      </w:r>
      <w:r>
        <w:rPr>
          <w:rFonts w:eastAsia="Arial Unicode MS"/>
        </w:rPr>
        <w:t>2.4.5</w:t>
      </w:r>
      <w:r>
        <w:rPr>
          <w:rFonts w:eastAsia="Arial Unicode MS"/>
        </w:rPr>
        <w:tab/>
        <w:t>Exceptions: Setting Charges and Payments to Zero</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16DF8" w:rsidRDefault="003909C1">
      <w:pPr>
        <w:pStyle w:val="Heading4"/>
      </w:pPr>
      <w:bookmarkStart w:id="425" w:name="_Toc116195333"/>
      <w:bookmarkStart w:id="426" w:name="_Toc116196600"/>
      <w:bookmarkStart w:id="427" w:name="_Toc116196777"/>
      <w:bookmarkStart w:id="428" w:name="_Toc116197264"/>
      <w:bookmarkStart w:id="429" w:name="_Toc119143719"/>
      <w:bookmarkStart w:id="430" w:name="_Ref124126993"/>
      <w:bookmarkStart w:id="431" w:name="_Toc124754738"/>
      <w:bookmarkStart w:id="432" w:name="_Toc124858896"/>
      <w:bookmarkStart w:id="433" w:name="_Toc124859002"/>
      <w:bookmarkStart w:id="434" w:name="_Toc124908517"/>
      <w:bookmarkStart w:id="435" w:name="_Toc124908618"/>
      <w:bookmarkStart w:id="436" w:name="_Toc124909389"/>
      <w:bookmarkStart w:id="437" w:name="_Toc124909493"/>
      <w:bookmarkStart w:id="438" w:name="_Toc125885634"/>
      <w:bookmarkStart w:id="439" w:name="_Toc263408349"/>
      <w:r>
        <w:t>17.5.</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916DF8" w:rsidRDefault="003909C1">
      <w:pPr>
        <w:pStyle w:val="Bodypara"/>
      </w:pPr>
      <w:r>
        <w:t>The ISO shall use Formula B-</w:t>
      </w:r>
      <w:r>
        <w:t>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w:t>
      </w:r>
      <w:r>
        <w:t xml:space="preserve">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w:t>
      </w:r>
      <w:r>
        <w:t xml:space="preserve">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w:t>
      </w:r>
      <w:r>
        <w:t xml:space="preserve">onsible (as determined pursuant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w:t>
      </w:r>
      <w:r>
        <w:rPr>
          <w:vertAlign w:val="subscript"/>
        </w:rPr>
        <w:t>,h</w:t>
      </w:r>
      <w:r>
        <w:t>, O/R-t-S CRSP</w:t>
      </w:r>
      <w:r>
        <w:rPr>
          <w:vertAlign w:val="subscript"/>
        </w:rPr>
        <w:t>a,t,h</w:t>
      </w:r>
      <w:r>
        <w:t>, or U/D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w:t>
      </w:r>
      <w:r>
        <w:t>nal period as described in Section 17.5.2.4.4.4.</w:t>
      </w:r>
    </w:p>
    <w:p w:rsidR="00916DF8" w:rsidRDefault="003909C1">
      <w:pPr>
        <w:pStyle w:val="FormulaCaption"/>
      </w:pPr>
      <w:bookmarkStart w:id="440" w:name="_Ref115548849"/>
      <w:r>
        <w:t>Formula B-14</w:t>
      </w:r>
    </w:p>
    <w:p w:rsidR="00344919" w:rsidRDefault="00C476D8">
      <m:oMathPara>
        <m:oMath>
          <w:bookmarkEnd w:id="440"/>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3909C1"/>
    <w:p w:rsidR="00916DF8" w:rsidRDefault="003909C1">
      <w:pPr>
        <w:spacing w:after="120"/>
      </w:pPr>
      <w:r>
        <w:t>Where,</w:t>
      </w:r>
    </w:p>
    <w:p w:rsidR="00916DF8" w:rsidRDefault="003909C1">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3909C1">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3909C1">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3909C1">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w:t>
      </w:r>
      <w:r>
        <w:t>rket, calculated pursuant to Section 17.5.2.4.2</w:t>
      </w:r>
    </w:p>
    <w:p w:rsidR="00916DF8" w:rsidRDefault="003909C1">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3909C1">
      <w:pPr>
        <w:pStyle w:val="Heading4"/>
        <w:keepLines/>
        <w:rPr>
          <w:rFonts w:eastAsia="Arial Unicode MS"/>
        </w:rPr>
      </w:pPr>
      <w:bookmarkStart w:id="441" w:name="_Toc115547761"/>
      <w:bookmarkStart w:id="442" w:name="_Ref115548976"/>
      <w:bookmarkStart w:id="443" w:name="_Ref115549495"/>
      <w:bookmarkStart w:id="444" w:name="_Ref115549667"/>
      <w:bookmarkStart w:id="445" w:name="_Toc115574874"/>
      <w:bookmarkStart w:id="446" w:name="_Toc115773999"/>
      <w:bookmarkStart w:id="447" w:name="_Toc115840240"/>
      <w:bookmarkStart w:id="448" w:name="_Toc115840444"/>
      <w:bookmarkStart w:id="449" w:name="_Toc115840636"/>
      <w:bookmarkStart w:id="450" w:name="_Toc115845837"/>
      <w:bookmarkStart w:id="451" w:name="_Toc115846374"/>
      <w:bookmarkStart w:id="452" w:name="_Toc115846638"/>
      <w:bookmarkStart w:id="453" w:name="_Toc115847072"/>
      <w:bookmarkStart w:id="454" w:name="_Toc115847331"/>
      <w:bookmarkStart w:id="455" w:name="_Toc116195335"/>
      <w:bookmarkStart w:id="456" w:name="_Toc116196602"/>
      <w:bookmarkStart w:id="457" w:name="_Toc116196779"/>
      <w:bookmarkStart w:id="458" w:name="_Toc116197266"/>
      <w:bookmarkStart w:id="459" w:name="_Toc119143721"/>
      <w:bookmarkStart w:id="460" w:name="_Toc124754739"/>
      <w:bookmarkStart w:id="461" w:name="_Toc124858897"/>
      <w:bookmarkStart w:id="462" w:name="_Toc124859003"/>
      <w:bookmarkStart w:id="463" w:name="_Toc124908518"/>
      <w:bookmarkStart w:id="464" w:name="_Toc124908619"/>
      <w:bookmarkStart w:id="465" w:name="_Toc124909390"/>
      <w:bookmarkStart w:id="466" w:name="_Toc124909494"/>
      <w:bookmarkStart w:id="467" w:name="_Toc125885635"/>
      <w:bookmarkStart w:id="468" w:name="_Toc263408350"/>
      <w:r>
        <w:t>17.5.</w:t>
      </w:r>
      <w:r>
        <w:rPr>
          <w:rFonts w:eastAsia="Arial Unicode MS"/>
        </w:rPr>
        <w:t>2.4.5.2</w:t>
      </w:r>
      <w:r>
        <w:rPr>
          <w:rFonts w:eastAsia="Arial Unicode MS"/>
        </w:rPr>
        <w:tab/>
      </w:r>
      <w:r>
        <w:t>Zer</w:t>
      </w:r>
      <w:r>
        <w:t>oing Out of Charges and Payments Resulting from Formula Failure</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916DF8" w:rsidRDefault="003909C1">
      <w:pPr>
        <w:pStyle w:val="Bodypara"/>
      </w:pPr>
      <w:r>
        <w:t xml:space="preserve">Notwithstanding any other provision of this Part 17.5 of this Attachment B, the ISO shall set equal to zero any O/R-t-S Congestion Rent Shortfall Charge, U/D Congestion Rent Shortfall Charge, </w:t>
      </w:r>
      <w:r>
        <w:t xml:space="preserve">O/R-t-S Congestion Rent Surplus Payment, or U/D Congestion Rent Surplus Payment allocated to a Transmission Owner for an hour of the Day-Ahead Market if either: </w:t>
      </w:r>
    </w:p>
    <w:p w:rsidR="00916DF8" w:rsidRDefault="003909C1">
      <w:pPr>
        <w:pStyle w:val="romannumeralpara"/>
      </w:pPr>
      <w:r>
        <w:t>(i)</w:t>
      </w:r>
      <w:r>
        <w:tab/>
        <w:t>data necessary to compute such a charge or payment, as specified in the formulas set forth</w:t>
      </w:r>
      <w:r>
        <w:t xml:space="preserve"> in Section 17.5.2.4, is not known by the ISO and cannot be computed by the ISO (in interpreting this clause, equipment failure shall not preclude computation by the ISO unless necessary data is irretrievably lost); or</w:t>
      </w:r>
    </w:p>
    <w:p w:rsidR="00916DF8" w:rsidRDefault="003909C1">
      <w:pPr>
        <w:pStyle w:val="romannumeralpara"/>
      </w:pPr>
      <w:r>
        <w:t>(ii)</w:t>
      </w:r>
      <w:r>
        <w:tab/>
        <w:t xml:space="preserve">both (a) the charge or payment </w:t>
      </w:r>
      <w:r>
        <w:t>is clearly and materially inconsistent with cost causation principles; and (b) this inconsistency is the result of factors not taken into account in the formulas used to calculate the charge or payment;</w:t>
      </w:r>
    </w:p>
    <w:p w:rsidR="00916DF8" w:rsidRDefault="003909C1">
      <w:pPr>
        <w:pStyle w:val="Bodypara"/>
      </w:pPr>
      <w:r>
        <w:rPr>
          <w:i/>
          <w:iCs/>
        </w:rPr>
        <w:t>provided, however</w:t>
      </w:r>
      <w:r>
        <w:t>, if the amount of charges or paymen</w:t>
      </w:r>
      <w:r>
        <w:t>ts set equal to zero as a result of the unknown data or inaccurate formula is greater than twenty five thousand dollars ($25,000) in any given month or greater than one hundred thousand dollars ($100,000) over multiple months, the ISO will inform the Trans</w:t>
      </w:r>
      <w:r>
        <w:t>mission Owners of the identified problem and will work with the Transmission Owners to determine if an alternative allocation method is needed and whether it will apply to all months for which the intended formula does not work.  Alternate methods would be</w:t>
      </w:r>
      <w:r>
        <w:t xml:space="preserve"> subject to market participant review and subsequent filing with FERC, as appropriate.</w:t>
      </w:r>
    </w:p>
    <w:p w:rsidR="00916DF8" w:rsidRDefault="003909C1">
      <w:pPr>
        <w:pStyle w:val="Bodypara"/>
      </w:pPr>
      <w:r>
        <w:t>For the sake of clarity, the ISO shall not pursuant to this Section 17.5.2.4.5.2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us Payment, or U/D Congestion Rent Surplus Payment is set equal to zero pursuant to this Section 17.5.2.4.5.2 in the same hour of the Day-Ahead Market.</w:t>
      </w:r>
    </w:p>
    <w:p w:rsidR="00916DF8" w:rsidRDefault="003909C1">
      <w:pPr>
        <w:pStyle w:val="Heading4"/>
      </w:pPr>
      <w:bookmarkStart w:id="469" w:name="_Toc115547762"/>
      <w:bookmarkStart w:id="470" w:name="_Ref115556547"/>
      <w:bookmarkStart w:id="471" w:name="_Toc115574875"/>
      <w:bookmarkStart w:id="472" w:name="_Toc263408351"/>
      <w:r>
        <w:t>17.5.</w:t>
      </w:r>
      <w:bookmarkStart w:id="473" w:name="_Toc115774000"/>
      <w:bookmarkStart w:id="474" w:name="_Toc115840241"/>
      <w:bookmarkStart w:id="475" w:name="_Toc115840445"/>
      <w:bookmarkStart w:id="476" w:name="_Toc115840637"/>
      <w:bookmarkStart w:id="477" w:name="_Toc115845838"/>
      <w:bookmarkStart w:id="478" w:name="_Toc115846375"/>
      <w:bookmarkStart w:id="479" w:name="_Toc115846639"/>
      <w:bookmarkStart w:id="480" w:name="_Toc115847073"/>
      <w:bookmarkStart w:id="481" w:name="_Toc115847332"/>
      <w:bookmarkStart w:id="482" w:name="_Toc116195336"/>
      <w:bookmarkStart w:id="483" w:name="_Toc116196603"/>
      <w:bookmarkStart w:id="484" w:name="_Toc116196780"/>
      <w:bookmarkStart w:id="485" w:name="_Toc116197267"/>
      <w:bookmarkStart w:id="486" w:name="_Toc119143722"/>
      <w:bookmarkStart w:id="487" w:name="_Toc124754740"/>
      <w:bookmarkStart w:id="488" w:name="_Toc124858898"/>
      <w:bookmarkStart w:id="489" w:name="_Toc124859004"/>
      <w:bookmarkStart w:id="490" w:name="_Toc124908519"/>
      <w:bookmarkStart w:id="491" w:name="_Toc124908620"/>
      <w:bookmarkStart w:id="492" w:name="_Toc124909391"/>
      <w:bookmarkStart w:id="493" w:name="_Toc124909495"/>
      <w:bookmarkStart w:id="494" w:name="_Ref125514632"/>
      <w:bookmarkStart w:id="495" w:name="_Toc125885636"/>
      <w:r>
        <w:rPr>
          <w:rFonts w:eastAsia="Arial Unicode MS"/>
        </w:rPr>
        <w:t>2.4.6</w:t>
      </w:r>
      <w:r>
        <w:rPr>
          <w:rFonts w:eastAsia="Arial Unicode MS"/>
        </w:rPr>
        <w:tab/>
      </w:r>
      <w:r>
        <w:t>Information Requirements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916DF8" w:rsidRDefault="003909C1">
      <w:pPr>
        <w:pStyle w:val="Heading4"/>
      </w:pPr>
      <w:bookmarkStart w:id="496" w:name="_Toc115547763"/>
      <w:bookmarkStart w:id="497" w:name="_Toc115574876"/>
      <w:bookmarkStart w:id="498" w:name="_Toc115774001"/>
      <w:bookmarkStart w:id="499" w:name="_Toc115840242"/>
      <w:bookmarkStart w:id="500" w:name="_Toc115840446"/>
      <w:bookmarkStart w:id="501" w:name="_Toc115840638"/>
      <w:bookmarkStart w:id="502" w:name="_Toc115845839"/>
      <w:bookmarkStart w:id="503" w:name="_Toc115846376"/>
      <w:bookmarkStart w:id="504" w:name="_Toc115846640"/>
      <w:bookmarkStart w:id="505" w:name="_Toc115847074"/>
      <w:bookmarkStart w:id="506" w:name="_Toc115847333"/>
      <w:bookmarkStart w:id="507" w:name="_Toc116195337"/>
      <w:bookmarkStart w:id="508" w:name="_Toc116196604"/>
      <w:bookmarkStart w:id="509" w:name="_Toc116196781"/>
      <w:bookmarkStart w:id="510" w:name="_Toc116197268"/>
      <w:bookmarkStart w:id="511" w:name="_Toc119143723"/>
      <w:bookmarkStart w:id="512" w:name="_Toc124754741"/>
      <w:bookmarkStart w:id="513" w:name="_Toc124858899"/>
      <w:bookmarkStart w:id="514" w:name="_Toc124859005"/>
      <w:bookmarkStart w:id="515" w:name="_Toc124908520"/>
      <w:bookmarkStart w:id="516" w:name="_Toc124908621"/>
      <w:bookmarkStart w:id="517" w:name="_Toc124909392"/>
      <w:bookmarkStart w:id="518" w:name="_Toc124909496"/>
      <w:bookmarkStart w:id="519" w:name="_Ref124912850"/>
      <w:bookmarkStart w:id="520" w:name="_Toc125885637"/>
      <w:bookmarkStart w:id="521" w:name="_Toc263408352"/>
      <w:r>
        <w:t>17.5.2.4.6.1</w:t>
      </w:r>
      <w:r>
        <w:tab/>
        <w:t>Information Regarding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Facility Ownership</w:t>
      </w:r>
      <w:bookmarkEnd w:id="520"/>
      <w:bookmarkEnd w:id="521"/>
    </w:p>
    <w:p w:rsidR="00916DF8" w:rsidRDefault="003909C1">
      <w:pPr>
        <w:pStyle w:val="Bodypara"/>
      </w:pPr>
      <w:r>
        <w:t>A Transmission</w:t>
      </w:r>
      <w:r>
        <w:t xml:space="preserve"> Owner shall be responsible for informing the ISO of any change in the ownership of a transmission facility.  The ISO shall allocate responsibility for DAM Status Changes based on the transmission facility ownership information available to it at the time </w:t>
      </w:r>
      <w:r>
        <w:t>of initial settlement.</w:t>
      </w:r>
    </w:p>
    <w:p w:rsidR="00916DF8" w:rsidRDefault="003909C1">
      <w:pPr>
        <w:pStyle w:val="Heading4"/>
        <w:rPr>
          <w:rFonts w:eastAsia="Arial Unicode MS"/>
        </w:rPr>
      </w:pPr>
      <w:bookmarkStart w:id="522" w:name="_Toc115547764"/>
      <w:bookmarkStart w:id="523" w:name="_Toc115574877"/>
      <w:bookmarkStart w:id="524" w:name="_Toc115774002"/>
      <w:bookmarkStart w:id="525" w:name="_Toc115840243"/>
      <w:bookmarkStart w:id="526" w:name="_Toc115840447"/>
      <w:bookmarkStart w:id="527" w:name="_Toc115840639"/>
      <w:bookmarkStart w:id="528" w:name="_Toc115845840"/>
      <w:bookmarkStart w:id="529" w:name="_Toc115846377"/>
      <w:bookmarkStart w:id="530" w:name="_Toc115846641"/>
      <w:bookmarkStart w:id="531" w:name="_Toc115847075"/>
      <w:bookmarkStart w:id="532" w:name="_Toc115847334"/>
      <w:bookmarkStart w:id="533" w:name="_Toc116195338"/>
      <w:bookmarkStart w:id="534" w:name="_Toc116196605"/>
      <w:bookmarkStart w:id="535" w:name="_Toc116196782"/>
      <w:bookmarkStart w:id="536" w:name="_Toc116197269"/>
      <w:bookmarkStart w:id="537" w:name="_Toc119143724"/>
      <w:bookmarkStart w:id="538" w:name="_Toc124754742"/>
      <w:bookmarkStart w:id="539" w:name="_Toc124858900"/>
      <w:bookmarkStart w:id="540" w:name="_Toc124859006"/>
      <w:bookmarkStart w:id="541" w:name="_Toc124908521"/>
      <w:bookmarkStart w:id="542" w:name="_Toc124908622"/>
      <w:bookmarkStart w:id="543" w:name="_Toc124909393"/>
      <w:bookmarkStart w:id="544" w:name="_Toc124909497"/>
      <w:bookmarkStart w:id="545" w:name="_Toc125885638"/>
      <w:bookmarkStart w:id="546" w:name="_Toc263408353"/>
      <w:r>
        <w:t>17.5.</w:t>
      </w:r>
      <w:r>
        <w:rPr>
          <w:rFonts w:eastAsia="Arial Unicode MS"/>
        </w:rPr>
        <w:t>2.4.6.2</w:t>
      </w:r>
      <w:r>
        <w:rPr>
          <w:rFonts w:eastAsia="Arial Unicode MS"/>
        </w:rPr>
        <w:tab/>
      </w:r>
      <w:r>
        <w:t>Calculation of Settlements Without DCR Allocation Threshold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916DF8" w:rsidRDefault="003909C1">
      <w:pPr>
        <w:pStyle w:val="Bodypara"/>
      </w:pPr>
      <w:r>
        <w:t>One month each year, the ISO shall, for informational purposes only, calculate the DAM Constraint Residuals for each constraint for each hour without applying t</w:t>
      </w:r>
      <w:r>
        <w:t>he DCR Allocation Threshold and shall calculate all O/R-t-S Congestion Rent Shortfall Charges, O/R-t-S Congestion Rent Surplus Payments, U/D Congestion Rent Shortfall Charges, and U/D Congestion Rent Surplus Payments.  Before choosing the month for which i</w:t>
      </w:r>
      <w:r>
        <w:t xml:space="preserve">t will perform these calculations, the ISO will consult with the Transmission Owners.  </w:t>
      </w:r>
    </w:p>
    <w:p w:rsidR="00916DF8" w:rsidRDefault="003909C1">
      <w:pPr>
        <w:pStyle w:val="Heading4"/>
      </w:pPr>
      <w:bookmarkStart w:id="547" w:name="_Toc263408354"/>
      <w:r>
        <w:t>17.5.2.5</w:t>
      </w:r>
      <w:r>
        <w:tab/>
        <w:t>Allocation of Net Congestion Rents to Transmission Owners</w:t>
      </w:r>
      <w:bookmarkEnd w:id="547"/>
    </w:p>
    <w:p w:rsidR="00916DF8" w:rsidRDefault="003909C1"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w:t>
      </w:r>
      <w:r>
        <w:t>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to Formula B-15. </w:t>
      </w:r>
    </w:p>
    <w:p w:rsidR="00916DF8" w:rsidRDefault="003909C1" w:rsidP="0088534E">
      <w:pPr>
        <w:pStyle w:val="FormulaCaption"/>
        <w:spacing w:before="0" w:after="0"/>
        <w:rPr>
          <w:b w:val="0"/>
          <w:bCs w:val="0"/>
        </w:rPr>
      </w:pPr>
      <w:r>
        <w:t>Formula B-15</w:t>
      </w:r>
    </w:p>
    <w:p w:rsidR="0088534E" w:rsidRDefault="003909C1">
      <w:pPr>
        <w:keepNext/>
        <w:rPr>
          <w:rFonts w:eastAsia="Arial Unicode MS"/>
          <w:color w:val="000000"/>
        </w:rPr>
      </w:pPr>
    </w:p>
    <w:tbl>
      <w:tblPr>
        <w:tblStyle w:val="TableGrid"/>
        <w:tblW w:w="0" w:type="auto"/>
        <w:tblInd w:w="288" w:type="dxa"/>
        <w:tblBorders>
          <w:top w:val="nil"/>
          <w:left w:val="nil"/>
          <w:bottom w:val="nil"/>
          <w:right w:val="nil"/>
        </w:tblBorders>
        <w:tblLook w:val="04A0"/>
      </w:tblPr>
      <w:tblGrid>
        <w:gridCol w:w="2430"/>
        <w:gridCol w:w="6858"/>
      </w:tblGrid>
      <w:tr w:rsidR="00C476D8" w:rsidTr="00E5563B">
        <w:tc>
          <w:tcPr>
            <w:tcW w:w="2430" w:type="dxa"/>
            <w:vMerge w:val="restart"/>
            <w:tcBorders>
              <w:right w:val="nil"/>
            </w:tcBorders>
            <w:vAlign w:val="center"/>
          </w:tcPr>
          <w:p w:rsidR="0088534E" w:rsidRPr="0088534E" w:rsidRDefault="00C476D8" w:rsidP="0088534E">
            <w:pPr>
              <w:widowControl w:val="0"/>
              <w:jc w:val="center"/>
              <w:rPr>
                <w:snapToGrid w:val="0"/>
                <w:sz w:val="20"/>
                <w:szCs w:val="20"/>
              </w:rPr>
            </w:pPr>
            <m:oMathPara>
              <m:oMath>
                <m:sSub>
                  <m:sSubPr>
                    <m:ctrlPr>
                      <w:rPr>
                        <w:rFonts w:ascii="Cambria Math" w:hAnsi="Cambria Math"/>
                        <w:i/>
                        <w:snapToGrid w:val="0"/>
                        <w:sz w:val="20"/>
                        <w:szCs w:val="20"/>
                      </w:rPr>
                    </m:ctrlPr>
                  </m:sSubPr>
                  <m:e>
                    <m:r>
                      <w:rPr>
                        <w:rFonts w:ascii="Cambria Math" w:hAnsi="Cambria Math"/>
                        <w:snapToGrid w:val="0"/>
                        <w:sz w:val="20"/>
                        <w:szCs w:val="20"/>
                      </w:rPr>
                      <m:t>Allocation Factor</m:t>
                    </m:r>
                  </m:e>
                  <m:sub>
                    <m:r>
                      <w:rPr>
                        <w:rFonts w:ascii="Cambria Math" w:hAnsi="Cambria Math"/>
                        <w:snapToGrid w:val="0"/>
                        <w:sz w:val="20"/>
                        <w:szCs w:val="20"/>
                      </w:rPr>
                      <m:t>t, m</m:t>
                    </m:r>
                  </m:sub>
                </m:sSub>
                <m:r>
                  <w:rPr>
                    <w:rFonts w:ascii="Cambria Math" w:hAnsi="Cambria Math"/>
                    <w:snapToGrid w:val="0"/>
                    <w:sz w:val="20"/>
                    <w:szCs w:val="20"/>
                  </w:rPr>
                  <m:t>=</m:t>
                </m:r>
              </m:oMath>
            </m:oMathPara>
          </w:p>
        </w:tc>
        <w:tc>
          <w:tcPr>
            <w:tcW w:w="6858" w:type="dxa"/>
            <w:tcBorders>
              <w:top w:val="nil"/>
              <w:left w:val="nil"/>
              <w:bottom w:val="single" w:sz="4" w:space="0" w:color="auto"/>
            </w:tcBorders>
          </w:tcPr>
          <w:p w:rsidR="0088534E" w:rsidRPr="0088534E" w:rsidRDefault="00C476D8" w:rsidP="0088534E">
            <w:pPr>
              <w:widowControl w:val="0"/>
              <w:rPr>
                <w:snapToGrid w:val="0"/>
                <w:sz w:val="20"/>
                <w:szCs w:val="20"/>
              </w:rPr>
            </w:pPr>
            <m:oMathPara>
              <m:oMath>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 Residual</m:t>
                        </m:r>
                      </m:e>
                      <m:sub>
                        <m:r>
                          <w:rPr>
                            <w:rFonts w:ascii="Cambria Math" w:hAnsi="Cambria Math"/>
                            <w:snapToGrid w:val="0"/>
                            <w:sz w:val="20"/>
                            <w:szCs w:val="20"/>
                          </w:rPr>
                          <m:t>t, 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t, 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t, 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GFR&amp;GFTCC</m:t>
                        </m:r>
                      </m:e>
                      <m:sub>
                        <m:r>
                          <w:rPr>
                            <w:rFonts w:ascii="Cambria Math" w:hAnsi="Cambria Math"/>
                            <w:snapToGrid w:val="0"/>
                            <w:sz w:val="20"/>
                            <w:szCs w:val="20"/>
                          </w:rPr>
                          <m:t>t, m</m:t>
                        </m:r>
                      </m:sub>
                    </m:sSub>
                  </m:e>
                </m:d>
              </m:oMath>
            </m:oMathPara>
          </w:p>
        </w:tc>
      </w:tr>
      <w:tr w:rsidR="00C476D8" w:rsidTr="00E5563B">
        <w:tc>
          <w:tcPr>
            <w:tcW w:w="2430" w:type="dxa"/>
            <w:vMerge/>
            <w:tcBorders>
              <w:right w:val="nil"/>
            </w:tcBorders>
          </w:tcPr>
          <w:p w:rsidR="0088534E" w:rsidRPr="0088534E" w:rsidRDefault="003909C1"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C476D8" w:rsidP="0088534E">
            <w:pPr>
              <w:widowControl w:val="0"/>
              <w:rPr>
                <w:snapToGrid w:val="0"/>
                <w:sz w:val="20"/>
                <w:szCs w:val="22"/>
              </w:rPr>
            </w:pPr>
            <m:oMathPara>
              <m:oMath>
                <m:nary>
                  <m:naryPr>
                    <m:chr m:val="∑"/>
                    <m:limLoc m:val="undOvr"/>
                    <m:supHide m:val="on"/>
                    <m:ctrlPr>
                      <w:rPr>
                        <w:rFonts w:ascii="Cambria Math" w:hAnsi="Cambria Math"/>
                        <w:i/>
                        <w:snapToGrid w:val="0"/>
                        <w:sz w:val="20"/>
                        <w:szCs w:val="22"/>
                      </w:rPr>
                    </m:ctrlPr>
                  </m:naryPr>
                  <m:sub>
                    <m:r>
                      <w:rPr>
                        <w:rFonts w:ascii="Cambria Math" w:hAnsi="Cambria Math"/>
                        <w:snapToGrid w:val="0"/>
                        <w:sz w:val="20"/>
                        <w:szCs w:val="22"/>
                      </w:rPr>
                      <m:t>q∈T</m:t>
                    </m:r>
                  </m:sub>
                  <m:sup/>
                  <m:e>
                    <m:d>
                      <m:dPr>
                        <m:ctrlPr>
                          <w:rPr>
                            <w:rFonts w:ascii="Cambria Math" w:hAnsi="Cambria Math"/>
                            <w:i/>
                            <w:snapToGrid w:val="0"/>
                            <w:sz w:val="20"/>
                            <w:szCs w:val="22"/>
                          </w:rPr>
                        </m:ctrlPr>
                      </m:dPr>
                      <m:e>
                        <m:sSub>
                          <m:sSubPr>
                            <m:ctrlPr>
                              <w:rPr>
                                <w:rFonts w:ascii="Cambria Math" w:hAnsi="Cambria Math"/>
                                <w:i/>
                                <w:snapToGrid w:val="0"/>
                                <w:sz w:val="20"/>
                                <w:szCs w:val="22"/>
                              </w:rPr>
                            </m:ctrlPr>
                          </m:sSubPr>
                          <m:e>
                            <m:r>
                              <w:rPr>
                                <w:rFonts w:ascii="Cambria Math" w:hAnsi="Cambria Math"/>
                                <w:snapToGrid w:val="0"/>
                                <w:sz w:val="20"/>
                                <w:szCs w:val="22"/>
                              </w:rPr>
                              <m:t>Original Residual</m:t>
                            </m:r>
                          </m:e>
                          <m:sub>
                            <m:r>
                              <w:rPr>
                                <w:rFonts w:ascii="Cambria Math" w:hAnsi="Cambria Math"/>
                                <w:snapToGrid w:val="0"/>
                                <w:sz w:val="20"/>
                                <w:szCs w:val="22"/>
                              </w:rPr>
                              <m:t>q, 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ETCNL</m:t>
                            </m:r>
                          </m:e>
                          <m:sub>
                            <m:r>
                              <w:rPr>
                                <w:rFonts w:ascii="Cambria Math" w:hAnsi="Cambria Math"/>
                                <w:snapToGrid w:val="0"/>
                                <w:sz w:val="20"/>
                                <w:szCs w:val="22"/>
                              </w:rPr>
                              <m:t>q, 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NARs</m:t>
                            </m:r>
                          </m:e>
                          <m:sub>
                            <m:r>
                              <w:rPr>
                                <w:rFonts w:ascii="Cambria Math" w:hAnsi="Cambria Math"/>
                                <w:snapToGrid w:val="0"/>
                                <w:sz w:val="20"/>
                                <w:szCs w:val="22"/>
                              </w:rPr>
                              <m:t>q, 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GFR&amp;GFTCC</m:t>
                            </m:r>
                          </m:e>
                          <m:sub>
                            <m:r>
                              <w:rPr>
                                <w:rFonts w:ascii="Cambria Math" w:hAnsi="Cambria Math"/>
                                <w:snapToGrid w:val="0"/>
                                <w:sz w:val="20"/>
                                <w:szCs w:val="22"/>
                              </w:rPr>
                              <m:t>q, m</m:t>
                            </m:r>
                          </m:sub>
                        </m:sSub>
                      </m:e>
                    </m:d>
                  </m:e>
                </m:nary>
              </m:oMath>
            </m:oMathPara>
          </w:p>
        </w:tc>
      </w:tr>
    </w:tbl>
    <w:p w:rsidR="00916DF8" w:rsidRDefault="003909C1">
      <w:pPr>
        <w:keepNext/>
        <w:rPr>
          <w:sz w:val="28"/>
        </w:rPr>
      </w:pPr>
    </w:p>
    <w:p w:rsidR="00916DF8" w:rsidRDefault="003909C1" w:rsidP="0088534E">
      <w:pPr>
        <w:pStyle w:val="Bodypara"/>
        <w:ind w:firstLine="0"/>
      </w:pPr>
      <w:r>
        <w:t>Where,</w:t>
      </w:r>
    </w:p>
    <w:tbl>
      <w:tblPr>
        <w:tblW w:w="9990" w:type="dxa"/>
        <w:tblInd w:w="-72" w:type="dxa"/>
        <w:tblLayout w:type="fixed"/>
        <w:tblLook w:val="0000"/>
      </w:tblPr>
      <w:tblGrid>
        <w:gridCol w:w="2340"/>
        <w:gridCol w:w="270"/>
        <w:gridCol w:w="7380"/>
      </w:tblGrid>
      <w:tr w:rsidR="00C476D8" w:rsidTr="0088534E">
        <w:tc>
          <w:tcPr>
            <w:tcW w:w="2340" w:type="dxa"/>
          </w:tcPr>
          <w:p w:rsidR="00916DF8" w:rsidRPr="0088534E" w:rsidRDefault="003909C1">
            <w:pPr>
              <w:keepNext/>
              <w:rPr>
                <w:i/>
              </w:rPr>
            </w:pPr>
            <w:r w:rsidRPr="0088534E">
              <w:rPr>
                <w:i/>
              </w:rPr>
              <w:t>Allocation Factor</w:t>
            </w:r>
            <w:r w:rsidRPr="0088534E">
              <w:rPr>
                <w:i/>
                <w:vertAlign w:val="subscript"/>
              </w:rPr>
              <w:t>t,m</w:t>
            </w:r>
          </w:p>
        </w:tc>
        <w:tc>
          <w:tcPr>
            <w:tcW w:w="270" w:type="dxa"/>
          </w:tcPr>
          <w:p w:rsidR="00916DF8" w:rsidRDefault="003909C1">
            <w:r>
              <w:t>=</w:t>
            </w:r>
          </w:p>
        </w:tc>
        <w:tc>
          <w:tcPr>
            <w:tcW w:w="7380" w:type="dxa"/>
          </w:tcPr>
          <w:p w:rsidR="00916DF8" w:rsidRDefault="003909C1">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C476D8" w:rsidTr="0088534E">
        <w:tc>
          <w:tcPr>
            <w:tcW w:w="2340" w:type="dxa"/>
          </w:tcPr>
          <w:p w:rsidR="00916DF8" w:rsidRPr="0088534E" w:rsidRDefault="003909C1"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3909C1">
            <w:r>
              <w:t>=</w:t>
            </w:r>
          </w:p>
        </w:tc>
        <w:tc>
          <w:tcPr>
            <w:tcW w:w="7380" w:type="dxa"/>
          </w:tcPr>
          <w:p w:rsidR="00916DF8" w:rsidRDefault="003909C1">
            <w:pPr>
              <w:spacing w:after="120"/>
            </w:pPr>
            <w:r>
              <w:t xml:space="preserve">The one-month portion of the revenue imputed to the Direct Sale or the sale in any Centralized TCC Auction sub-auction of Original Residual TCCs that are valid in month </w:t>
            </w:r>
            <w:r>
              <w:rPr>
                <w:i/>
                <w:iCs/>
              </w:rPr>
              <w:t xml:space="preserve">m. </w:t>
            </w:r>
            <w:r>
              <w:t>The one-month portion of the revenue imputed to the Direct Sale of these Original Re</w:t>
            </w:r>
            <w:r>
              <w:t xml:space="preserve">sidual TCCs shall be the market clearing price of the TCCs in the Reconfiguration Auction held for month </w:t>
            </w:r>
            <w:r>
              <w:rPr>
                <w:i/>
                <w:iCs/>
              </w:rPr>
              <w:t xml:space="preserve">m  </w:t>
            </w:r>
            <w:r>
              <w:rPr>
                <w:rFonts w:eastAsia="Arial Unicode MS"/>
              </w:rPr>
              <w:t>(or one-sixth of the average market clearing price in the stage 1 rounds of the 6-month sub-auction of the last Centralized TCC Auction if no Reconf</w:t>
            </w:r>
            <w:r>
              <w:rPr>
                <w:rFonts w:eastAsia="Arial Unicode MS"/>
              </w:rPr>
              <w:t xml:space="preserve">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TCCs shall be calculated by dividing the revenue received from the sale of these Origin</w:t>
            </w:r>
            <w:r>
              <w:t>al Residual TCCs in the Centralized TCC Auction sub-auction by the duration in months of the TCCs sold in that Centralized TCC Auction sub-auction</w:t>
            </w:r>
          </w:p>
        </w:tc>
      </w:tr>
      <w:tr w:rsidR="00C476D8" w:rsidTr="0088534E">
        <w:tc>
          <w:tcPr>
            <w:tcW w:w="2340" w:type="dxa"/>
          </w:tcPr>
          <w:p w:rsidR="00916DF8" w:rsidRPr="0088534E" w:rsidRDefault="003909C1">
            <w:pPr>
              <w:rPr>
                <w:i/>
              </w:rPr>
            </w:pPr>
            <w:r w:rsidRPr="0088534E">
              <w:rPr>
                <w:i/>
              </w:rPr>
              <w:t>ETCNL</w:t>
            </w:r>
            <w:r w:rsidRPr="0088534E">
              <w:rPr>
                <w:i/>
                <w:vertAlign w:val="subscript"/>
              </w:rPr>
              <w:t>q,m</w:t>
            </w:r>
          </w:p>
        </w:tc>
        <w:tc>
          <w:tcPr>
            <w:tcW w:w="270" w:type="dxa"/>
          </w:tcPr>
          <w:p w:rsidR="00916DF8" w:rsidRDefault="003909C1">
            <w:r>
              <w:t>=</w:t>
            </w:r>
          </w:p>
        </w:tc>
        <w:tc>
          <w:tcPr>
            <w:tcW w:w="7380" w:type="dxa"/>
          </w:tcPr>
          <w:p w:rsidR="00916DF8" w:rsidRDefault="003909C1">
            <w:pPr>
              <w:spacing w:after="120"/>
              <w:rPr>
                <w:vertAlign w:val="superscript"/>
              </w:rPr>
            </w:pPr>
            <w:r>
              <w:t>The sum of the one-month portion of the revenues the Transmission Owner has received as payment f</w:t>
            </w:r>
            <w:r>
              <w:t xml:space="preserve">or the Direct Sale of ETCNL or for its ETCNL released in the Centralized TCC Auction sub-auctions held for TCCs valid for month </w:t>
            </w:r>
            <w:r>
              <w:rPr>
                <w:i/>
                <w:iCs/>
              </w:rPr>
              <w:t>m</w:t>
            </w:r>
            <w:r>
              <w:t>.  Each one-month portion of the revenue for ETCNL released in such Centralized TCC Auction shall be calculated by dividing the</w:t>
            </w:r>
            <w:r>
              <w:t xml:space="preserve"> revenue received in a Centralized TCC Auction sub-auction from the sale of the ETCNL by the duration in months of the TCCs corresponding to the ETCNL sold in the Centralized TCC Auction sub-auction.</w:t>
            </w:r>
            <w:r>
              <w:rPr>
                <w:rStyle w:val="FootnoteReference"/>
              </w:rPr>
              <w:footnoteReference w:id="2"/>
            </w:r>
            <w:r>
              <w:t xml:space="preserve">  </w:t>
            </w:r>
            <w:r>
              <w:rPr>
                <w:rFonts w:eastAsia="Arial Unicode MS"/>
              </w:rPr>
              <w:t>The one-month portion of the revenue imputed to the Di</w:t>
            </w:r>
            <w:r>
              <w:rPr>
                <w:rFonts w:eastAsia="Arial Unicode MS"/>
              </w:rPr>
              <w:t xml:space="preserve">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price of such TCCs in stage 1 rounds of the 6-month sub-auction of the last Centraliz</w:t>
            </w:r>
            <w:r>
              <w:rPr>
                <w:rFonts w:eastAsia="Arial Unicode MS"/>
              </w:rPr>
              <w:t xml:space="preserve">ed TCC Auction if no Reconfiguration Auction was held for month </w:t>
            </w:r>
            <w:r>
              <w:rPr>
                <w:rFonts w:eastAsia="Arial Unicode MS"/>
                <w:i/>
                <w:iCs/>
              </w:rPr>
              <w:t>m</w:t>
            </w:r>
            <w:r>
              <w:rPr>
                <w:rFonts w:eastAsia="Arial Unicode MS"/>
              </w:rPr>
              <w:t>)</w:t>
            </w:r>
          </w:p>
        </w:tc>
      </w:tr>
      <w:tr w:rsidR="00C476D8" w:rsidTr="0088534E">
        <w:tc>
          <w:tcPr>
            <w:tcW w:w="2340" w:type="dxa"/>
          </w:tcPr>
          <w:p w:rsidR="00916DF8" w:rsidRPr="0088534E" w:rsidRDefault="003909C1">
            <w:pPr>
              <w:rPr>
                <w:i/>
              </w:rPr>
            </w:pPr>
            <w:r w:rsidRPr="0088534E">
              <w:rPr>
                <w:i/>
              </w:rPr>
              <w:br w:type="page"/>
            </w:r>
            <w:bookmarkStart w:id="548" w:name="_DV_C29"/>
            <w:r w:rsidRPr="0088534E">
              <w:rPr>
                <w:rFonts w:eastAsia="Arial Unicode MS"/>
                <w:i/>
              </w:rPr>
              <w:t>NARs</w:t>
            </w:r>
            <w:r w:rsidRPr="0088534E">
              <w:rPr>
                <w:rFonts w:eastAsia="Arial Unicode MS"/>
                <w:i/>
                <w:vertAlign w:val="subscript"/>
              </w:rPr>
              <w:t>q</w:t>
            </w:r>
            <w:bookmarkEnd w:id="548"/>
            <w:r w:rsidRPr="0088534E">
              <w:rPr>
                <w:rFonts w:eastAsia="Arial Unicode MS"/>
                <w:i/>
                <w:color w:val="000000"/>
                <w:vertAlign w:val="subscript"/>
              </w:rPr>
              <w:t>,m</w:t>
            </w:r>
          </w:p>
        </w:tc>
        <w:tc>
          <w:tcPr>
            <w:tcW w:w="270" w:type="dxa"/>
          </w:tcPr>
          <w:p w:rsidR="00916DF8" w:rsidRDefault="003909C1">
            <w:r>
              <w:t>=</w:t>
            </w:r>
          </w:p>
        </w:tc>
        <w:tc>
          <w:tcPr>
            <w:tcW w:w="7380" w:type="dxa"/>
          </w:tcPr>
          <w:p w:rsidR="00916DF8" w:rsidRDefault="003909C1">
            <w:pPr>
              <w:spacing w:after="120"/>
            </w:pPr>
            <w:r>
              <w:t>The one-month portion of the Net Auction Revenues the Transmission Owner has received in Centralized TCC Auction sub-auctions and Reconfiguration Auctions held for TCCs valid fo</w:t>
            </w:r>
            <w:r>
              <w:t xml:space="preserve">r month </w:t>
            </w:r>
            <w:r>
              <w:rPr>
                <w:i/>
                <w:iCs/>
              </w:rPr>
              <w:t xml:space="preserve">m </w:t>
            </w:r>
            <w:r>
              <w:t xml:space="preserve">(which shall not include any revenue from the sale of Original Residual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w:t>
            </w:r>
            <w:r>
              <w:rPr>
                <w:rFonts w:eastAsia="Arial Unicode MS"/>
              </w:rPr>
              <w:t>nfiguration Auction from the allocation of Net Auction Revenue pursuant to Section 17.5.3.7, divided by the duration in months of the TCCs sold in the Centralized TCC Auction sub-auction or Reconfiguration Auction (or, to the extent TCC auction revenues we</w:t>
            </w:r>
            <w:r>
              <w:rPr>
                <w:rFonts w:eastAsia="Arial Unicode MS"/>
              </w:rPr>
              <w:t xml:space="preserve">re allocated pursuant to a different methodology, the amount of such revenues allocated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w:t>
            </w:r>
            <w:r>
              <w:rPr>
                <w:rFonts w:eastAsia="Arial Unicode MS"/>
              </w:rPr>
              <w:t xml:space="preserve">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all Centralized TCC Auctions held for TCCs valid in month </w:t>
            </w:r>
            <w:r>
              <w:rPr>
                <w:rFonts w:eastAsia="Arial Unicode MS"/>
                <w:i/>
                <w:iCs/>
              </w:rPr>
              <w:t>m</w:t>
            </w:r>
            <w:r>
              <w:rPr>
                <w:rFonts w:eastAsia="Arial Unicode MS"/>
              </w:rPr>
              <w:t>, divided in each case</w:t>
            </w:r>
            <w:bookmarkStart w:id="549" w:name="_DV_M33"/>
            <w:bookmarkEnd w:id="549"/>
            <w:r>
              <w:rPr>
                <w:rFonts w:eastAsia="Arial Unicode MS"/>
                <w:color w:val="000000"/>
              </w:rPr>
              <w:t xml:space="preserve"> </w:t>
            </w:r>
            <w:r>
              <w:t xml:space="preserve">by the duration in months of the TCCs sold in each Centralized TCC Auction sub-auction </w:t>
            </w:r>
            <w:r>
              <w:rPr>
                <w:rFonts w:eastAsia="Arial Unicode MS"/>
              </w:rPr>
              <w:t xml:space="preserve">(or,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 (iii) NetAuctionAll</w:t>
            </w:r>
            <w:r>
              <w:rPr>
                <w:rFonts w:eastAsia="Arial Unicode MS"/>
              </w:rPr>
              <w:t>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w:t>
            </w:r>
            <w:r>
              <w:rPr>
                <w:rFonts w:eastAsia="Arial Unicode MS"/>
              </w:rPr>
              <w:t xml:space="preserve">ty outages, returns-to-service, upratings, and deratings were settled pursuant to a different methodology, the net of such revenue impacts for Transmission Owner </w:t>
            </w:r>
            <w:r>
              <w:rPr>
                <w:rFonts w:eastAsia="Arial Unicode MS"/>
                <w:i/>
                <w:iCs/>
              </w:rPr>
              <w:t>q</w:t>
            </w:r>
            <w:r>
              <w:rPr>
                <w:rFonts w:eastAsia="Arial Unicode MS"/>
              </w:rPr>
              <w:t>)</w:t>
            </w:r>
          </w:p>
        </w:tc>
      </w:tr>
      <w:tr w:rsidR="00C476D8" w:rsidTr="0088534E">
        <w:tc>
          <w:tcPr>
            <w:tcW w:w="2340" w:type="dxa"/>
          </w:tcPr>
          <w:p w:rsidR="00916DF8" w:rsidRPr="0088534E" w:rsidRDefault="003909C1">
            <w:pPr>
              <w:rPr>
                <w:i/>
              </w:rPr>
            </w:pPr>
            <w:r w:rsidRPr="0088534E">
              <w:rPr>
                <w:i/>
              </w:rPr>
              <w:t>GFR&amp;GFTCC</w:t>
            </w:r>
            <w:r w:rsidRPr="0088534E">
              <w:rPr>
                <w:i/>
                <w:vertAlign w:val="subscript"/>
              </w:rPr>
              <w:t>q,m</w:t>
            </w:r>
          </w:p>
        </w:tc>
        <w:tc>
          <w:tcPr>
            <w:tcW w:w="270" w:type="dxa"/>
          </w:tcPr>
          <w:p w:rsidR="00916DF8" w:rsidRDefault="003909C1">
            <w:r>
              <w:t>=</w:t>
            </w:r>
          </w:p>
        </w:tc>
        <w:tc>
          <w:tcPr>
            <w:tcW w:w="7380" w:type="dxa"/>
          </w:tcPr>
          <w:p w:rsidR="00916DF8" w:rsidRDefault="003909C1">
            <w:pPr>
              <w:spacing w:after="120"/>
            </w:pPr>
            <w:r>
              <w:t>The one-month portion of the imputed value of Grandfathered TCCs and Grandf</w:t>
            </w:r>
            <w:r>
              <w:t xml:space="preserve">athered Rights, valued at their market clearing prices in the Reconfiguration Auction for month </w:t>
            </w:r>
            <w:r>
              <w:rPr>
                <w:i/>
                <w:iCs/>
              </w:rPr>
              <w:t xml:space="preserve">m </w:t>
            </w:r>
            <w:r>
              <w:rPr>
                <w:rFonts w:eastAsia="Arial Unicode MS"/>
              </w:rPr>
              <w:t>(or one-sixth of the average market clearing price in stage 1 rounds in the 6-month sub-auction of the last Centralized TCC Auction if no Reconfiguration Auct</w:t>
            </w:r>
            <w:r>
              <w:rPr>
                <w:rFonts w:eastAsia="Arial Unicode MS"/>
              </w:rPr>
              <w:t xml:space="preserve">ion was held for month </w:t>
            </w:r>
            <w:r>
              <w:rPr>
                <w:rFonts w:eastAsia="Arial Unicode MS"/>
                <w:i/>
                <w:iCs/>
              </w:rPr>
              <w:t>m</w:t>
            </w:r>
            <w:r>
              <w:rPr>
                <w:rFonts w:eastAsia="Arial Unicode MS"/>
              </w:rPr>
              <w:t>)</w:t>
            </w:r>
            <w:r>
              <w:t xml:space="preserve">, provided that the Transmission Owner is the selling party and the Existing Transmission Agreement related to each Grandfathered TCC and Grandfathered Right remains valid in month </w:t>
            </w:r>
            <w:r>
              <w:rPr>
                <w:i/>
                <w:iCs/>
              </w:rPr>
              <w:t>m</w:t>
            </w:r>
          </w:p>
        </w:tc>
      </w:tr>
      <w:tr w:rsidR="00C476D8" w:rsidTr="0088534E">
        <w:tc>
          <w:tcPr>
            <w:tcW w:w="2340" w:type="dxa"/>
          </w:tcPr>
          <w:p w:rsidR="00916DF8" w:rsidRPr="0088534E" w:rsidRDefault="003909C1">
            <w:pPr>
              <w:rPr>
                <w:i/>
                <w:lang w:val="fr-FR"/>
              </w:rPr>
            </w:pPr>
            <w:r w:rsidRPr="0088534E">
              <w:rPr>
                <w:i/>
                <w:lang w:val="fr-FR"/>
              </w:rPr>
              <w:t>t</w:t>
            </w:r>
          </w:p>
        </w:tc>
        <w:tc>
          <w:tcPr>
            <w:tcW w:w="270" w:type="dxa"/>
          </w:tcPr>
          <w:p w:rsidR="00916DF8" w:rsidRDefault="003909C1">
            <w:pPr>
              <w:rPr>
                <w:lang w:val="fr-FR"/>
              </w:rPr>
            </w:pPr>
            <w:r>
              <w:rPr>
                <w:lang w:val="fr-FR"/>
              </w:rPr>
              <w:t>=</w:t>
            </w:r>
          </w:p>
        </w:tc>
        <w:tc>
          <w:tcPr>
            <w:tcW w:w="7380" w:type="dxa"/>
          </w:tcPr>
          <w:p w:rsidR="00916DF8" w:rsidRDefault="003909C1">
            <w:pPr>
              <w:spacing w:after="120"/>
              <w:rPr>
                <w:lang w:val="fr-FR"/>
              </w:rPr>
            </w:pPr>
            <w:r>
              <w:rPr>
                <w:lang w:val="fr-FR"/>
              </w:rPr>
              <w:t xml:space="preserve">Transmission Owner </w:t>
            </w:r>
            <w:r>
              <w:rPr>
                <w:i/>
                <w:iCs/>
                <w:lang w:val="fr-FR"/>
              </w:rPr>
              <w:t>t</w:t>
            </w:r>
          </w:p>
        </w:tc>
      </w:tr>
      <w:tr w:rsidR="00C476D8" w:rsidTr="0088534E">
        <w:tc>
          <w:tcPr>
            <w:tcW w:w="2340" w:type="dxa"/>
          </w:tcPr>
          <w:p w:rsidR="00916DF8" w:rsidRPr="0088534E" w:rsidRDefault="003909C1">
            <w:pPr>
              <w:rPr>
                <w:i/>
              </w:rPr>
            </w:pPr>
            <w:r w:rsidRPr="0088534E">
              <w:rPr>
                <w:i/>
              </w:rPr>
              <w:t>T</w:t>
            </w:r>
          </w:p>
        </w:tc>
        <w:tc>
          <w:tcPr>
            <w:tcW w:w="270" w:type="dxa"/>
          </w:tcPr>
          <w:p w:rsidR="00916DF8" w:rsidRDefault="003909C1">
            <w:r>
              <w:t>=</w:t>
            </w:r>
          </w:p>
        </w:tc>
        <w:tc>
          <w:tcPr>
            <w:tcW w:w="7380" w:type="dxa"/>
          </w:tcPr>
          <w:p w:rsidR="00916DF8" w:rsidRDefault="003909C1">
            <w:pPr>
              <w:spacing w:after="240"/>
            </w:pPr>
            <w:r>
              <w:t xml:space="preserve">The set of all Transmission Owners </w:t>
            </w:r>
            <w:r>
              <w:rPr>
                <w:i/>
                <w:iCs/>
              </w:rPr>
              <w:t>q</w:t>
            </w:r>
            <w:r>
              <w:t>.</w:t>
            </w:r>
          </w:p>
        </w:tc>
      </w:tr>
    </w:tbl>
    <w:p w:rsidR="00916DF8" w:rsidRDefault="003909C1">
      <w:pPr>
        <w:pStyle w:val="Bodypara"/>
      </w:pPr>
    </w:p>
    <w:p w:rsidR="00916DF8" w:rsidRDefault="003909C1">
      <w:pPr>
        <w:pStyle w:val="Bodypara"/>
      </w:pPr>
      <w:r>
        <w:t>Each Transmission Owner’s share of Net Congestion Rents allocated pursuant to this Section 17.5.2.5 shall be incorporated into its TSC or NTAC, as the case may be.</w:t>
      </w:r>
    </w:p>
    <w:p w:rsidR="00916DF8" w:rsidRDefault="003909C1">
      <w:pPr>
        <w:pStyle w:val="Heading3"/>
      </w:pPr>
      <w:bookmarkStart w:id="550" w:name="_Toc263408355"/>
      <w:r>
        <w:t>17.5.3</w:t>
      </w:r>
      <w:r>
        <w:rPr>
          <w:rFonts w:ascii="Times New Roman Bold" w:hAnsi="Times New Roman Bold"/>
        </w:rPr>
        <w:t xml:space="preserve"> </w:t>
      </w:r>
      <w:r>
        <w:t>Settlement of TCC Auctions</w:t>
      </w:r>
      <w:bookmarkEnd w:id="550"/>
    </w:p>
    <w:p w:rsidR="00916DF8" w:rsidRDefault="003909C1">
      <w:pPr>
        <w:pStyle w:val="Heading4"/>
      </w:pPr>
      <w:bookmarkStart w:id="551" w:name="_Toc263408356"/>
      <w:r>
        <w:t>17.5.3.1</w:t>
      </w:r>
      <w:r>
        <w:tab/>
        <w:t xml:space="preserve">Overview </w:t>
      </w:r>
      <w:r>
        <w:t>of TCC Auction Settlements; Calculation of Net Auction Revenue</w:t>
      </w:r>
      <w:bookmarkEnd w:id="551"/>
    </w:p>
    <w:p w:rsidR="00916DF8" w:rsidRDefault="003909C1">
      <w:pPr>
        <w:pStyle w:val="Bodypara"/>
      </w:pPr>
      <w:r>
        <w:t>Overview</w:t>
      </w:r>
      <w:r>
        <w:rPr>
          <w:iCs/>
        </w:rPr>
        <w:t xml:space="preserve">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this Attachment B: (i) the market clearing price charged or paid to purchasers of TCCs; (ii) payments to Transmission Owners that r</w:t>
      </w:r>
      <w:r>
        <w:t>eleased ETCNL; (iii) payments or charges to Primary Holders selling TCCs; (iv) payments to Transmission Owners that released Original Residual TCCs; (v) O/R-t-S Auction Revenue Shortfall Charges and U/D Auction Revenue Shortfall Charges; and (vi) O/R-t-S A</w:t>
      </w:r>
      <w:r>
        <w:t xml:space="preserve">uction Revenue Surplus Payments and U/D Auction Revenue Surplus Payments. Each of these settlements is represented by a variable in Formula B-16. </w:t>
      </w:r>
    </w:p>
    <w:p w:rsidR="00916DF8" w:rsidRDefault="003909C1">
      <w:pPr>
        <w:pStyle w:val="Bodypara"/>
      </w:pPr>
      <w:r>
        <w:rPr>
          <w:i/>
          <w:iCs/>
        </w:rPr>
        <w:t xml:space="preserve">Calculation of Net Auction Revenues for a Round or a Reconfiguration Auction.  </w:t>
      </w:r>
      <w:r>
        <w:t>In each Centralized TCC Auctio</w:t>
      </w:r>
      <w:r>
        <w:t xml:space="preserve">n round </w:t>
      </w:r>
      <w:r>
        <w:rPr>
          <w:i/>
          <w:iCs/>
        </w:rPr>
        <w:t>n</w:t>
      </w:r>
      <w:r>
        <w:t xml:space="preserve"> and in each Reconfiguration Auction </w:t>
      </w:r>
      <w:r>
        <w:rPr>
          <w:i/>
          <w:iCs/>
        </w:rPr>
        <w:t>n</w:t>
      </w:r>
      <w:r>
        <w:t>, the ISO shall calculate Net Auction Revenue pursuant to Formula B-16.</w:t>
      </w:r>
    </w:p>
    <w:p w:rsidR="00916DF8" w:rsidRDefault="003909C1">
      <w:pPr>
        <w:pStyle w:val="FormulaCaption"/>
      </w:pPr>
      <w:r>
        <w:t>Formula B-16</w:t>
      </w:r>
    </w:p>
    <w:p w:rsidR="00454175" w:rsidRDefault="003909C1">
      <w:pPr>
        <w:keepNext/>
        <w:jc w:val="center"/>
        <w:rPr>
          <w:rFonts w:eastAsia="Arial Unicode MS"/>
          <w:color w:val="000000"/>
          <w:sz w:val="28"/>
          <w:szCs w:val="28"/>
        </w:rPr>
      </w:pPr>
    </w:p>
    <w:p w:rsidR="00454175" w:rsidRPr="00454175" w:rsidRDefault="00C476D8"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3909C1">
      <w:pPr>
        <w:keepNext/>
        <w:jc w:val="center"/>
        <w:rPr>
          <w:rFonts w:eastAsia="Arial Unicode MS"/>
          <w:color w:val="000000"/>
        </w:rPr>
      </w:pPr>
    </w:p>
    <w:p w:rsidR="00916DF8" w:rsidRDefault="003909C1"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C476D8" w:rsidTr="00454175">
        <w:trPr>
          <w:cantSplit/>
        </w:trPr>
        <w:tc>
          <w:tcPr>
            <w:tcW w:w="2520" w:type="dxa"/>
          </w:tcPr>
          <w:p w:rsidR="00916DF8" w:rsidRPr="00454175" w:rsidRDefault="003909C1">
            <w:pPr>
              <w:keepNext/>
              <w:spacing w:after="120"/>
              <w:rPr>
                <w:i/>
                <w:sz w:val="22"/>
              </w:rPr>
            </w:pPr>
            <w:r w:rsidRPr="00454175">
              <w:rPr>
                <w:i/>
                <w:sz w:val="22"/>
              </w:rPr>
              <w:t>n</w:t>
            </w:r>
          </w:p>
        </w:tc>
        <w:tc>
          <w:tcPr>
            <w:tcW w:w="270" w:type="dxa"/>
          </w:tcPr>
          <w:p w:rsidR="00916DF8" w:rsidRDefault="003909C1">
            <w:pPr>
              <w:spacing w:after="120"/>
            </w:pPr>
            <w:r>
              <w:t>=</w:t>
            </w:r>
          </w:p>
        </w:tc>
        <w:tc>
          <w:tcPr>
            <w:tcW w:w="6840" w:type="dxa"/>
          </w:tcPr>
          <w:p w:rsidR="00916DF8" w:rsidRDefault="003909C1">
            <w:pPr>
              <w:spacing w:after="120"/>
            </w:pPr>
            <w:r>
              <w:t>A round of a Centralized TCC Auction (which may be either a stage 1 round of a 6-month sub-auction, a stage 1 round of a sub-auction in which TCCs</w:t>
            </w:r>
            <w:r>
              <w:t xml:space="preserve"> with a duration greater than 6 months are sold, or a stage 2 round) or a Reconfiguration Auction, as the case may be</w:t>
            </w:r>
          </w:p>
        </w:tc>
      </w:tr>
      <w:tr w:rsidR="00C476D8" w:rsidTr="00454175">
        <w:trPr>
          <w:cantSplit/>
        </w:trPr>
        <w:tc>
          <w:tcPr>
            <w:tcW w:w="2520" w:type="dxa"/>
          </w:tcPr>
          <w:p w:rsidR="00916DF8" w:rsidRPr="00454175" w:rsidRDefault="003909C1">
            <w:pPr>
              <w:spacing w:after="120"/>
              <w:rPr>
                <w:i/>
                <w:sz w:val="22"/>
                <w:lang w:val="fr-FR"/>
              </w:rPr>
            </w:pPr>
            <w:r w:rsidRPr="00454175">
              <w:rPr>
                <w:i/>
                <w:sz w:val="22"/>
                <w:lang w:val="fr-FR"/>
              </w:rPr>
              <w:t>Net Auction Revenue</w:t>
            </w:r>
            <w:r w:rsidRPr="00454175">
              <w:rPr>
                <w:i/>
                <w:sz w:val="22"/>
                <w:vertAlign w:val="subscript"/>
                <w:lang w:val="fr-FR"/>
              </w:rPr>
              <w:t>n</w:t>
            </w:r>
          </w:p>
        </w:tc>
        <w:tc>
          <w:tcPr>
            <w:tcW w:w="270" w:type="dxa"/>
          </w:tcPr>
          <w:p w:rsidR="00916DF8" w:rsidRDefault="003909C1">
            <w:pPr>
              <w:spacing w:after="120"/>
            </w:pPr>
            <w:r>
              <w:t>=</w:t>
            </w:r>
          </w:p>
        </w:tc>
        <w:tc>
          <w:tcPr>
            <w:tcW w:w="6840" w:type="dxa"/>
          </w:tcPr>
          <w:p w:rsidR="00916DF8" w:rsidRDefault="003909C1">
            <w:pPr>
              <w:spacing w:after="120"/>
            </w:pPr>
            <w:r>
              <w:t xml:space="preserve">Net Auction Revenue for the round </w:t>
            </w:r>
            <w:r>
              <w:rPr>
                <w:i/>
                <w:iCs/>
              </w:rPr>
              <w:t>n</w:t>
            </w:r>
            <w:r>
              <w:t xml:space="preserve"> of a Centralized TCC Auction or for Reconfiguration Auction </w:t>
            </w:r>
            <w:r>
              <w:rPr>
                <w:i/>
                <w:iCs/>
              </w:rPr>
              <w:t>n</w:t>
            </w:r>
            <w:r>
              <w:t>, as the case may</w:t>
            </w:r>
            <w:r>
              <w:t xml:space="preserve"> be</w:t>
            </w:r>
          </w:p>
        </w:tc>
      </w:tr>
      <w:tr w:rsidR="00C476D8" w:rsidTr="00454175">
        <w:trPr>
          <w:cantSplit/>
        </w:trPr>
        <w:tc>
          <w:tcPr>
            <w:tcW w:w="2520" w:type="dxa"/>
          </w:tcPr>
          <w:p w:rsidR="00916DF8" w:rsidRPr="00454175" w:rsidRDefault="003909C1">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3909C1">
            <w:pPr>
              <w:spacing w:after="120"/>
            </w:pPr>
            <w:r>
              <w:t>=</w:t>
            </w:r>
          </w:p>
        </w:tc>
        <w:tc>
          <w:tcPr>
            <w:tcW w:w="6840" w:type="dxa"/>
          </w:tcPr>
          <w:p w:rsidR="00916DF8" w:rsidRDefault="003909C1">
            <w:pPr>
              <w:spacing w:after="120"/>
            </w:pPr>
            <w:r>
              <w:t xml:space="preserve">The gross amount of revenue that the ISO collects from the award of TCCs to purchasers in round </w:t>
            </w:r>
            <w:r>
              <w:rPr>
                <w:i/>
                <w:iCs/>
              </w:rPr>
              <w:t>n</w:t>
            </w:r>
            <w:r>
              <w:t xml:space="preserve"> or in Reconfiguration Auction </w:t>
            </w:r>
            <w:r>
              <w:rPr>
                <w:i/>
                <w:iCs/>
              </w:rPr>
              <w:t>n</w:t>
            </w:r>
            <w:r>
              <w:t xml:space="preserve">, which results from the charges and payments allocated pursuant to Section 17.5.3.2 </w:t>
            </w:r>
          </w:p>
        </w:tc>
      </w:tr>
      <w:tr w:rsidR="00C476D8" w:rsidTr="00454175">
        <w:trPr>
          <w:cantSplit/>
        </w:trPr>
        <w:tc>
          <w:tcPr>
            <w:tcW w:w="2520" w:type="dxa"/>
          </w:tcPr>
          <w:p w:rsidR="00916DF8" w:rsidRPr="00454175" w:rsidRDefault="003909C1">
            <w:pPr>
              <w:spacing w:after="120"/>
              <w:rPr>
                <w:i/>
                <w:sz w:val="22"/>
              </w:rPr>
            </w:pPr>
            <w:r w:rsidRPr="00454175">
              <w:rPr>
                <w:i/>
                <w:sz w:val="22"/>
              </w:rPr>
              <w:t>ETCNL</w:t>
            </w:r>
            <w:r w:rsidRPr="00454175">
              <w:rPr>
                <w:i/>
                <w:sz w:val="22"/>
                <w:vertAlign w:val="subscript"/>
              </w:rPr>
              <w:t>n</w:t>
            </w:r>
          </w:p>
        </w:tc>
        <w:tc>
          <w:tcPr>
            <w:tcW w:w="270" w:type="dxa"/>
          </w:tcPr>
          <w:p w:rsidR="00916DF8" w:rsidRDefault="003909C1">
            <w:pPr>
              <w:spacing w:after="120"/>
            </w:pPr>
            <w:r>
              <w:t>=</w:t>
            </w:r>
          </w:p>
        </w:tc>
        <w:tc>
          <w:tcPr>
            <w:tcW w:w="6840" w:type="dxa"/>
          </w:tcPr>
          <w:p w:rsidR="00916DF8" w:rsidRDefault="003909C1">
            <w:pPr>
              <w:spacing w:after="120"/>
            </w:pPr>
            <w:r>
              <w:t>Eit</w:t>
            </w:r>
            <w:r>
              <w:t xml:space="preserve">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w:t>
            </w:r>
            <w:r>
              <w:t xml:space="preserve">tion, 0; or (iii) for Reconfiguration Auction </w:t>
            </w:r>
            <w:r>
              <w:rPr>
                <w:i/>
                <w:iCs/>
              </w:rPr>
              <w:t>n</w:t>
            </w:r>
            <w:r>
              <w:t>, 0</w:t>
            </w:r>
          </w:p>
        </w:tc>
      </w:tr>
      <w:tr w:rsidR="00C476D8" w:rsidTr="00454175">
        <w:trPr>
          <w:cantSplit/>
        </w:trPr>
        <w:tc>
          <w:tcPr>
            <w:tcW w:w="2520" w:type="dxa"/>
          </w:tcPr>
          <w:p w:rsidR="00916DF8" w:rsidRPr="00454175" w:rsidRDefault="003909C1">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3909C1">
            <w:pPr>
              <w:spacing w:after="120"/>
            </w:pPr>
            <w:r>
              <w:t>=</w:t>
            </w:r>
          </w:p>
        </w:tc>
        <w:tc>
          <w:tcPr>
            <w:tcW w:w="6840" w:type="dxa"/>
          </w:tcPr>
          <w:p w:rsidR="00916DF8" w:rsidRDefault="003909C1">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C476D8" w:rsidTr="00454175">
        <w:trPr>
          <w:cantSplit/>
        </w:trPr>
        <w:tc>
          <w:tcPr>
            <w:tcW w:w="2520" w:type="dxa"/>
          </w:tcPr>
          <w:p w:rsidR="00916DF8" w:rsidRPr="00454175" w:rsidRDefault="003909C1">
            <w:pPr>
              <w:spacing w:after="120"/>
              <w:rPr>
                <w:i/>
                <w:sz w:val="22"/>
              </w:rPr>
            </w:pPr>
            <w:r w:rsidRPr="00454175">
              <w:rPr>
                <w:i/>
                <w:sz w:val="22"/>
              </w:rPr>
              <w:t xml:space="preserve">Original </w:t>
            </w:r>
            <w:r w:rsidRPr="00454175">
              <w:rPr>
                <w:i/>
                <w:sz w:val="22"/>
              </w:rPr>
              <w:t>Residual TCCs</w:t>
            </w:r>
            <w:r w:rsidRPr="00454175">
              <w:rPr>
                <w:i/>
                <w:sz w:val="22"/>
                <w:vertAlign w:val="subscript"/>
              </w:rPr>
              <w:t>n</w:t>
            </w:r>
          </w:p>
        </w:tc>
        <w:tc>
          <w:tcPr>
            <w:tcW w:w="270" w:type="dxa"/>
          </w:tcPr>
          <w:p w:rsidR="00916DF8" w:rsidRDefault="003909C1">
            <w:pPr>
              <w:spacing w:after="120"/>
            </w:pPr>
            <w:r>
              <w:t>=</w:t>
            </w:r>
          </w:p>
        </w:tc>
        <w:tc>
          <w:tcPr>
            <w:tcW w:w="6840" w:type="dxa"/>
          </w:tcPr>
          <w:p w:rsidR="00916DF8" w:rsidRDefault="003909C1">
            <w:pPr>
              <w:spacing w:after="120"/>
            </w:pPr>
            <w:r>
              <w:t xml:space="preserve">Either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w:t>
            </w:r>
            <w:r>
              <w:t xml:space="preserve">tage 2 round of a Centralized TCC Auction, 0; or (iii) for Reconfiguration Auction </w:t>
            </w:r>
            <w:r>
              <w:rPr>
                <w:i/>
                <w:iCs/>
              </w:rPr>
              <w:t>n</w:t>
            </w:r>
            <w:r>
              <w:t>, 0</w:t>
            </w:r>
          </w:p>
        </w:tc>
      </w:tr>
      <w:tr w:rsidR="00C476D8" w:rsidTr="00454175">
        <w:trPr>
          <w:cantSplit/>
        </w:trPr>
        <w:tc>
          <w:tcPr>
            <w:tcW w:w="2520" w:type="dxa"/>
          </w:tcPr>
          <w:p w:rsidR="00916DF8" w:rsidRPr="00454175" w:rsidRDefault="003909C1">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3909C1">
            <w:pPr>
              <w:spacing w:after="120"/>
            </w:pPr>
            <w:r>
              <w:t>=</w:t>
            </w:r>
          </w:p>
        </w:tc>
        <w:tc>
          <w:tcPr>
            <w:tcW w:w="6840" w:type="dxa"/>
          </w:tcPr>
          <w:p w:rsidR="00916DF8" w:rsidRDefault="003909C1">
            <w:pPr>
              <w:spacing w:after="120"/>
            </w:pPr>
            <w:r>
              <w:t xml:space="preserve">Either (i) if round </w:t>
            </w:r>
            <w:r>
              <w:rPr>
                <w:i/>
                <w:iCs/>
              </w:rPr>
              <w:t>n</w:t>
            </w:r>
            <w:r>
              <w:t xml:space="preserve"> is a stage 1 round of a Centralized TCC Auction in which 6-month TCCs are sold, the sum of the total O/R-t-S Auction Revenue Shortfall Charges, U/D Auction Revenue Shortfall Charges, O/R-t-S Auction Revenue Surplus Payments, and U/D Auction Revenue Surplu</w:t>
            </w:r>
            <w:r>
              <w:t>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xml:space="preserve">, reduced by any zeroing out of such charges or payments pursuant to Section </w:t>
            </w:r>
            <w:r>
              <w:t>17.5.</w:t>
            </w:r>
            <w:r>
              <w:rPr>
                <w:iCs/>
              </w:rPr>
              <w:t>3.6.5</w:t>
            </w:r>
            <w:r>
              <w:t xml:space="preserve">; (ii) if round </w:t>
            </w:r>
            <w:r>
              <w:rPr>
                <w:i/>
                <w:iCs/>
              </w:rPr>
              <w:t>n</w:t>
            </w:r>
            <w:r>
              <w:t xml:space="preserve"> is a stage 2 round of a Centralized TCC Aucti</w:t>
            </w:r>
            <w:r>
              <w:t xml:space="preserve">on or a stage 1 round of a Centralized TCC Auction sub-auction in which TCCs with durations longer than 6 months are sold, 0; or (iii) for Reconfiguration Auction </w:t>
            </w:r>
            <w:r>
              <w:rPr>
                <w:i/>
                <w:iCs/>
              </w:rPr>
              <w:t>n</w:t>
            </w:r>
            <w:r>
              <w:t>, the sum of the total O/R-t-S Auction Revenue Shortfall Charges (O/R-t-S ARSC</w:t>
            </w:r>
            <w:r>
              <w:rPr>
                <w:vertAlign w:val="subscript"/>
              </w:rPr>
              <w:t>a,t,n</w:t>
            </w:r>
            <w:r>
              <w:t>), U/D Au</w:t>
            </w:r>
            <w:r>
              <w:t>ction Revenue Shortfall Charges (U/D ARSC</w:t>
            </w:r>
            <w:r>
              <w:rPr>
                <w:vertAlign w:val="subscript"/>
              </w:rPr>
              <w:t>a,t,n</w:t>
            </w:r>
            <w:r>
              <w:t>), O/R-t-S Auction Revenue Surplus Payments (O/R-t-S ARSP</w:t>
            </w:r>
            <w:r>
              <w:rPr>
                <w:vertAlign w:val="subscript"/>
              </w:rPr>
              <w:t>a,t,n</w:t>
            </w:r>
            <w:r>
              <w:t>), and U/D Auction Revenue Surplus Payments (U/D ARSP</w:t>
            </w:r>
            <w:r>
              <w:rPr>
                <w:vertAlign w:val="subscript"/>
              </w:rPr>
              <w:t>a,t,n</w:t>
            </w:r>
            <w:r>
              <w:t xml:space="preserve">) for all Transmission Owners </w:t>
            </w:r>
            <w:r>
              <w:rPr>
                <w:i/>
                <w:iCs/>
              </w:rPr>
              <w:t>t</w:t>
            </w:r>
            <w:r>
              <w:rPr>
                <w:iCs/>
              </w:rPr>
              <w:t xml:space="preserve"> (which sum is calculated for each Transmission Owner as Ne</w:t>
            </w:r>
            <w:r>
              <w:rPr>
                <w:iCs/>
              </w:rPr>
              <w:t>tAuctionAllocations</w:t>
            </w:r>
            <w:r>
              <w:rPr>
                <w:iCs/>
                <w:vertAlign w:val="subscript"/>
              </w:rPr>
              <w:t>t,n</w:t>
            </w:r>
            <w:r>
              <w:rPr>
                <w:iCs/>
              </w:rPr>
              <w:t xml:space="preserve"> pursuant to Formula B-27), reduced by any zeroing out of such charges or payments pursuant to Section </w:t>
            </w:r>
            <w:r>
              <w:t>17.5.</w:t>
            </w:r>
            <w:r>
              <w:rPr>
                <w:iCs/>
              </w:rPr>
              <w:t>3.6.5</w:t>
            </w:r>
          </w:p>
        </w:tc>
      </w:tr>
    </w:tbl>
    <w:p w:rsidR="00916DF8" w:rsidRDefault="003909C1">
      <w:pPr>
        <w:pStyle w:val="Bodypara"/>
      </w:pPr>
      <w:r>
        <w:t>The ISO shall allocate the Net Auction Revenue calculated in each round of a Centralized TCC Auction sub-auction and in</w:t>
      </w:r>
      <w:r>
        <w:t xml:space="preserve"> each Reconfiguration Auction to Transmission Owners pursuant to Section 17.5.3.7.</w:t>
      </w:r>
    </w:p>
    <w:p w:rsidR="00916DF8" w:rsidRDefault="003909C1">
      <w:pPr>
        <w:pStyle w:val="Heading4"/>
      </w:pPr>
      <w:bookmarkStart w:id="552" w:name="_Toc263408357"/>
      <w:r>
        <w:t>17.5.3.2</w:t>
      </w:r>
      <w:r>
        <w:tab/>
        <w:t>Charges for TCCs Purchased</w:t>
      </w:r>
      <w:bookmarkEnd w:id="552"/>
    </w:p>
    <w:p w:rsidR="00916DF8" w:rsidRDefault="003909C1">
      <w:pPr>
        <w:pStyle w:val="Bodypara"/>
      </w:pPr>
      <w:r>
        <w:t xml:space="preserve">All bidders awarded TCCs in round </w:t>
      </w:r>
      <w:r>
        <w:rPr>
          <w:i/>
          <w:iCs/>
        </w:rPr>
        <w:t>n</w:t>
      </w:r>
      <w:r>
        <w:t xml:space="preserve"> of a Centralized TCC Auction or in Reconfiguration Auction </w:t>
      </w:r>
      <w:r>
        <w:rPr>
          <w:i/>
          <w:iCs/>
        </w:rPr>
        <w:t>n</w:t>
      </w:r>
      <w:r>
        <w:t xml:space="preserve"> shall pay or be paid the market clearing</w:t>
      </w:r>
      <w:r>
        <w:t xml:space="preserve"> price in round </w:t>
      </w:r>
      <w:r>
        <w:rPr>
          <w:i/>
          <w:iCs/>
        </w:rPr>
        <w:t>n</w:t>
      </w:r>
      <w:r>
        <w:t xml:space="preserve"> or in Reconfiguration Auction </w:t>
      </w:r>
      <w:r>
        <w:rPr>
          <w:i/>
          <w:iCs/>
        </w:rPr>
        <w:t>n</w:t>
      </w:r>
      <w:r>
        <w:t>, as determined pursuant to Part 17.4 of this Attachment B, for the TCCs purchased.</w:t>
      </w:r>
    </w:p>
    <w:p w:rsidR="00916DF8" w:rsidRDefault="003909C1">
      <w:pPr>
        <w:pStyle w:val="Heading4"/>
      </w:pPr>
      <w:bookmarkStart w:id="553" w:name="_Toc263408358"/>
      <w:r>
        <w:t>17.5.3.3</w:t>
      </w:r>
      <w:r>
        <w:tab/>
        <w:t>Payments for ETCNL</w:t>
      </w:r>
      <w:bookmarkEnd w:id="553"/>
    </w:p>
    <w:p w:rsidR="00916DF8" w:rsidRDefault="003909C1">
      <w:pPr>
        <w:pStyle w:val="Bodypara"/>
      </w:pPr>
      <w:r>
        <w:t>The ISO shall, in each round of a Centralized TCC Auction in which ETCNL is released, pay the m</w:t>
      </w:r>
      <w:r>
        <w:t>arket clearing price determined in that round for TCCs that correspond to that ETCNL to the Transmission Owner that releases the ETCNL.</w:t>
      </w:r>
    </w:p>
    <w:p w:rsidR="00916DF8" w:rsidRDefault="003909C1">
      <w:pPr>
        <w:pStyle w:val="Bodypara"/>
      </w:pPr>
      <w:r>
        <w:t>If a Transmission Owner releases ETCNL for sale in a round of the Centralized TCC Auction, and the market-clearing price</w:t>
      </w:r>
      <w:r>
        <w:t xml:space="preserve"> for those TCCs corresponding to that ETCNL in that round is negative, the value of those TCCs will not be included in the determination of payments to the Transmission Owners for ETCNL released into the Centralized TCC Auction.  If the market-clearing pri</w:t>
      </w:r>
      <w:r>
        <w:t>ce is negative for TCCs corresponding to any ETCNL, the value will be set to zero for purposes of allocating auction revenues from the sale of ETCNL.  If the total value of the auction revenues available for payment to the Transmission Owners for ETCNL rel</w:t>
      </w:r>
      <w:r>
        <w:t>eased into the Centralized TCC Auction is insufficient to fund payments at market-clearing prices, the total payments to each Transmission Owner for ETCNL will be reduced proportionately.  Notwithstanding any other provision in this Tariff, ETCNL that is o</w:t>
      </w:r>
      <w:r>
        <w:t>ffered in any Centralized TCC Auction and that is assigned a negative market clearing price or value shall not give rise to a payment obligation by the Transmission Owner that released it.</w:t>
      </w:r>
    </w:p>
    <w:p w:rsidR="00916DF8" w:rsidRDefault="003909C1">
      <w:pPr>
        <w:pStyle w:val="Heading4"/>
      </w:pPr>
      <w:bookmarkStart w:id="554" w:name="_Toc263408359"/>
      <w:r>
        <w:t>17.5.3.4</w:t>
      </w:r>
      <w:r>
        <w:tab/>
        <w:t xml:space="preserve">Payments to Primary Holders Selling TCCs; Distribution of </w:t>
      </w:r>
      <w:r>
        <w:t xml:space="preserve">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54"/>
    </w:p>
    <w:p w:rsidR="00916DF8" w:rsidRDefault="003909C1">
      <w:pPr>
        <w:pStyle w:val="Bodypara"/>
      </w:pPr>
      <w:r>
        <w:t xml:space="preserve">The ISO shall distribute to or collect from each Primary Holder of a TCC selling that TCC in the Centralized TCC Auction or Reconfiguration Auction the market </w:t>
      </w:r>
      <w:r>
        <w:t>clearing price of that TCC in the round of the Centralized TCC Auction or in the Reconfiguration Auction in which that TCC was sold.</w:t>
      </w:r>
    </w:p>
    <w:p w:rsidR="00916DF8" w:rsidRDefault="003909C1">
      <w:pPr>
        <w:pStyle w:val="Bodypara"/>
      </w:pPr>
      <w:r>
        <w:t>In the event a Grandfathered TCC</w:t>
      </w:r>
      <w:r>
        <w:rPr>
          <w:rStyle w:val="FootnoteReference"/>
        </w:rPr>
        <w:footnoteReference w:id="3"/>
      </w:r>
      <w:r>
        <w:t xml:space="preserve"> is terminated by mutual agreement of the parties to the grandfathered ETA prior to the co</w:t>
      </w:r>
      <w:r>
        <w:t>nditions specified within Attachments K and L of the ISO OATT, then the ISO shall distribute the revenues from the sale of the TCCs that correspond to the terminated Grandfathered TCCs in a round of a Centralized TCC Auction directly back to the Transmissi</w:t>
      </w:r>
      <w:r>
        <w:t>on Owner identified in Attachment L of the ISO OATT, until such time as the conditions specified within Attachments K and L of the ISO OATT are met.  Upon such time that the conditions within Attachments K and L of the ISO OATT are met, the ISO shall alloc</w:t>
      </w:r>
      <w:r>
        <w:t>ate the revenues from the sale of the TCCs that correspond to terminated Grandfathered TCCs in the Centralized TCC Auction as Net Auction Revenues in accordance with Section 17.5.3.7 of this Part 17.5 of this Attachment B.</w:t>
      </w:r>
    </w:p>
    <w:p w:rsidR="00916DF8" w:rsidRDefault="003909C1">
      <w:pPr>
        <w:pStyle w:val="Heading4"/>
        <w:rPr>
          <w:strike/>
        </w:rPr>
      </w:pPr>
      <w:bookmarkStart w:id="555" w:name="_Toc263408360"/>
      <w:r>
        <w:t>17.5.3.5</w:t>
      </w:r>
      <w:r>
        <w:tab/>
        <w:t>Allocation of Revenues f</w:t>
      </w:r>
      <w:r>
        <w:t xml:space="preserve">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55"/>
      <w:r>
        <w:rPr>
          <w:rFonts w:ascii="Times New Roman Bold" w:hAnsi="Times New Roman Bold"/>
        </w:rPr>
        <w:t xml:space="preserve"> </w:t>
      </w:r>
    </w:p>
    <w:p w:rsidR="00916DF8" w:rsidRDefault="003909C1">
      <w:pPr>
        <w:pStyle w:val="Bodypara"/>
      </w:pPr>
      <w:r>
        <w:t xml:space="preserve">Revenues associated with </w:t>
      </w:r>
      <w:r>
        <w:rPr>
          <w:rFonts w:ascii="Times" w:hAnsi="Times"/>
        </w:rPr>
        <w:t>Original</w:t>
      </w:r>
      <w:r>
        <w:t xml:space="preserve"> Residual TCCs shall be distributed directly to each Primary Owner for the duration of the LBMP Transition Period.  The Primary Owner of such an </w:t>
      </w:r>
      <w:r>
        <w:rPr>
          <w:rFonts w:ascii="Times" w:hAnsi="Times"/>
        </w:rPr>
        <w:t>Original</w:t>
      </w:r>
      <w:r>
        <w:t xml:space="preserve"> Residual TCC shall be paid th</w:t>
      </w:r>
      <w:r>
        <w:t xml:space="preserve">e market </w:t>
      </w:r>
      <w:r>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Residual TCC was sold.</w:t>
      </w:r>
    </w:p>
    <w:p w:rsidR="00916DF8" w:rsidRDefault="003909C1">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determination of payments to the Transmission Owners for </w:t>
      </w:r>
      <w:r>
        <w:rPr>
          <w:rFonts w:ascii="Times" w:hAnsi="Times"/>
        </w:rPr>
        <w:t>Original</w:t>
      </w:r>
      <w:r>
        <w:t xml:space="preserve"> </w:t>
      </w:r>
      <w:r>
        <w:t xml:space="preserve">Residual TCCs released into the Centralized TCC Auction.  If the market-clearing price is negative for any Original Residual TCC, the value will be set to zero for purposes of allocating auction revenues from the sale of Residual TCCs.  If the total value </w:t>
      </w:r>
      <w:r>
        <w:t>of the auction revenues available for payment to the Transmission Owners for Original Residual TCCs released into the Centralized TCC Auction is insufficient to fund payments at market-clearing prices, the total payments to each Transmission Owner for Orig</w:t>
      </w:r>
      <w:r>
        <w:t>inal Residual TCCs will be reduced proportionately.  This proportionate reduction would include a reduction in payments reflecting a proportionate reduction in the auction value of Original Residual TCCs sold in a Direct Sale.  Notwithstanding any other pr</w:t>
      </w:r>
      <w:r>
        <w:t>ovision in this Tariff, Original Residual TCCs that are offered in any Centralized TCC Auction and that are assigned a negative market clearing price or value shall not give rise to a payment obligation by the Transmission Owner that released them.</w:t>
      </w:r>
    </w:p>
    <w:p w:rsidR="00916DF8" w:rsidRDefault="003909C1">
      <w:pPr>
        <w:pStyle w:val="Heading4"/>
      </w:pPr>
      <w:bookmarkStart w:id="556" w:name="_Toc116196615"/>
      <w:bookmarkStart w:id="557" w:name="_Toc116196792"/>
      <w:bookmarkStart w:id="558" w:name="_Toc116197279"/>
      <w:bookmarkStart w:id="559" w:name="_Ref116199955"/>
      <w:bookmarkStart w:id="560" w:name="_Ref116200614"/>
      <w:bookmarkStart w:id="561" w:name="_Ref116202536"/>
      <w:bookmarkStart w:id="562" w:name="_Toc119143734"/>
      <w:bookmarkStart w:id="563" w:name="_Toc124754750"/>
      <w:bookmarkStart w:id="564" w:name="_Toc124858908"/>
      <w:bookmarkStart w:id="565" w:name="_Toc124859014"/>
      <w:bookmarkStart w:id="566" w:name="_Toc124908529"/>
      <w:bookmarkStart w:id="567" w:name="_Toc124908630"/>
      <w:bookmarkStart w:id="568" w:name="_Toc124909401"/>
      <w:bookmarkStart w:id="569" w:name="_Toc124909505"/>
      <w:bookmarkStart w:id="570" w:name="_Ref125298348"/>
      <w:bookmarkStart w:id="571" w:name="_Toc125885646"/>
      <w:bookmarkStart w:id="572" w:name="_Toc263408361"/>
      <w:r>
        <w:t>17.5.</w:t>
      </w:r>
      <w:r>
        <w:rPr>
          <w:rFonts w:eastAsia="Arial Unicode MS"/>
        </w:rPr>
        <w:t>3.</w:t>
      </w:r>
      <w:r>
        <w:rPr>
          <w:rFonts w:eastAsia="Arial Unicode MS"/>
        </w:rPr>
        <w:t>6</w:t>
      </w:r>
      <w:r>
        <w:rPr>
          <w:rFonts w:eastAsia="Arial Unicode MS"/>
        </w:rPr>
        <w:tab/>
      </w:r>
      <w:r>
        <w:t>Charges and Payments to Transmission Owners for Auction Outages and Returns-to-Service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916DF8" w:rsidRDefault="003909C1">
      <w:pPr>
        <w:pStyle w:val="Bodypara"/>
      </w:pPr>
      <w:r>
        <w:t>The ISO shall charge O/R-t-S Auction Revenue Shortfall Charges and U/D Auction Revenue Shortfall Charges and pay O/R-t-S Auction Revenue Surplus Payments and U/D Aucti</w:t>
      </w:r>
      <w:r>
        <w:t xml:space="preserve">on Revenue Surplus Payments pursuant to this Section 17.5.3.6.  To do so, the ISO shall calculate the Auction Constraint Residual for each constraint for each stage 1 round </w:t>
      </w:r>
      <w:r>
        <w:rPr>
          <w:i/>
          <w:iCs/>
        </w:rPr>
        <w:t>n</w:t>
      </w:r>
      <w:r>
        <w:t xml:space="preserve"> of a Centralized TCC Auction 6-month sub-auction or Reconfiguration Auction </w:t>
      </w:r>
      <w:r>
        <w:rPr>
          <w:i/>
          <w:iCs/>
        </w:rPr>
        <w:t>n</w:t>
      </w:r>
      <w:r>
        <w:t>, as</w:t>
      </w:r>
      <w:r>
        <w:t xml:space="preserve"> the case may be, pursuant to Section 17.5.3.6.1 and then determine the amount of each Auction Constraint Residual that is O/R-t-S Auction Constraint Residual and the amount that is U/D Auction Constraint Residual, as specified in Section 17.5.3.6.1.  The </w:t>
      </w:r>
      <w:r>
        <w:t>ISO shall use the O/R-t-S Auction Constraint Residual to allocate O/R-t-S Auction Revenue Shortfall Charges and O/R-t-S Auction Revenue Surplus Payments to Transmission Owners pursuant to Sections 17.5.3.6.2 and 17.5.3.6.4, each of which shall be subject t</w:t>
      </w:r>
      <w:r>
        <w:t>o being reduced to zero pursuant to Section 17.5.</w:t>
      </w:r>
      <w:r>
        <w:rPr>
          <w:iCs/>
        </w:rPr>
        <w:t>3.6.5</w:t>
      </w:r>
      <w:r>
        <w:t>.  The ISO shall use the U/D Auction Constraint Residual to allocate U/D Auction Revenue Shortfall Charges and U/D Auction Revenue Surplus Payments to Transmission Owners pursuant to Sections 17.5.3.6.3</w:t>
      </w:r>
      <w:r>
        <w:t xml:space="preserve"> and 17.5.3.6.4, each of which shall be subject to being reduced to zero pursuant to Section 17.5.</w:t>
      </w:r>
      <w:r>
        <w:rPr>
          <w:iCs/>
        </w:rPr>
        <w:t>3.6.5</w:t>
      </w:r>
      <w:r>
        <w:t xml:space="preserve">.  The ISO shall not calculate an Auction Constraint Residual, O/R-t-S Auction Constraint Residual, or U/D Auction Constraint Residual for any rounds of </w:t>
      </w:r>
      <w:r>
        <w:t>a Centralized TCC Auction except for stage 1 rounds of the 6-month sub-auction.</w:t>
      </w:r>
    </w:p>
    <w:p w:rsidR="00916DF8" w:rsidRDefault="003909C1">
      <w:pPr>
        <w:pStyle w:val="Heading4"/>
        <w:rPr>
          <w:rFonts w:eastAsia="Arial Unicode MS"/>
        </w:rPr>
      </w:pPr>
      <w:bookmarkStart w:id="573" w:name="_Toc263408362"/>
      <w:bookmarkStart w:id="574" w:name="_Toc115547775"/>
      <w:bookmarkStart w:id="575" w:name="_Ref115557526"/>
      <w:bookmarkStart w:id="576" w:name="_Toc115574888"/>
      <w:bookmarkStart w:id="577" w:name="_Toc115774013"/>
      <w:bookmarkStart w:id="578" w:name="_Toc115840254"/>
      <w:bookmarkStart w:id="579" w:name="_Toc115840458"/>
      <w:bookmarkStart w:id="580" w:name="_Toc115840650"/>
      <w:bookmarkStart w:id="581" w:name="_Toc115845851"/>
      <w:bookmarkStart w:id="582" w:name="_Toc115846388"/>
      <w:bookmarkStart w:id="583" w:name="_Toc115846652"/>
      <w:bookmarkStart w:id="584" w:name="_Toc115847086"/>
      <w:bookmarkStart w:id="585" w:name="_Toc115847345"/>
      <w:bookmarkStart w:id="586" w:name="_Ref115870981"/>
      <w:bookmarkStart w:id="587" w:name="_Toc116195349"/>
      <w:bookmarkStart w:id="588" w:name="_Toc116196616"/>
      <w:bookmarkStart w:id="589" w:name="_Toc116196793"/>
      <w:bookmarkStart w:id="590" w:name="_Toc116197280"/>
      <w:bookmarkStart w:id="591" w:name="_Toc119143735"/>
      <w:bookmarkStart w:id="592" w:name="_Toc124754751"/>
      <w:bookmarkStart w:id="593" w:name="_Toc124858909"/>
      <w:bookmarkStart w:id="594" w:name="_Toc124859015"/>
      <w:bookmarkStart w:id="595" w:name="_Toc124908530"/>
      <w:bookmarkStart w:id="596" w:name="_Toc124908631"/>
      <w:bookmarkStart w:id="597" w:name="_Toc124909402"/>
      <w:bookmarkStart w:id="598" w:name="_Toc124909506"/>
      <w:bookmarkStart w:id="599" w:name="_Toc125885647"/>
      <w:r>
        <w:t>17.5.</w:t>
      </w:r>
      <w:r>
        <w:rPr>
          <w:rFonts w:eastAsia="Arial Unicode MS"/>
        </w:rPr>
        <w:t>3.6.1</w:t>
      </w:r>
      <w:r>
        <w:rPr>
          <w:rFonts w:eastAsia="Arial Unicode MS"/>
        </w:rPr>
        <w:tab/>
      </w:r>
      <w:r>
        <w:t>Measuring the Impact of Auction Outages and Returns-to-Service:</w:t>
      </w:r>
      <w:bookmarkEnd w:id="573"/>
      <w:r>
        <w:t xml:space="preserve"> Calculation of Auction Constraint Residuals and Division of Auction Constraint Residuals into O/R-t-S</w:t>
      </w:r>
      <w:r>
        <w:t xml:space="preserve"> Auction Constraint Residuals and U/D Auction Constraint Residuals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916DF8" w:rsidRDefault="003909C1">
      <w:pPr>
        <w:pStyle w:val="Bodypara"/>
      </w:pPr>
      <w:r>
        <w:t xml:space="preserve">The ISO shall identify all constraints that are binding in the final Optimal Power Flow solution for stage 1 round </w:t>
      </w:r>
      <w:r>
        <w:rPr>
          <w:i/>
          <w:iCs/>
        </w:rPr>
        <w:t>n</w:t>
      </w:r>
      <w:r>
        <w:t xml:space="preserve"> of a 6-month sub-auction of a Centralized TCC Auction or for Reconfigura</w:t>
      </w:r>
      <w:r>
        <w:t xml:space="preserve">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Reconfiguration Auction </w:t>
      </w:r>
      <w:r>
        <w:rPr>
          <w:i/>
          <w:iCs/>
        </w:rPr>
        <w:t>n</w:t>
      </w:r>
      <w:r>
        <w:t>, the ISO shall calculate the Auction Constraint Residual, ACR</w:t>
      </w:r>
      <w:r>
        <w:rPr>
          <w:vertAlign w:val="subscript"/>
        </w:rPr>
        <w:t>a,n</w:t>
      </w:r>
      <w:r>
        <w:t>, using Formu</w:t>
      </w:r>
      <w:r>
        <w:t xml:space="preserve">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3909C1">
      <w:pPr>
        <w:pStyle w:val="FormulaCaption"/>
      </w:pPr>
      <w:bookmarkStart w:id="600" w:name="_Ref115557793"/>
      <w:r>
        <w:t>Formula B-17</w:t>
      </w:r>
    </w:p>
    <w:p w:rsidR="00916DF8" w:rsidRDefault="003909C1"/>
    <w:p w:rsidR="005E4407" w:rsidRPr="005E4407" w:rsidRDefault="00C476D8" w:rsidP="005E4407">
      <w:pPr>
        <w:keepNext/>
        <w:jc w:val="center"/>
      </w:pPr>
      <m:oMathPara>
        <m:oMath>
          <w:bookmarkEnd w:id="600"/>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3909C1">
      <w:pPr>
        <w:keepNext/>
        <w:jc w:val="center"/>
      </w:pPr>
    </w:p>
    <w:p w:rsidR="00916DF8" w:rsidRDefault="003909C1" w:rsidP="005E4407">
      <w:pPr>
        <w:pStyle w:val="Bodypara"/>
        <w:ind w:firstLine="0"/>
      </w:pPr>
      <w:r>
        <w:t>Where,</w:t>
      </w:r>
    </w:p>
    <w:p w:rsidR="00916DF8" w:rsidRDefault="003909C1">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3909C1">
      <w:pPr>
        <w:pStyle w:val="equationtext"/>
      </w:pPr>
      <w:r w:rsidRPr="005E4407">
        <w:rPr>
          <w:i/>
        </w:rPr>
        <w:t>ShadowPrice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w:t>
      </w:r>
      <w:r>
        <w:t xml:space="preserve">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6-month sub-auction or Reconfiguration Auction </w:t>
      </w:r>
      <w:r>
        <w:rPr>
          <w:i/>
        </w:rPr>
        <w:t>n</w:t>
      </w:r>
      <w:r>
        <w:rPr>
          <w:iCs/>
        </w:rPr>
        <w:t xml:space="preserve"> as described in </w:t>
      </w:r>
      <w:r>
        <w:rPr>
          <w:iCs/>
        </w:rPr>
        <w:t>Part </w:t>
      </w:r>
      <w:r>
        <w:t>17.4</w:t>
      </w:r>
      <w:r>
        <w:rPr>
          <w:iCs/>
        </w:rPr>
        <w:t xml:space="preserve"> of this Attachment B</w:t>
      </w:r>
      <w:r>
        <w:t>, then ShadowPrice</w:t>
      </w:r>
      <w:r>
        <w:rPr>
          <w:vertAlign w:val="subscript"/>
        </w:rPr>
        <w:t>a,n</w:t>
      </w:r>
      <w:r>
        <w:t xml:space="preserve"> is positive</w:t>
      </w:r>
    </w:p>
    <w:p w:rsidR="00916DF8" w:rsidRDefault="003909C1">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3909C1">
      <w:pPr>
        <w:pStyle w:val="alphapara"/>
      </w:pPr>
      <w:r>
        <w:t xml:space="preserve">(a) </w:t>
      </w:r>
      <w:r>
        <w:tab/>
        <w:t xml:space="preserve">For Reconfiguration Auction </w:t>
      </w:r>
      <w:r>
        <w:rPr>
          <w:i/>
        </w:rPr>
        <w:t>n</w:t>
      </w:r>
      <w:r>
        <w:rPr>
          <w:iCs/>
        </w:rPr>
        <w:t>,</w:t>
      </w:r>
      <w:r>
        <w:t xml:space="preserve"> (i) the Transmission System model </w:t>
      </w:r>
      <w:r>
        <w:t xml:space="preserve">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represented as fixed injections and withdrawals in that auctio</w:t>
      </w:r>
      <w:r>
        <w:t xml:space="preserve">n), and (iii) the phase angle regulator schedules determined in the Optimal Power Flow solution for Reconfiguration Auction </w:t>
      </w:r>
      <w:r>
        <w:rPr>
          <w:i/>
        </w:rPr>
        <w:t>n</w:t>
      </w:r>
      <w:r>
        <w:rPr>
          <w:iCs/>
        </w:rPr>
        <w:t>; or</w:t>
      </w:r>
    </w:p>
    <w:p w:rsidR="00916DF8" w:rsidRDefault="003909C1">
      <w:pPr>
        <w:pStyle w:val="alphapara"/>
      </w:pPr>
      <w:r>
        <w:t xml:space="preserve">(b) </w:t>
      </w:r>
      <w:r>
        <w:tab/>
        <w:t xml:space="preserve">For stage 1 round </w:t>
      </w:r>
      <w:r>
        <w:rPr>
          <w:i/>
        </w:rPr>
        <w:t>n</w:t>
      </w:r>
      <w:r>
        <w:t xml:space="preserve"> of a 6-month sub-auction, (i) the Transmission System model for stage 1 round </w:t>
      </w:r>
      <w:r>
        <w:rPr>
          <w:i/>
          <w:iCs/>
        </w:rPr>
        <w:t>n</w:t>
      </w:r>
      <w:r>
        <w:t>, (ii) the set of TCCs</w:t>
      </w:r>
      <w:r>
        <w:t xml:space="preserve"> (scaled appropriately) and Grandfathered Rights represented in the solution to stage 1 round </w:t>
      </w:r>
      <w:r>
        <w:rPr>
          <w:i/>
          <w:iCs/>
        </w:rPr>
        <w:t>n</w:t>
      </w:r>
      <w:r>
        <w:t xml:space="preserve"> (including those pre-existing TCCs and Grandfathered Rights represented as fixed injections and withdrawals in that auction), and (iii) the phase angle regulato</w:t>
      </w:r>
      <w:r>
        <w:t xml:space="preserve">r schedule produced in the Optimal Power Flow solution for stage 1 round </w:t>
      </w:r>
      <w:r>
        <w:rPr>
          <w:i/>
          <w:iCs/>
        </w:rPr>
        <w:t>n</w:t>
      </w:r>
    </w:p>
    <w:p w:rsidR="00916DF8" w:rsidRDefault="003909C1">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3909C1">
      <w:pPr>
        <w:pStyle w:val="alphapara"/>
      </w:pPr>
      <w:r>
        <w:t xml:space="preserve">(a)  </w:t>
      </w:r>
      <w:r>
        <w:tab/>
        <w:t xml:space="preserve">For Reconfiguration Auction </w:t>
      </w:r>
      <w:r>
        <w:rPr>
          <w:i/>
        </w:rPr>
        <w:t>n</w:t>
      </w:r>
      <w:r>
        <w:t>, a Power Flow using the following base case</w:t>
      </w:r>
      <w:r>
        <w:t xml:space="preserve"> data set: (i) the Transmission System model for Reconfiguration Auction </w:t>
      </w:r>
      <w:r>
        <w:rPr>
          <w:i/>
        </w:rPr>
        <w:t>n</w:t>
      </w:r>
      <w:r>
        <w:t>, (ii) the set of TCCs and Grandfathered Rights represented in the solution to the final round of the last 6-month sub-auction held for TCCs valid during the month corresponding to R</w:t>
      </w:r>
      <w:r>
        <w:t xml:space="preserve">econfiguration Auction </w:t>
      </w:r>
      <w:r>
        <w:rPr>
          <w:i/>
        </w:rPr>
        <w:t>n</w:t>
      </w:r>
      <w:r>
        <w:rPr>
          <w:iCs/>
        </w:rPr>
        <w:t xml:space="preserve"> </w:t>
      </w:r>
      <w:r>
        <w:t>(including those pre-existing TCCs (including those pre-existing TCCs and Grandfathered Rights represented as fixed injections and withdrawals in that auction), and (iii) the phase angle regulator schedules determined in the Optima</w:t>
      </w:r>
      <w:r>
        <w:t xml:space="preserve">l Power Flow solution for the final round of the last 6-month sub-auction held for TCCs valid during the month corresponding to Reconfiguration Auction </w:t>
      </w:r>
      <w:r>
        <w:rPr>
          <w:i/>
        </w:rPr>
        <w:t>n</w:t>
      </w:r>
      <w:r>
        <w:t>; or</w:t>
      </w:r>
    </w:p>
    <w:p w:rsidR="00916DF8" w:rsidRDefault="003909C1">
      <w:pPr>
        <w:pStyle w:val="alphapara"/>
      </w:pPr>
      <w:r>
        <w:t xml:space="preserve">(b)  </w:t>
      </w:r>
      <w:r>
        <w:tab/>
        <w:t xml:space="preserve">For stage 1 round </w:t>
      </w:r>
      <w:r>
        <w:rPr>
          <w:i/>
        </w:rPr>
        <w:t>n</w:t>
      </w:r>
      <w:r>
        <w:t xml:space="preserve"> of a 6-month sub-auction, a Power Flow run using the following base case</w:t>
      </w:r>
      <w:r>
        <w:t xml:space="preserve"> data set: (i) the Transmission System model for the actual 6-month sub-auction, and (ii) the base case set of TCCs (including those pre-existing TCCs and Grandfathered Rights represented as fixed injections and withdrawals in the simulated auction) and th</w:t>
      </w:r>
      <w:r>
        <w:t>e phase angle regulator schedule produced in a single simulated TCC auction administered for all stage 1 rounds of the 6-month sub-auction using the Transmission System model for the actual 6-month sub-auction modified so as to model as in-service all tran</w:t>
      </w:r>
      <w:r>
        <w:t>smission facilities that were out-of-service in the Transmission System model used for the sub-auction and model as fully rated all transmission facilities that were derated in the Transmission System model used for the sub-auction, the pre-existing TCCs a</w:t>
      </w:r>
      <w:r>
        <w:t xml:space="preserve">nd Grandfathered Rights represented as fixed injections and withdrawals in the sub-auction, and all bids to purchase and offers to sell made into all stage 1 rounds of the sub-auction that includes round </w:t>
      </w:r>
      <w:r>
        <w:rPr>
          <w:i/>
          <w:iCs/>
        </w:rPr>
        <w:t>n</w:t>
      </w:r>
    </w:p>
    <w:p w:rsidR="00916DF8" w:rsidRDefault="003909C1">
      <w:pPr>
        <w:pStyle w:val="equationtext"/>
      </w:pPr>
      <w:r w:rsidRPr="005E4407">
        <w:rPr>
          <w:i/>
        </w:rPr>
        <w:t>ISORatingChange</w:t>
      </w:r>
      <w:r w:rsidRPr="005E4407">
        <w:rPr>
          <w:i/>
          <w:vertAlign w:val="subscript"/>
        </w:rPr>
        <w:t>a,n</w:t>
      </w:r>
      <w:r>
        <w:tab/>
        <w:t>=</w:t>
      </w:r>
      <w:r>
        <w:tab/>
        <w:t>The total change in the ratin</w:t>
      </w:r>
      <w:r>
        <w:t>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Section 17.5.3.6.4.2, external events described in Section 17.5.3.6.4.3, or rea</w:t>
      </w:r>
      <w:r>
        <w:t xml:space="preserve">sons determined by the ISO to be unrelated to Qualifying Auction Outages or Qualifying Auction Returns-to-Service for stage 1 round </w:t>
      </w:r>
      <w:r>
        <w:rPr>
          <w:i/>
          <w:iCs/>
        </w:rPr>
        <w:t>n</w:t>
      </w:r>
      <w:r>
        <w:t xml:space="preserve"> or Reconfiguration Auction </w:t>
      </w:r>
      <w:r>
        <w:rPr>
          <w:i/>
          <w:iCs/>
        </w:rPr>
        <w:t>n</w:t>
      </w:r>
      <w:r>
        <w:t>, which shall be calculated as follows:</w:t>
      </w:r>
    </w:p>
    <w:p w:rsidR="00916DF8" w:rsidRDefault="003909C1">
      <w:pPr>
        <w:pStyle w:val="alphapara"/>
      </w:pPr>
      <w:r>
        <w:t xml:space="preserve">(a)  </w:t>
      </w:r>
      <w:r>
        <w:tab/>
        <w:t xml:space="preserve">For Reconfiguration Auction </w:t>
      </w:r>
      <w:r>
        <w:rPr>
          <w:i/>
        </w:rPr>
        <w:t>n</w:t>
      </w:r>
      <w:r>
        <w:t>, zero, except that</w:t>
      </w:r>
      <w:r>
        <w:t xml:space="preserve"> in the event of a change in the rating of constraint</w:t>
      </w:r>
      <w:r>
        <w:rPr>
          <w:i/>
        </w:rPr>
        <w:t xml:space="preserve"> a</w:t>
      </w:r>
      <w:r>
        <w:t xml:space="preserve"> resulting from ISO-Directed Auction Status Changes or Deemed ISO-Directed Auction Status Changes described in Section 17.5.3.6.4.2, external events described in Section 17.5.3.6.4.3, or reasons determ</w:t>
      </w:r>
      <w:r>
        <w:t xml:space="preserve">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of constrai</w:t>
      </w:r>
      <w:r>
        <w:t>nt</w:t>
      </w:r>
      <w:r>
        <w:rPr>
          <w:i/>
        </w:rPr>
        <w:t xml:space="preserve"> a</w:t>
      </w:r>
      <w:r>
        <w:t xml:space="preserve"> as shown in the Reconfiguration Auction Interface Uprate/Derate Table applicable for Reconfiguration Auction </w:t>
      </w:r>
      <w:r>
        <w:rPr>
          <w:i/>
        </w:rPr>
        <w:t>n</w:t>
      </w:r>
    </w:p>
    <w:p w:rsidR="00916DF8" w:rsidRDefault="003909C1">
      <w:pPr>
        <w:pStyle w:val="alphapara"/>
      </w:pPr>
      <w:r>
        <w:t xml:space="preserve">(b)  </w:t>
      </w:r>
      <w:r>
        <w:tab/>
        <w:t xml:space="preserve"> stage 1 round </w:t>
      </w:r>
      <w:r>
        <w:rPr>
          <w:i/>
        </w:rPr>
        <w:t>n</w:t>
      </w:r>
      <w:r>
        <w:t xml:space="preserve"> of a 6-month sub-auction, zero, except that in the event of a change in the rating of a transmission facility resulti</w:t>
      </w:r>
      <w:r>
        <w:t>ng from ISO-Directed Auction Status Changes or Deemed ISO-Directed Auction Status Changes described in Section 17.5.3.6.4.2, external events described in Section 17.5.3.6.4.3, or reasons determined by the ISO to be unrelated to Qualifying Auction Outages o</w:t>
      </w:r>
      <w:r>
        <w:t xml:space="preserve">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of constraint</w:t>
      </w:r>
      <w:r>
        <w:rPr>
          <w:i/>
        </w:rPr>
        <w:t xml:space="preserve"> a</w:t>
      </w:r>
      <w:r>
        <w:t xml:space="preserve"> as shown in the Centralized TCC Auction Interface Uprate/D</w:t>
      </w:r>
      <w:r>
        <w:t xml:space="preserve">erate Table applicable for stage 1 round </w:t>
      </w:r>
      <w:r>
        <w:rPr>
          <w:i/>
        </w:rPr>
        <w:t>n</w:t>
      </w:r>
    </w:p>
    <w:p w:rsidR="00916DF8" w:rsidRDefault="003909C1">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3909C1">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Auction </w:t>
      </w:r>
      <w:r>
        <w:rPr>
          <w:i/>
          <w:iCs/>
        </w:rPr>
        <w:t>n</w:t>
      </w:r>
      <w:r>
        <w:t>, 1.</w:t>
      </w:r>
    </w:p>
    <w:p w:rsidR="00916DF8" w:rsidRDefault="003909C1">
      <w:pPr>
        <w:pStyle w:val="FormulaCaption"/>
      </w:pPr>
      <w:bookmarkStart w:id="601" w:name="_Ref115557835"/>
      <w:r>
        <w:t>Formula B-18</w:t>
      </w:r>
    </w:p>
    <w:p w:rsidR="00247CD1" w:rsidRPr="00247CD1" w:rsidRDefault="00C476D8" w:rsidP="00247CD1">
      <w:pPr>
        <w:widowControl w:val="0"/>
        <w:rPr>
          <w:snapToGrid w:val="0"/>
          <w:sz w:val="22"/>
          <w:szCs w:val="20"/>
        </w:rPr>
      </w:pPr>
      <m:oMathPara>
        <m:oMath>
          <w:bookmarkEnd w:id="601"/>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m:t>
                          </m:r>
                          <m:r>
                            <w:rPr>
                              <w:rFonts w:ascii="Cambria Math" w:hAnsi="Cambria Math"/>
                              <w:snapToGrid w:val="0"/>
                              <w:sz w:val="22"/>
                              <w:szCs w:val="20"/>
                            </w:rPr>
                            <m:t>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3909C1">
      <w:pPr>
        <w:jc w:val="center"/>
      </w:pPr>
    </w:p>
    <w:p w:rsidR="00916DF8" w:rsidRDefault="003909C1">
      <w:pPr>
        <w:pStyle w:val="Bodypara"/>
      </w:pPr>
    </w:p>
    <w:p w:rsidR="00916DF8" w:rsidRDefault="003909C1">
      <w:pPr>
        <w:pStyle w:val="Bodypara"/>
      </w:pPr>
      <w:r>
        <w:t>Where,</w:t>
      </w:r>
    </w:p>
    <w:p w:rsidR="00916DF8" w:rsidRDefault="003909C1">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w:t>
      </w:r>
      <w:r>
        <w:t>her:</w:t>
      </w:r>
    </w:p>
    <w:p w:rsidR="00916DF8" w:rsidRDefault="003909C1">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produced in the Optimal Power Flow in the last round of that Centralized TCC Auction; or</w:t>
      </w:r>
    </w:p>
    <w:p w:rsidR="00916DF8" w:rsidRDefault="003909C1">
      <w:pPr>
        <w:pStyle w:val="alphapara"/>
      </w:pPr>
      <w:r>
        <w:t xml:space="preserve">(b) </w:t>
      </w:r>
      <w:r>
        <w:tab/>
        <w:t xml:space="preserve">For stage 1 round </w:t>
      </w:r>
      <w:r>
        <w:rPr>
          <w:i/>
        </w:rPr>
        <w:t>n</w:t>
      </w:r>
      <w:r>
        <w:t xml:space="preserve"> of a 6-month sub-auction, the rating limit for binding constraint</w:t>
      </w:r>
      <w:r>
        <w:rPr>
          <w:i/>
        </w:rPr>
        <w:t xml:space="preserve"> a</w:t>
      </w:r>
      <w:r>
        <w:t xml:space="preserve"> applied in the model used in the simulated aucti</w:t>
      </w:r>
      <w:r>
        <w:t>on run to determine FLOW</w:t>
      </w:r>
      <w:r>
        <w:rPr>
          <w:vertAlign w:val="subscript"/>
        </w:rPr>
        <w:t>a,n,basecase</w:t>
      </w:r>
      <w:r>
        <w:t xml:space="preserve"> in Formula B-17, minus the Energy flow, in MW-</w:t>
      </w:r>
      <w:r>
        <w:rPr>
          <w:i/>
          <w:iCs/>
        </w:rPr>
        <w:t>p</w:t>
      </w:r>
      <w:r>
        <w:t>, on binding constraint</w:t>
      </w:r>
      <w:r>
        <w:rPr>
          <w:i/>
        </w:rPr>
        <w:t xml:space="preserve"> a</w:t>
      </w:r>
      <w:r>
        <w:rPr>
          <w:i/>
          <w:iCs/>
        </w:rPr>
        <w:t xml:space="preserve"> </w:t>
      </w:r>
      <w:r>
        <w:t>produced in the Optimal Power Flow in the simulated auction run to determine FLOW</w:t>
      </w:r>
      <w:r>
        <w:rPr>
          <w:vertAlign w:val="subscript"/>
        </w:rPr>
        <w:t>a,n,basecase</w:t>
      </w:r>
      <w:r>
        <w:t xml:space="preserve"> in Formula B-17</w:t>
      </w:r>
    </w:p>
    <w:p w:rsidR="00916DF8" w:rsidRDefault="003909C1">
      <w:pPr>
        <w:pStyle w:val="alphapara"/>
        <w:ind w:left="0" w:firstLine="0"/>
      </w:pPr>
      <w:r>
        <w:t>and each of the other variables is a</w:t>
      </w:r>
      <w:r>
        <w:t xml:space="preserve">s set forth in Formula B-17; </w:t>
      </w:r>
      <w:r>
        <w:rPr>
          <w:i/>
          <w:iCs/>
        </w:rPr>
        <w:t>provided, however</w:t>
      </w:r>
      <w:r>
        <w:t>, if ACR</w:t>
      </w:r>
      <w:r>
        <w:rPr>
          <w:vertAlign w:val="subscript"/>
        </w:rPr>
        <w:t>a,n</w:t>
      </w:r>
      <w:r>
        <w:t xml:space="preserve"> is less than zero when calculated using this Formula B-18, ACR</w:t>
      </w:r>
      <w:r>
        <w:rPr>
          <w:vertAlign w:val="subscript"/>
        </w:rPr>
        <w:t>a,n</w:t>
      </w:r>
      <w:r>
        <w:t xml:space="preserve"> shall be set equal to zero.</w:t>
      </w:r>
    </w:p>
    <w:p w:rsidR="00916DF8" w:rsidRDefault="003909C1">
      <w:pPr>
        <w:pStyle w:val="Bodypara"/>
      </w:pPr>
      <w:r>
        <w:t>Following calculation of the Auction Constraint Residual for each constraint</w:t>
      </w:r>
      <w:r>
        <w:rPr>
          <w:i/>
        </w:rPr>
        <w:t xml:space="preserve"> a</w:t>
      </w:r>
      <w:r>
        <w:t xml:space="preserve"> for each stage 1 round </w:t>
      </w:r>
      <w:r>
        <w:rPr>
          <w:i/>
          <w:iCs/>
        </w:rPr>
        <w:t>n</w:t>
      </w:r>
      <w:r>
        <w:t xml:space="preserve"> </w:t>
      </w:r>
      <w:r>
        <w:t xml:space="preserve">of a 6-month sub-auction or each Reconfiguration Auction </w:t>
      </w:r>
      <w:r>
        <w:rPr>
          <w:i/>
          <w:iCs/>
        </w:rPr>
        <w:t>n</w:t>
      </w:r>
      <w:r>
        <w:t>, the ISO shall calculate the amount of each O/R-t-S Auction Constraint Residual and the amount of each U/D Auction Constraint Residual for each constraint</w:t>
      </w:r>
      <w:r>
        <w:rPr>
          <w:i/>
        </w:rPr>
        <w:t xml:space="preserve"> a</w:t>
      </w:r>
      <w:r>
        <w:t xml:space="preserve"> for each stage 1 round </w:t>
      </w:r>
      <w:r>
        <w:rPr>
          <w:i/>
          <w:iCs/>
        </w:rPr>
        <w:t>n</w:t>
      </w:r>
      <w:r>
        <w:t xml:space="preserve"> of a 6-month su</w:t>
      </w:r>
      <w:r>
        <w:t xml:space="preserve">b-auction or Reconfiguration Auction </w:t>
      </w:r>
      <w:r>
        <w:rPr>
          <w:i/>
          <w:iCs/>
        </w:rPr>
        <w:t>n</w:t>
      </w:r>
      <w:r>
        <w:t xml:space="preserve">, as the case may be.  The amount of each O/R-t-S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w:t>
      </w:r>
      <w:r>
        <w:t xml:space="preserve">ing Formula B-19.  The amount of each U/D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B-20. </w:t>
      </w:r>
    </w:p>
    <w:p w:rsidR="00916DF8" w:rsidRDefault="003909C1">
      <w:pPr>
        <w:pStyle w:val="FormulaCaption"/>
      </w:pPr>
      <w:bookmarkStart w:id="602" w:name="_Ref115558029"/>
      <w:r>
        <w:t>Formula B-19</w:t>
      </w:r>
    </w:p>
    <w:p w:rsidR="00D9762E" w:rsidRPr="00D9762E" w:rsidRDefault="00C476D8" w:rsidP="00D9762E">
      <w:pPr>
        <w:widowControl w:val="0"/>
        <w:rPr>
          <w:snapToGrid w:val="0"/>
          <w:sz w:val="18"/>
          <w:szCs w:val="20"/>
        </w:rPr>
      </w:pPr>
      <m:oMathPara>
        <m:oMath>
          <w:bookmarkEnd w:id="602"/>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3909C1">
      <w:pPr>
        <w:spacing w:after="120"/>
      </w:pPr>
    </w:p>
    <w:p w:rsidR="00916DF8" w:rsidRDefault="003909C1">
      <w:pPr>
        <w:spacing w:after="120"/>
      </w:pPr>
      <w:r>
        <w:t>Where:</w:t>
      </w:r>
    </w:p>
    <w:p w:rsidR="00916DF8" w:rsidRDefault="003909C1">
      <w:pPr>
        <w:tabs>
          <w:tab w:val="left" w:pos="1890"/>
        </w:tabs>
        <w:snapToGrid w:val="0"/>
        <w:spacing w:after="120"/>
        <w:ind w:left="1920" w:hanging="1812"/>
      </w:pPr>
      <w:r w:rsidRPr="00D9762E">
        <w:rPr>
          <w:i/>
        </w:rPr>
        <w:t>O/R-t-S ACR</w:t>
      </w:r>
      <w:r w:rsidRPr="00D9762E">
        <w:rPr>
          <w:i/>
          <w:vertAlign w:val="subscript"/>
        </w:rPr>
        <w:t>a,n</w:t>
      </w:r>
      <w:r>
        <w:t xml:space="preserve"> =</w:t>
      </w:r>
      <w:r>
        <w:tab/>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3909C1">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calculated as follows:</w:t>
      </w:r>
    </w:p>
    <w:p w:rsidR="00916DF8" w:rsidRDefault="003909C1">
      <w:pPr>
        <w:pStyle w:val="alphapara"/>
        <w:rPr>
          <w:i/>
          <w:iCs/>
        </w:rPr>
      </w:pPr>
      <w:r>
        <w:t>(a)</w:t>
      </w:r>
      <w:r>
        <w:tab/>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 minus (2) the rating limit, in MW-</w:t>
      </w:r>
      <w:r>
        <w:rPr>
          <w:i/>
          <w:iCs/>
        </w:rPr>
        <w:t>p</w:t>
      </w:r>
      <w:r>
        <w:t>, of constraint</w:t>
      </w:r>
      <w:r>
        <w:rPr>
          <w:i/>
        </w:rPr>
        <w:t xml:space="preserve"> a</w:t>
      </w:r>
      <w:r>
        <w:t xml:space="preserve"> applicable in Reconfiguration Auction </w:t>
      </w:r>
      <w:r>
        <w:rPr>
          <w:i/>
          <w:iCs/>
        </w:rPr>
        <w:t>n</w:t>
      </w:r>
    </w:p>
    <w:p w:rsidR="00916DF8" w:rsidRDefault="003909C1">
      <w:pPr>
        <w:pStyle w:val="alphapara"/>
      </w:pPr>
      <w:r>
        <w:t xml:space="preserve"> (b)</w:t>
      </w:r>
      <w:r>
        <w:tab/>
        <w:t xml:space="preserve">For stage 1 round </w:t>
      </w:r>
      <w:r>
        <w:rPr>
          <w:i/>
        </w:rPr>
        <w:t>n</w:t>
      </w:r>
      <w:r>
        <w:t xml:space="preserve"> of a 6-month sub-auc</w:t>
      </w:r>
      <w:r>
        <w:t>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transmission facilities are in-service and fully rated, minus (2) the rating limit, in MW-</w:t>
      </w:r>
      <w:r>
        <w:rPr>
          <w:i/>
          <w:iCs/>
        </w:rPr>
        <w:t>p</w:t>
      </w:r>
      <w:r>
        <w:t>, of constraint</w:t>
      </w:r>
      <w:r>
        <w:rPr>
          <w:i/>
        </w:rPr>
        <w:t xml:space="preserve"> a</w:t>
      </w:r>
      <w:r>
        <w:t xml:space="preserve"> in stage 1 round </w:t>
      </w:r>
      <w:r>
        <w:rPr>
          <w:i/>
          <w:iCs/>
        </w:rPr>
        <w:t>n</w:t>
      </w:r>
    </w:p>
    <w:p w:rsidR="00916DF8" w:rsidRDefault="003909C1">
      <w:pPr>
        <w:pStyle w:val="Bodypara"/>
        <w:ind w:firstLine="0"/>
      </w:pPr>
      <w:r>
        <w:t>and the variable</w:t>
      </w:r>
      <w:r>
        <w:t xml:space="preserve"> ACR</w:t>
      </w:r>
      <w:r>
        <w:rPr>
          <w:vertAlign w:val="subscript"/>
        </w:rPr>
        <w:t>a,n</w:t>
      </w:r>
      <w:r>
        <w:t xml:space="preserve"> is as calculated pursuant to Formula B-17 or, if required, pursuant to Formula B-18, and each of the other variables are as defined in Formula B-17. </w:t>
      </w:r>
    </w:p>
    <w:p w:rsidR="00916DF8" w:rsidRDefault="003909C1">
      <w:pPr>
        <w:pStyle w:val="FormulaCaption"/>
      </w:pPr>
      <w:bookmarkStart w:id="603" w:name="_Ref115557973"/>
      <w:r>
        <w:t>Formula B-20</w:t>
      </w:r>
    </w:p>
    <w:p w:rsidR="00CB3F31" w:rsidRPr="00CB3F31" w:rsidRDefault="00C476D8" w:rsidP="00CB3F31">
      <w:pPr>
        <w:widowControl w:val="0"/>
        <w:rPr>
          <w:snapToGrid w:val="0"/>
          <w:szCs w:val="20"/>
        </w:rPr>
      </w:pPr>
      <m:oMathPara>
        <m:oMath>
          <w:bookmarkEnd w:id="603"/>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m:t>
                          </m:r>
                          <m:r>
                            <w:rPr>
                              <w:rFonts w:ascii="Cambria Math" w:hAnsi="Cambria Math"/>
                              <w:snapToGrid w:val="0"/>
                              <w:sz w:val="20"/>
                              <w:szCs w:val="20"/>
                            </w:rPr>
                            <m:t>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3909C1">
      <w:pPr>
        <w:tabs>
          <w:tab w:val="left" w:pos="2340"/>
        </w:tabs>
      </w:pPr>
    </w:p>
    <w:p w:rsidR="00CB3F31" w:rsidRDefault="003909C1">
      <w:pPr>
        <w:tabs>
          <w:tab w:val="left" w:pos="2340"/>
        </w:tabs>
      </w:pPr>
    </w:p>
    <w:p w:rsidR="00916DF8" w:rsidRDefault="003909C1">
      <w:pPr>
        <w:pStyle w:val="Bodypara"/>
      </w:pPr>
      <w:r>
        <w:t>Where,</w:t>
      </w:r>
    </w:p>
    <w:p w:rsidR="00916DF8" w:rsidRDefault="003909C1">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w:t>
      </w:r>
      <w:r>
        <w:t xml:space="preserve">stage 1 round </w:t>
      </w:r>
      <w:r>
        <w:rPr>
          <w:i/>
        </w:rPr>
        <w:t>n</w:t>
      </w:r>
      <w:r>
        <w:t xml:space="preserve"> of a 6-month sub-auction or Reconfiguration Auction </w:t>
      </w:r>
      <w:r>
        <w:rPr>
          <w:i/>
          <w:iCs/>
        </w:rPr>
        <w:t>n</w:t>
      </w:r>
      <w:r>
        <w:t>, as the case may be, for constraint</w:t>
      </w:r>
      <w:r>
        <w:rPr>
          <w:i/>
        </w:rPr>
        <w:t xml:space="preserve"> a</w:t>
      </w:r>
    </w:p>
    <w:p w:rsidR="00916DF8" w:rsidRDefault="003909C1">
      <w:pPr>
        <w:pStyle w:val="Bodypara"/>
        <w:ind w:firstLine="0"/>
      </w:pPr>
      <w:r>
        <w:t>and the variable ACR</w:t>
      </w:r>
      <w:r>
        <w:rPr>
          <w:vertAlign w:val="subscript"/>
        </w:rPr>
        <w:t>a,n</w:t>
      </w:r>
      <w:r>
        <w:t xml:space="preserve"> is as calculated pursuant to Formula B-17 or, if required, pursuant to Formula B-18, the variable TotalRatingChange</w:t>
      </w:r>
      <w:r>
        <w:rPr>
          <w:vertAlign w:val="subscript"/>
        </w:rPr>
        <w:t>a,n</w:t>
      </w:r>
      <w:r>
        <w:t xml:space="preserve"> is de</w:t>
      </w:r>
      <w:r>
        <w:t>fined as set forth in Formula B-19 and each of the other variables are defined as set forth in Formula B-17.</w:t>
      </w:r>
    </w:p>
    <w:p w:rsidR="00916DF8" w:rsidRDefault="003909C1">
      <w:pPr>
        <w:pStyle w:val="Heading4"/>
        <w:rPr>
          <w:rFonts w:eastAsia="Arial Unicode MS"/>
        </w:rPr>
      </w:pPr>
      <w:bookmarkStart w:id="604" w:name="_Toc116196617"/>
      <w:bookmarkStart w:id="605" w:name="_Toc116196794"/>
      <w:bookmarkStart w:id="606" w:name="_Toc116197281"/>
      <w:bookmarkStart w:id="607" w:name="_Ref116199744"/>
      <w:bookmarkStart w:id="608" w:name="_Ref116200009"/>
      <w:bookmarkStart w:id="609" w:name="_Ref116200051"/>
      <w:bookmarkStart w:id="610" w:name="_Ref116200652"/>
      <w:bookmarkStart w:id="611" w:name="_Toc119143736"/>
      <w:bookmarkStart w:id="612" w:name="_Toc124754752"/>
      <w:bookmarkStart w:id="613" w:name="_Toc124858910"/>
      <w:bookmarkStart w:id="614" w:name="_Toc124859016"/>
      <w:bookmarkStart w:id="615" w:name="_Toc124908531"/>
      <w:bookmarkStart w:id="616" w:name="_Toc124908632"/>
      <w:bookmarkStart w:id="617" w:name="_Toc124909403"/>
      <w:bookmarkStart w:id="618" w:name="_Toc124909507"/>
      <w:bookmarkStart w:id="619" w:name="_Toc125885648"/>
      <w:bookmarkStart w:id="620" w:name="_Toc263408363"/>
      <w:r>
        <w:t>17.5.</w:t>
      </w:r>
      <w:r>
        <w:rPr>
          <w:rFonts w:eastAsia="Arial Unicode MS"/>
        </w:rPr>
        <w:t>3.6.2</w:t>
      </w:r>
      <w:r>
        <w:rPr>
          <w:rFonts w:eastAsia="Arial Unicode MS"/>
        </w:rPr>
        <w:tab/>
      </w:r>
      <w:r>
        <w:t>Charges and Payments for the Direct Impact of Auction Outages and Returns-to-Service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916DF8" w:rsidRDefault="003909C1">
      <w:pPr>
        <w:pStyle w:val="Bodypara"/>
      </w:pPr>
      <w:r>
        <w:t xml:space="preserve">The ISO shall use O/R-t-S Auction Constraint </w:t>
      </w:r>
      <w:r>
        <w:t>Residuals to allocate O/R-t-S Auction Revenue Shortfall Charges and O/R-t-S Auction Revenue Surplus Payments, as the case may be, among Transmission Owners pursuant to this Section 17.5.3.6.2.  Each O/R-t-S Auction Revenue Shortfall Charge and each O/R-t-S</w:t>
      </w:r>
      <w:r>
        <w:t xml:space="preserve"> Auction Revenue Surplus Payment allocated to a Transmission Owner pursuant to this Section 17.5.3.6.2 is subject to being set equal to zero pursuant to Section 17.5.</w:t>
      </w:r>
      <w:r>
        <w:rPr>
          <w:iCs/>
        </w:rPr>
        <w:t>3.6.5</w:t>
      </w:r>
      <w:r>
        <w:t xml:space="preserve">. </w:t>
      </w:r>
    </w:p>
    <w:p w:rsidR="00916DF8" w:rsidRDefault="003909C1">
      <w:pPr>
        <w:pStyle w:val="Heading4"/>
        <w:rPr>
          <w:rFonts w:eastAsia="Arial Unicode MS"/>
        </w:rPr>
      </w:pPr>
      <w:bookmarkStart w:id="621" w:name="_Toc115547777"/>
      <w:bookmarkStart w:id="622" w:name="_Ref115548350"/>
      <w:bookmarkStart w:id="623" w:name="_Toc115574890"/>
      <w:bookmarkStart w:id="624" w:name="_Toc115774015"/>
      <w:bookmarkStart w:id="625" w:name="_Toc115840256"/>
      <w:bookmarkStart w:id="626" w:name="_Toc115840460"/>
      <w:bookmarkStart w:id="627" w:name="_Toc115840652"/>
      <w:bookmarkStart w:id="628" w:name="_Toc115845853"/>
      <w:bookmarkStart w:id="629" w:name="_Toc115846390"/>
      <w:bookmarkStart w:id="630" w:name="_Toc115846654"/>
      <w:bookmarkStart w:id="631" w:name="_Toc115847088"/>
      <w:bookmarkStart w:id="632" w:name="_Toc115847347"/>
      <w:bookmarkStart w:id="633" w:name="_Toc116195351"/>
      <w:bookmarkStart w:id="634" w:name="_Toc116196618"/>
      <w:bookmarkStart w:id="635" w:name="_Toc116196795"/>
      <w:bookmarkStart w:id="636" w:name="_Toc116197282"/>
      <w:bookmarkStart w:id="637" w:name="_Toc119143737"/>
      <w:bookmarkStart w:id="638" w:name="_Toc124754753"/>
      <w:bookmarkStart w:id="639" w:name="_Toc124858911"/>
      <w:bookmarkStart w:id="640" w:name="_Toc124859017"/>
      <w:bookmarkStart w:id="641" w:name="_Toc124908532"/>
      <w:bookmarkStart w:id="642" w:name="_Toc124908633"/>
      <w:bookmarkStart w:id="643" w:name="_Toc124909404"/>
      <w:bookmarkStart w:id="644" w:name="_Toc124909508"/>
      <w:bookmarkStart w:id="645" w:name="_Ref124970184"/>
      <w:bookmarkStart w:id="646" w:name="_Toc125885649"/>
      <w:bookmarkStart w:id="647" w:name="_Toc263408364"/>
      <w:r>
        <w:t>17.5.</w:t>
      </w:r>
      <w:r>
        <w:rPr>
          <w:rFonts w:eastAsia="Arial Unicode MS"/>
        </w:rPr>
        <w:t>3.6.2.1</w:t>
      </w:r>
      <w:r>
        <w:rPr>
          <w:rFonts w:eastAsia="Arial Unicode MS"/>
        </w:rPr>
        <w:tab/>
      </w:r>
      <w:r>
        <w:t>Identification of Outages and Returns-to-Service Qualifying for Charg</w:t>
      </w:r>
      <w:r>
        <w:t>es and Payments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916DF8" w:rsidRDefault="003909C1">
      <w:pPr>
        <w:pStyle w:val="Bodypara"/>
      </w:pPr>
      <w:r>
        <w:t>For each stage 1 round of a 6-month sub-auction or Reconfiguration Auction, as the case may be, the ISO shall identify each Qualifying Auction Outage and each Qualifying Auction Return-to-Service, as described below.  The Transmission Owner</w:t>
      </w:r>
      <w:r>
        <w:t xml:space="preserve"> responsible, as determined pursuant to Section 17.5.3.6.4, for the Qualifying Auction Outage or Qualifying Auction Return-to-Service shall be allocated an O/R-t-S Auction Revenue Shortfall Charge or an O/R-t-S Auction Revenue Surplus Payment pursuant to S</w:t>
      </w:r>
      <w:r>
        <w:t>ections 17.5.3.6.2.2 or 17.5.3.6.2.3.</w:t>
      </w:r>
    </w:p>
    <w:p w:rsidR="00916DF8" w:rsidRDefault="003909C1">
      <w:pPr>
        <w:pStyle w:val="Heading4"/>
        <w:rPr>
          <w:i/>
        </w:rPr>
      </w:pPr>
      <w:bookmarkStart w:id="648" w:name="_Toc263408365"/>
      <w:r>
        <w:t>17.5.3.6.2.1.1</w:t>
      </w:r>
      <w:r>
        <w:tab/>
        <w:t>Definition of Qualifying Auction Outage</w:t>
      </w:r>
      <w:bookmarkEnd w:id="648"/>
    </w:p>
    <w:p w:rsidR="00916DF8" w:rsidRDefault="003909C1">
      <w:pPr>
        <w:pStyle w:val="Bodypara"/>
      </w:pPr>
      <w:r>
        <w:t>A “</w:t>
      </w:r>
      <w:r>
        <w:rPr>
          <w:b/>
          <w:bCs/>
        </w:rPr>
        <w:t>Qualifying Auction Outage</w:t>
      </w:r>
      <w:r>
        <w:t xml:space="preserve">” (which term shall apply to stage 1 round </w:t>
      </w:r>
      <w:r>
        <w:rPr>
          <w:i/>
        </w:rPr>
        <w:t>n</w:t>
      </w:r>
      <w:r>
        <w:t xml:space="preserve"> of a 6-month sub-auction or Reconfiguration Auction </w:t>
      </w:r>
      <w:r>
        <w:rPr>
          <w:i/>
          <w:iCs/>
        </w:rPr>
        <w:t>n</w:t>
      </w:r>
      <w:r>
        <w:t>, as the case may be) shall be define</w:t>
      </w:r>
      <w:r>
        <w:t>d to mean either an Actual Qualifying Auction Outage or a Deemed Qualifying Auction Outage.  For purposes of this Part 17.5 of this Attachment B, “</w:t>
      </w:r>
      <w:r>
        <w:rPr>
          <w:i/>
          <w:iCs/>
        </w:rPr>
        <w:t>o</w:t>
      </w:r>
      <w:r>
        <w:t>” shall refer to a single Qualifying Auction Outage.</w:t>
      </w:r>
    </w:p>
    <w:p w:rsidR="00916DF8" w:rsidRDefault="003909C1">
      <w:pPr>
        <w:pStyle w:val="Bodypara"/>
      </w:pPr>
      <w:r>
        <w:t>An “</w:t>
      </w:r>
      <w:r>
        <w:rPr>
          <w:b/>
          <w:bCs/>
        </w:rPr>
        <w:t>Actual Qualifying Auction Outage</w:t>
      </w:r>
      <w:r>
        <w:t>” (which term shall</w:t>
      </w:r>
      <w:r>
        <w:t xml:space="preserve"> apply to stage 1 round </w:t>
      </w:r>
      <w:r>
        <w:rPr>
          <w:i/>
        </w:rPr>
        <w:t>n</w:t>
      </w:r>
      <w:r>
        <w:t xml:space="preserve"> of a 6-month sub-auction or Reconfiguration Auction </w:t>
      </w:r>
      <w:r>
        <w:rPr>
          <w:i/>
          <w:iCs/>
        </w:rPr>
        <w:t>n</w:t>
      </w:r>
      <w:r>
        <w:t xml:space="preserve">, as the case may be) shall be defined as a transmission facility that, for a given stage 1 round </w:t>
      </w:r>
      <w:r>
        <w:rPr>
          <w:i/>
          <w:iCs/>
        </w:rPr>
        <w:t>n</w:t>
      </w:r>
      <w:r>
        <w:t xml:space="preserve"> of a 6-month sub-auction or Reconfiguration Auction </w:t>
      </w:r>
      <w:r>
        <w:rPr>
          <w:i/>
          <w:iCs/>
        </w:rPr>
        <w:t>n</w:t>
      </w:r>
      <w:r>
        <w:t xml:space="preserve">, as the case may be: </w:t>
      </w:r>
    </w:p>
    <w:p w:rsidR="00916DF8" w:rsidRDefault="003909C1">
      <w:pPr>
        <w:pStyle w:val="alphaheading"/>
        <w:rPr>
          <w:b w:val="0"/>
        </w:rPr>
      </w:pPr>
      <w:r>
        <w:rPr>
          <w:b w:val="0"/>
        </w:rPr>
        <w:t>(</w:t>
      </w: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3909C1">
      <w:pPr>
        <w:pStyle w:val="romannumeralpara"/>
      </w:pPr>
      <w:r>
        <w:t>(i)</w:t>
      </w:r>
      <w:r>
        <w:tab/>
        <w:t xml:space="preserve">the facility existed and was modeled as in-service in the last 6-month sub-auction held for TCCs valid during the month corresponding to Reconfiguration Auction </w:t>
      </w:r>
      <w:r>
        <w:rPr>
          <w:i/>
          <w:iCs/>
        </w:rPr>
        <w:t>n</w:t>
      </w:r>
      <w:r>
        <w:t>; and</w:t>
      </w:r>
    </w:p>
    <w:p w:rsidR="00916DF8" w:rsidRDefault="003909C1">
      <w:pPr>
        <w:pStyle w:val="romannumeralpara"/>
      </w:pPr>
      <w:r>
        <w:t>(ii)</w:t>
      </w:r>
      <w:r>
        <w:tab/>
        <w:t>th</w:t>
      </w:r>
      <w:r>
        <w:t xml:space="preserve">e facility exists but is not modeled as in-service for Reconfiguration Auction </w:t>
      </w:r>
      <w:r>
        <w:rPr>
          <w:i/>
          <w:iCs/>
        </w:rPr>
        <w:t>n</w:t>
      </w:r>
      <w:r>
        <w:t>;</w:t>
      </w:r>
    </w:p>
    <w:p w:rsidR="00916DF8" w:rsidRDefault="003909C1">
      <w:pPr>
        <w:pStyle w:val="romannumeralpara"/>
      </w:pPr>
      <w:r>
        <w:t>(iii)</w:t>
      </w:r>
      <w:r>
        <w:tab/>
        <w:t>the facility was not Normally Out-of-Service Equipment at the time of the last 6-month sub-auction held for TCCs valid during the month corresponding to Reconfiguration</w:t>
      </w:r>
      <w:r>
        <w:t xml:space="preserve"> Auction </w:t>
      </w:r>
      <w:r>
        <w:rPr>
          <w:i/>
          <w:iCs/>
        </w:rPr>
        <w:t>n</w:t>
      </w:r>
      <w:r>
        <w:t>; or</w:t>
      </w:r>
    </w:p>
    <w:p w:rsidR="00916DF8" w:rsidRDefault="003909C1">
      <w:pPr>
        <w:pStyle w:val="alphaheading"/>
        <w:rPr>
          <w:b w:val="0"/>
        </w:rPr>
      </w:pPr>
      <w:r>
        <w:rPr>
          <w:b w:val="0"/>
        </w:rPr>
        <w:t>(b)</w:t>
      </w:r>
      <w:r>
        <w:rPr>
          <w:b w:val="0"/>
        </w:rPr>
        <w:tab/>
        <w:t xml:space="preserve">For stage 1 round </w:t>
      </w:r>
      <w:r>
        <w:rPr>
          <w:b w:val="0"/>
          <w:i/>
          <w:iCs/>
        </w:rPr>
        <w:t>n</w:t>
      </w:r>
      <w:r>
        <w:rPr>
          <w:b w:val="0"/>
        </w:rPr>
        <w:t xml:space="preserve"> of a 6-month sub-auction, meets each of the following requirements:</w:t>
      </w:r>
    </w:p>
    <w:p w:rsidR="00916DF8" w:rsidRDefault="003909C1">
      <w:pPr>
        <w:pStyle w:val="romannumeralpara"/>
      </w:pPr>
      <w:r>
        <w:t>(i)</w:t>
      </w:r>
      <w:r>
        <w:tab/>
        <w:t xml:space="preserve">the facility exists but is not modeled as in-service for stage 1 round </w:t>
      </w:r>
      <w:r>
        <w:rPr>
          <w:i/>
          <w:iCs/>
        </w:rPr>
        <w:t>n</w:t>
      </w:r>
      <w:r>
        <w:t xml:space="preserve"> of a 6-month sub-auction; and</w:t>
      </w:r>
    </w:p>
    <w:p w:rsidR="00916DF8" w:rsidRDefault="003909C1">
      <w:pPr>
        <w:pStyle w:val="romannumeralpara"/>
      </w:pPr>
      <w:r>
        <w:t>(ii)</w:t>
      </w:r>
      <w:r>
        <w:tab/>
        <w:t>the facility was not Normally Out-of-</w:t>
      </w:r>
      <w:r>
        <w:t xml:space="preserve">Service Equipment at the time of stage 1 round </w:t>
      </w:r>
      <w:r>
        <w:rPr>
          <w:i/>
          <w:iCs/>
        </w:rPr>
        <w:t>n</w:t>
      </w:r>
      <w:r>
        <w:t xml:space="preserve"> of that 6-month sub-auction.</w:t>
      </w:r>
    </w:p>
    <w:p w:rsidR="00916DF8" w:rsidRDefault="003909C1">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w:t>
      </w:r>
      <w:r>
        <w:t xml:space="preserve"> meets each of the following requirements:</w:t>
      </w:r>
    </w:p>
    <w:p w:rsidR="00916DF8" w:rsidRDefault="003909C1">
      <w:pPr>
        <w:pStyle w:val="romannumeralpara"/>
      </w:pPr>
      <w:r>
        <w:t>(i)</w:t>
      </w:r>
      <w:r>
        <w:tab/>
        <w:t xml:space="preserve">the facility existed but was not modeled as in-service in the last 6-month sub-auction held for TCCs valid during the month corresponding to Reconfiguration Auction </w:t>
      </w:r>
      <w:r>
        <w:rPr>
          <w:i/>
          <w:iCs/>
        </w:rPr>
        <w:t>n</w:t>
      </w:r>
      <w:r>
        <w:t>;</w:t>
      </w:r>
    </w:p>
    <w:p w:rsidR="00916DF8" w:rsidRDefault="003909C1">
      <w:pPr>
        <w:pStyle w:val="romannumeralpara"/>
      </w:pPr>
      <w:r>
        <w:t>(ii)</w:t>
      </w:r>
      <w:r>
        <w:tab/>
        <w:t>the facility existed but was not mod</w:t>
      </w:r>
      <w:r>
        <w:t>eled as in-service in Reconfiguration Auction</w:t>
      </w:r>
      <w:r>
        <w:rPr>
          <w:iCs/>
        </w:rPr>
        <w:t xml:space="preserve"> </w:t>
      </w:r>
      <w:r>
        <w:rPr>
          <w:i/>
        </w:rPr>
        <w:t>n</w:t>
      </w:r>
      <w:r>
        <w:t xml:space="preserve"> as a result of an Auction Status 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Transmission Owner pursuant to 17.5.3.6.4) other than the Transmission Owner assigned responsibility for the facility not be</w:t>
      </w:r>
      <w:r>
        <w:t xml:space="preserve">ing modeled as in-service in the last 6-month sub-auction held for TCCs valid during the month corresponding to Reconfiguration Auction </w:t>
      </w:r>
      <w:r>
        <w:rPr>
          <w:i/>
          <w:iCs/>
        </w:rPr>
        <w:t>n</w:t>
      </w:r>
      <w:r>
        <w:t>;</w:t>
      </w:r>
    </w:p>
    <w:p w:rsidR="00916DF8" w:rsidRDefault="003909C1">
      <w:pPr>
        <w:pStyle w:val="romannumeralpara"/>
      </w:pPr>
      <w:r>
        <w:t>(iii)</w:t>
      </w:r>
      <w:r>
        <w:tab/>
        <w:t>the facility was not Normally Out-of-Service Equipment at the time of the last 6-month sub-auction held for TCC</w:t>
      </w:r>
      <w:r>
        <w:t xml:space="preserve">s valid during the month corresponding to Reconfiguration Auction </w:t>
      </w:r>
      <w:r>
        <w:rPr>
          <w:i/>
          <w:iCs/>
        </w:rPr>
        <w:t>n</w:t>
      </w:r>
      <w:r>
        <w:t>.</w:t>
      </w:r>
    </w:p>
    <w:p w:rsidR="00916DF8" w:rsidRDefault="003909C1">
      <w:pPr>
        <w:pStyle w:val="Heading4"/>
      </w:pPr>
      <w:bookmarkStart w:id="649" w:name="_Toc263408366"/>
      <w:r>
        <w:t>17.5.3.6.2.1.2</w:t>
      </w:r>
      <w:r>
        <w:tab/>
        <w:t>Definition of Qualifying Auction Return-to-Service</w:t>
      </w:r>
      <w:bookmarkEnd w:id="649"/>
    </w:p>
    <w:p w:rsidR="00916DF8" w:rsidRDefault="003909C1">
      <w:pPr>
        <w:pStyle w:val="Bodypara"/>
      </w:pPr>
      <w:r>
        <w:t>A “</w:t>
      </w:r>
      <w:r>
        <w:rPr>
          <w:b/>
          <w:bCs/>
        </w:rPr>
        <w:t>Qualifying Auction Return-to-Service</w:t>
      </w:r>
      <w:r>
        <w:t>” shall be defined to mean either an Actual Qualifying Auction Return-to-Service o</w:t>
      </w:r>
      <w:r>
        <w:t>r a Deemed Qualifying Auction Return-to-Service.  For purposes of this Part 17.5 of this Attachment B, “</w:t>
      </w:r>
      <w:r>
        <w:rPr>
          <w:i/>
          <w:iCs/>
        </w:rPr>
        <w:t>o</w:t>
      </w:r>
      <w:r>
        <w:t>” shall refer to a single Qualifying Auction Return-to-Service.</w:t>
      </w:r>
    </w:p>
    <w:p w:rsidR="00916DF8" w:rsidRDefault="003909C1">
      <w:pPr>
        <w:pStyle w:val="Bodypara"/>
      </w:pPr>
      <w:r>
        <w:t>An “</w:t>
      </w:r>
      <w:r>
        <w:rPr>
          <w:b/>
          <w:bCs/>
        </w:rPr>
        <w:t>Actual Qualifying Auction Return-to-Service</w:t>
      </w:r>
      <w:r>
        <w:t>” shall be defined as a transmission fac</w:t>
      </w:r>
      <w:r>
        <w:t xml:space="preserve">ility that, for a given Reconfiguration Auction </w:t>
      </w:r>
      <w:r>
        <w:rPr>
          <w:i/>
          <w:iCs/>
        </w:rPr>
        <w:t>n</w:t>
      </w:r>
      <w:r>
        <w:t xml:space="preserve">, meets each of the following requirements:  </w:t>
      </w:r>
    </w:p>
    <w:p w:rsidR="00916DF8" w:rsidRDefault="003909C1">
      <w:pPr>
        <w:pStyle w:val="romannumeralpara"/>
      </w:pPr>
      <w:r>
        <w:t>(i)</w:t>
      </w:r>
      <w:r>
        <w:tab/>
        <w:t>the facility existed but was not modeled as in-service for the last 6-month sub-auction held for TCCs valid during the month corresponding to Reconfiguration</w:t>
      </w:r>
      <w:r>
        <w:t xml:space="preserve"> Auction </w:t>
      </w:r>
      <w:r>
        <w:rPr>
          <w:i/>
          <w:iCs/>
        </w:rPr>
        <w:t>n</w:t>
      </w:r>
      <w:r>
        <w:t>; and</w:t>
      </w:r>
    </w:p>
    <w:p w:rsidR="00916DF8" w:rsidRDefault="003909C1">
      <w:pPr>
        <w:pStyle w:val="romannumeralpara"/>
      </w:pPr>
      <w:r>
        <w:t>(ii)</w:t>
      </w:r>
      <w:r>
        <w:tab/>
        <w:t xml:space="preserve">the facility exists and is modeled as in-service in Reconfiguration Auction </w:t>
      </w:r>
      <w:r>
        <w:rPr>
          <w:i/>
          <w:iCs/>
        </w:rPr>
        <w:t>n</w:t>
      </w:r>
      <w:r>
        <w:t>;</w:t>
      </w:r>
    </w:p>
    <w:p w:rsidR="00916DF8" w:rsidRDefault="003909C1">
      <w:pPr>
        <w:pStyle w:val="romannumeralpara"/>
      </w:pPr>
      <w:r>
        <w:t>(iii)</w:t>
      </w:r>
      <w:r>
        <w:tab/>
        <w:t xml:space="preserve">the facility was not Normally Out-of-Service Equipment at the time of the last 6-month sub-auction held for TCCs valid during the month corresponding </w:t>
      </w:r>
      <w:r>
        <w:t xml:space="preserve">to Reconfiguration Auction </w:t>
      </w:r>
      <w:r>
        <w:rPr>
          <w:i/>
          <w:iCs/>
        </w:rPr>
        <w:t>n</w:t>
      </w:r>
      <w:r>
        <w:t>.</w:t>
      </w:r>
    </w:p>
    <w:p w:rsidR="00916DF8" w:rsidRDefault="003909C1">
      <w:pPr>
        <w:pStyle w:val="Bodypara"/>
      </w:pPr>
      <w:r>
        <w:t xml:space="preserve">Notwithstanding any other provision of this Part 17.5 of this Attachment B, a transmission facility returning to service for stage 1 round </w:t>
      </w:r>
      <w:r>
        <w:rPr>
          <w:i/>
          <w:iCs/>
        </w:rPr>
        <w:t>n</w:t>
      </w:r>
      <w:r>
        <w:t xml:space="preserve"> of a 6-month sub-auction shall not be an Actual Qualifying Auction Return-to-Service </w:t>
      </w:r>
      <w:r>
        <w:t xml:space="preserve">for that stage 1 round </w:t>
      </w:r>
      <w:r>
        <w:rPr>
          <w:i/>
          <w:iCs/>
        </w:rPr>
        <w:t>n</w:t>
      </w:r>
      <w:r>
        <w:t xml:space="preserve"> and shall not qualify a Transmission Owner for an O/R-t-S Auction Revenue Shortfall Charge or O/R-t-S Auction Revenue Surplus Payment for that stage 1 round </w:t>
      </w:r>
      <w:r>
        <w:rPr>
          <w:i/>
          <w:iCs/>
        </w:rPr>
        <w:t>n</w:t>
      </w:r>
      <w:r>
        <w:t>.</w:t>
      </w:r>
    </w:p>
    <w:p w:rsidR="00916DF8" w:rsidRDefault="003909C1">
      <w:pPr>
        <w:pStyle w:val="Bodypara"/>
      </w:pPr>
      <w:r>
        <w:t>A “</w:t>
      </w:r>
      <w:r>
        <w:rPr>
          <w:b/>
          <w:bCs/>
        </w:rPr>
        <w:t>Deemed Qualifying Auction Return-to-Service</w:t>
      </w:r>
      <w:r>
        <w:t>” shall be defined as a t</w:t>
      </w:r>
      <w:r>
        <w:t xml:space="preserve">ransmission facility that, for a given Reconfiguration Auction </w:t>
      </w:r>
      <w:r>
        <w:rPr>
          <w:i/>
          <w:iCs/>
        </w:rPr>
        <w:t>n</w:t>
      </w:r>
      <w:r>
        <w:t xml:space="preserve">, meets each of the following requirements:  </w:t>
      </w:r>
    </w:p>
    <w:p w:rsidR="00916DF8" w:rsidRDefault="003909C1">
      <w:pPr>
        <w:pStyle w:val="romannumeralpara"/>
      </w:pPr>
      <w:r>
        <w:t>(i)</w:t>
      </w:r>
      <w:r>
        <w:tab/>
        <w:t>the facility existed but was not modeled as in-service in the last 6-month sub-auction held for TCCs valid during the month corresponding to R</w:t>
      </w:r>
      <w:r>
        <w:t>econfiguration Auction</w:t>
      </w:r>
      <w:r>
        <w:rPr>
          <w:iCs/>
        </w:rPr>
        <w:t xml:space="preserve"> </w:t>
      </w:r>
      <w:r>
        <w:rPr>
          <w:i/>
        </w:rPr>
        <w:t>n</w:t>
      </w:r>
      <w:r>
        <w:t>;</w:t>
      </w:r>
    </w:p>
    <w:p w:rsidR="00916DF8" w:rsidRDefault="003909C1">
      <w:pPr>
        <w:pStyle w:val="romannumeralpara"/>
      </w:pPr>
      <w:r>
        <w:t>(ii)</w:t>
      </w:r>
      <w:r>
        <w:tab/>
        <w:t>the facility existed but was not modeled as in-service in Reconfiguration Auction</w:t>
      </w:r>
      <w:r>
        <w:rPr>
          <w:iCs/>
        </w:rPr>
        <w:t xml:space="preserve"> </w:t>
      </w:r>
      <w:r>
        <w:rPr>
          <w:i/>
        </w:rPr>
        <w:t>n</w:t>
      </w:r>
      <w:r>
        <w:t xml:space="preserve"> as a result of an Auction Status Change or external event described in Section 17.5.3.6.4.3 in Reconfiguration Auction </w:t>
      </w:r>
      <w:r>
        <w:rPr>
          <w:i/>
          <w:iCs/>
        </w:rPr>
        <w:t>n</w:t>
      </w:r>
      <w:r>
        <w:t xml:space="preserve"> for which responsibi</w:t>
      </w:r>
      <w:r>
        <w:t xml:space="preserve">lity was assigned pursuant to Section 17.5.3.6.4 to a Transmission Owner (including the ISO when it is deemed a Transmission Owner pursuant to Section 17.5.3.6.4) other than the Transmission Owner assigned responsibility for the facility not being modeled </w:t>
      </w:r>
      <w:r>
        <w:t>as in-service for the last 6-month sub-auction held for TCCs valid during the month corresponding to Reconfiguration Auction</w:t>
      </w:r>
      <w:r>
        <w:rPr>
          <w:iCs/>
        </w:rPr>
        <w:t xml:space="preserve"> </w:t>
      </w:r>
      <w:r>
        <w:rPr>
          <w:i/>
        </w:rPr>
        <w:t>n</w:t>
      </w:r>
      <w:r>
        <w:t>; and</w:t>
      </w:r>
    </w:p>
    <w:p w:rsidR="00916DF8" w:rsidRDefault="003909C1">
      <w:pPr>
        <w:pStyle w:val="romannumeralpara"/>
      </w:pPr>
      <w:r>
        <w:t>(iii)</w:t>
      </w:r>
      <w:r>
        <w:tab/>
        <w:t>the facility was not Normally Out-of-Service Equipment at the time of the last 6-month sub-auction held for TCCs valid</w:t>
      </w:r>
      <w:r>
        <w:t xml:space="preserve"> during the month corresponding to Reconfiguration Auction </w:t>
      </w:r>
      <w:r>
        <w:rPr>
          <w:i/>
          <w:iCs/>
        </w:rPr>
        <w:t>n</w:t>
      </w:r>
      <w:r>
        <w:t>.</w:t>
      </w:r>
    </w:p>
    <w:p w:rsidR="00916DF8" w:rsidRDefault="003909C1">
      <w:pPr>
        <w:pStyle w:val="Heading4"/>
      </w:pPr>
      <w:bookmarkStart w:id="650" w:name="_Toc115547778"/>
      <w:bookmarkStart w:id="651" w:name="_Ref115558393"/>
      <w:bookmarkStart w:id="652" w:name="_Ref115558472"/>
      <w:bookmarkStart w:id="653" w:name="_Toc115574891"/>
      <w:bookmarkStart w:id="654" w:name="_Toc115774016"/>
      <w:bookmarkStart w:id="655" w:name="_Toc115840257"/>
      <w:bookmarkStart w:id="656" w:name="_Toc115840461"/>
      <w:bookmarkStart w:id="657" w:name="_Toc115840653"/>
      <w:bookmarkStart w:id="658" w:name="_Toc115845854"/>
      <w:bookmarkStart w:id="659" w:name="_Toc115846391"/>
      <w:bookmarkStart w:id="660" w:name="_Toc115846655"/>
      <w:bookmarkStart w:id="661" w:name="_Toc115847089"/>
      <w:bookmarkStart w:id="662" w:name="_Toc115847348"/>
      <w:bookmarkStart w:id="663" w:name="_Ref116098700"/>
      <w:bookmarkStart w:id="664" w:name="_Toc116195352"/>
      <w:bookmarkStart w:id="665" w:name="_Toc116196619"/>
      <w:bookmarkStart w:id="666" w:name="_Toc116196796"/>
      <w:bookmarkStart w:id="667" w:name="_Toc116197283"/>
      <w:bookmarkStart w:id="668" w:name="_Toc119143738"/>
      <w:bookmarkStart w:id="669" w:name="_Toc124754754"/>
      <w:bookmarkStart w:id="670" w:name="_Toc124858912"/>
      <w:bookmarkStart w:id="671" w:name="_Toc124859018"/>
      <w:bookmarkStart w:id="672" w:name="_Toc124908533"/>
      <w:bookmarkStart w:id="673" w:name="_Toc124908634"/>
      <w:bookmarkStart w:id="674" w:name="_Toc124909405"/>
      <w:bookmarkStart w:id="675" w:name="_Toc124909509"/>
      <w:bookmarkStart w:id="676" w:name="_Toc125885650"/>
      <w:bookmarkStart w:id="677" w:name="_Toc263408367"/>
      <w:r>
        <w:t>17.5.3.6.2.2</w:t>
      </w:r>
      <w:r>
        <w:tab/>
        <w:t>Allocation of an O/R-t-S Auction Constraint Residual When Only One Transmission Owner is Responsible for All of the Relevant Outages and Returns-to-Service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16DF8" w:rsidRDefault="003909C1">
      <w:pPr>
        <w:pStyle w:val="Bodypara"/>
        <w:rPr>
          <w:iCs/>
        </w:rPr>
      </w:pPr>
      <w:r>
        <w:t>This Section 17.5.3.6.2.2</w:t>
      </w:r>
      <w:r>
        <w:t xml:space="preserve"> describes the allocation of an O/R-t-S Auction Constraint Residual for a given stage 1 round of a 6-month sub-auction or Reconfiguration Auction, as the case may be, and a given constraint when only one Transmission Owner is responsible, as determined pur</w:t>
      </w:r>
      <w:r>
        <w:t>suant to Section 17.5.3.6.4, for all of the Qualifying Auction Outages and all of the Qualifying Auction Returns-to-Service for that stage 1 round of a 6-month sub-auction or Reconfiguration Auction that contribute to that constraint.</w:t>
      </w:r>
    </w:p>
    <w:p w:rsidR="00916DF8" w:rsidRDefault="003909C1">
      <w:pPr>
        <w:pStyle w:val="Bodypara"/>
      </w:pPr>
      <w:bookmarkStart w:id="678" w:name="_Toc115547779"/>
      <w:bookmarkStart w:id="679" w:name="_Ref115558398"/>
      <w:bookmarkStart w:id="680" w:name="_Toc115574892"/>
      <w:bookmarkStart w:id="681" w:name="_Toc115774017"/>
      <w:bookmarkStart w:id="682" w:name="_Toc115840258"/>
      <w:bookmarkStart w:id="683" w:name="_Toc115840462"/>
      <w:bookmarkStart w:id="684" w:name="_Toc115840654"/>
      <w:bookmarkStart w:id="685" w:name="_Toc115845855"/>
      <w:bookmarkStart w:id="686" w:name="_Toc115846392"/>
      <w:bookmarkStart w:id="687" w:name="_Toc115846656"/>
      <w:bookmarkStart w:id="688" w:name="_Toc115847090"/>
      <w:bookmarkStart w:id="689" w:name="_Toc115847349"/>
      <w:r>
        <w:rPr>
          <w:iCs/>
        </w:rPr>
        <w:t>If t</w:t>
      </w:r>
      <w:r>
        <w:t>he same Transmiss</w:t>
      </w:r>
      <w:r>
        <w:t>ion Owner is responsible, as determined pursuant to Section 17.5.3.6.4, for all of the Qualifying Auction Outages</w:t>
      </w:r>
      <w:r>
        <w:rPr>
          <w:i/>
        </w:rPr>
        <w:t xml:space="preserve"> o</w:t>
      </w:r>
      <w:r>
        <w:t xml:space="preserve"> and Qualifying Auction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w:t>
      </w:r>
      <w:r>
        <w:t>straint</w:t>
      </w:r>
      <w:r>
        <w:rPr>
          <w:i/>
        </w:rPr>
        <w:t xml:space="preserve"> a</w:t>
      </w:r>
      <w:r>
        <w:t xml:space="preserve">, then the ISO shall allocate the O/R-t-S Auction Constraint Residual for that stage 1 round </w:t>
      </w:r>
      <w:r>
        <w:rPr>
          <w:i/>
          <w:iCs/>
        </w:rPr>
        <w:t>n</w:t>
      </w:r>
      <w:r>
        <w:t xml:space="preserve"> of a 6-month sub-auction or Reconfiguration Auction </w:t>
      </w:r>
      <w:r>
        <w:rPr>
          <w:i/>
          <w:iCs/>
        </w:rPr>
        <w:t>n</w:t>
      </w:r>
      <w:r>
        <w:t xml:space="preserve"> and that constraint, O/R-t-S ACR</w:t>
      </w:r>
      <w:r>
        <w:rPr>
          <w:vertAlign w:val="subscript"/>
        </w:rPr>
        <w:t>a,n</w:t>
      </w:r>
      <w:r>
        <w:t>, to that Transmission Owner in the form of either (i) an O/R-t</w:t>
      </w:r>
      <w:r>
        <w:t>-S Auction Revenue Shortfall Charge in the amount of O/R-t-S ACR</w:t>
      </w:r>
      <w:r>
        <w:rPr>
          <w:vertAlign w:val="subscript"/>
        </w:rPr>
        <w:t>a,n</w:t>
      </w:r>
      <w:r>
        <w:t xml:space="preserve"> if O/R-t-S ACR</w:t>
      </w:r>
      <w:r>
        <w:rPr>
          <w:vertAlign w:val="subscript"/>
        </w:rPr>
        <w:t>a,n</w:t>
      </w:r>
      <w:r>
        <w:t xml:space="preserve"> is negative, or (ii) an O/R-t-S Auction Revenue Surplus Payment in the amount of O/R-t-S ACR</w:t>
      </w:r>
      <w:r>
        <w:rPr>
          <w:vertAlign w:val="subscript"/>
        </w:rPr>
        <w:t>a,n</w:t>
      </w:r>
      <w:r>
        <w:t xml:space="preserve"> if O/R-t-S ACR</w:t>
      </w:r>
      <w:r>
        <w:rPr>
          <w:vertAlign w:val="subscript"/>
        </w:rPr>
        <w:t>a,n</w:t>
      </w:r>
      <w:r>
        <w:t xml:space="preserve"> is positive.</w:t>
      </w:r>
    </w:p>
    <w:p w:rsidR="00916DF8" w:rsidRDefault="003909C1">
      <w:pPr>
        <w:pStyle w:val="Heading4"/>
      </w:pPr>
      <w:bookmarkStart w:id="690" w:name="_Ref116186980"/>
      <w:bookmarkStart w:id="691" w:name="_Toc116195353"/>
      <w:bookmarkStart w:id="692" w:name="_Toc116196620"/>
      <w:bookmarkStart w:id="693" w:name="_Toc116196797"/>
      <w:bookmarkStart w:id="694" w:name="_Toc116197284"/>
      <w:bookmarkStart w:id="695" w:name="_Toc119143739"/>
      <w:bookmarkStart w:id="696" w:name="_Toc124754755"/>
      <w:bookmarkStart w:id="697" w:name="_Toc124858913"/>
      <w:bookmarkStart w:id="698" w:name="_Toc124859019"/>
      <w:bookmarkStart w:id="699" w:name="_Toc124908534"/>
      <w:bookmarkStart w:id="700" w:name="_Toc124908635"/>
      <w:bookmarkStart w:id="701" w:name="_Toc124909406"/>
      <w:bookmarkStart w:id="702" w:name="_Toc124909510"/>
      <w:bookmarkStart w:id="703" w:name="_Toc125885651"/>
      <w:bookmarkStart w:id="704" w:name="_Toc263408368"/>
      <w:r>
        <w:t>17.5.</w:t>
      </w:r>
      <w:r>
        <w:rPr>
          <w:rFonts w:eastAsia="Arial Unicode MS"/>
        </w:rPr>
        <w:t>3.6.2.3</w:t>
      </w:r>
      <w:r>
        <w:rPr>
          <w:rFonts w:eastAsia="Arial Unicode MS"/>
        </w:rPr>
        <w:tab/>
      </w:r>
      <w:r>
        <w:t xml:space="preserve">Allocation of an O/R-t-S </w:t>
      </w:r>
      <w:r>
        <w:t>Auction Constraint Residual When More Than One Transmission Owner is Responsible for the Relevant Outages and Returns-to-Service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916DF8" w:rsidRDefault="003909C1">
      <w:pPr>
        <w:pStyle w:val="Bodypara"/>
      </w:pPr>
      <w:r>
        <w:t>This Section 17.5.3.6.2.3 describes the allocation of an O/R-t-S Auction Constraint Residual for a given stage 1 round of a 6-m</w:t>
      </w:r>
      <w:r>
        <w:t>onth sub-auction or Reconfiguration Auction, as the case may be, and a given constraint when more than one Transmission Owner is responsible, as determined pursuant to Section 17.5.3.6.4, for the Qualifying Auction Outages and the Qualifying Auction Return</w:t>
      </w:r>
      <w:r>
        <w:t xml:space="preserve">s-to-Service for that stage 1 round of a 6-month sub-auction or Reconfiguration Auction that contribute to that constraint.  </w:t>
      </w:r>
    </w:p>
    <w:p w:rsidR="00916DF8" w:rsidRDefault="003909C1">
      <w:pPr>
        <w:pStyle w:val="Bodypara"/>
      </w:pPr>
      <w:r>
        <w:t>If more than one Transmission Owner is responsible, as determined pursuant to Section 17.5.3.6.4, for the Qualifying Auction Outag</w:t>
      </w:r>
      <w:r>
        <w:t xml:space="preserve">es and the Qualifying Auction Returns-to-Service for stage 1 round </w:t>
      </w:r>
      <w:r>
        <w:rPr>
          <w:i/>
          <w:iCs/>
        </w:rPr>
        <w:t>n</w:t>
      </w:r>
      <w:r>
        <w:t xml:space="preserve"> of a 6-month sub-auction or Reconfiguration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w:t>
      </w:r>
      <w:r>
        <w:t xml:space="preserve">of a 6-month sub-auction or for Reconfiguration Auction </w:t>
      </w:r>
      <w:r>
        <w:rPr>
          <w:i/>
        </w:rPr>
        <w:t>n</w:t>
      </w:r>
      <w:r>
        <w:t>, O/R-t-S ACR</w:t>
      </w:r>
      <w:r>
        <w:rPr>
          <w:vertAlign w:val="subscript"/>
        </w:rPr>
        <w:t>a,n</w:t>
      </w:r>
      <w:r>
        <w:t xml:space="preserve">, in the form of an O/R-t-S Auction Revenue Shortfall Charge or O/R-t-S Auction Revenue Surplus Payment to the Transmission Owners responsible for the </w:t>
      </w:r>
      <w:r>
        <w:rPr>
          <w:iCs/>
        </w:rPr>
        <w:t>Qualifying Auction Outages</w:t>
      </w:r>
      <w:r>
        <w:rPr>
          <w:i/>
        </w:rPr>
        <w:t xml:space="preserve"> o</w:t>
      </w:r>
      <w:r>
        <w:t xml:space="preserve"> and</w:t>
      </w:r>
      <w:r>
        <w:t xml:space="preserve"> Qualifying Auction Returns-to-Service </w:t>
      </w:r>
      <w:r>
        <w:rPr>
          <w:i/>
          <w:iCs/>
        </w:rPr>
        <w:t>o</w:t>
      </w:r>
      <w:r>
        <w:t xml:space="preserve"> for stage 1 round </w:t>
      </w:r>
      <w:r>
        <w:rPr>
          <w:i/>
          <w:iCs/>
        </w:rPr>
        <w:t>n</w:t>
      </w:r>
      <w:r>
        <w:t xml:space="preserve"> of a 6-month sub-auction or Reconfiguration Auction </w:t>
      </w:r>
      <w:r>
        <w:rPr>
          <w:i/>
          <w:iCs/>
        </w:rPr>
        <w:t xml:space="preserve">n </w:t>
      </w:r>
      <w:r>
        <w:t>by first determining the net total impact on the constraint of all Qualifying Auction Outages and Qualifying Auction Returns-to Service for s</w:t>
      </w:r>
      <w:r>
        <w:t xml:space="preserve">tage 1 round </w:t>
      </w:r>
      <w:r>
        <w:rPr>
          <w:i/>
          <w:iCs/>
        </w:rPr>
        <w:t>n</w:t>
      </w:r>
      <w:r>
        <w:t xml:space="preserve"> of a 6-month sub-auction or Reconfiguration Auction </w:t>
      </w:r>
      <w:r>
        <w:rPr>
          <w:i/>
          <w:iCs/>
        </w:rPr>
        <w:t>n</w:t>
      </w:r>
      <w:r>
        <w:t xml:space="preserve"> with an impact on the Energy flow across that constraint of 1 MW-</w:t>
      </w:r>
      <w:r>
        <w:rPr>
          <w:i/>
          <w:iCs/>
        </w:rPr>
        <w:t>p</w:t>
      </w:r>
      <w:r>
        <w:t xml:space="preserve"> or more by applying Formula B-21, and then applying either Formula B-22 or Formula B-23, as specified herein, to assess </w:t>
      </w:r>
      <w:r>
        <w:t>O/R-t-S Auction Revenue Shortfall Charges and O/R-t-S Auction Revenue Surplus Payments.</w:t>
      </w:r>
    </w:p>
    <w:p w:rsidR="00916DF8" w:rsidRDefault="003909C1">
      <w:pPr>
        <w:pStyle w:val="FormulaCaption"/>
      </w:pPr>
      <w:bookmarkStart w:id="705" w:name="_Ref115559873"/>
      <w:r>
        <w:t>Formula B-21</w:t>
      </w:r>
    </w:p>
    <w:bookmarkEnd w:id="705"/>
    <w:p w:rsidR="00A62784" w:rsidRDefault="003909C1">
      <w:pPr>
        <w:keepNext/>
        <w:snapToGrid w:val="0"/>
      </w:pPr>
    </w:p>
    <w:p w:rsidR="00A62784" w:rsidRPr="00A62784" w:rsidRDefault="00C476D8"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3909C1">
      <w:pPr>
        <w:keepNext/>
        <w:snapToGrid w:val="0"/>
      </w:pPr>
    </w:p>
    <w:p w:rsidR="00916DF8" w:rsidRDefault="003909C1">
      <w:pPr>
        <w:spacing w:after="120"/>
      </w:pPr>
      <w:r>
        <w:t>Where,</w:t>
      </w:r>
    </w:p>
    <w:p w:rsidR="00916DF8" w:rsidRDefault="003909C1"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 case may be, on constraint</w:t>
      </w:r>
      <w:r>
        <w:rPr>
          <w:i/>
        </w:rPr>
        <w:t xml:space="preserve"> a</w:t>
      </w:r>
      <w:r>
        <w:t xml:space="preserve"> of all Qualifying Auction Outages and Qualifying Auction Returns-to-Service for stage 1 round </w:t>
      </w:r>
      <w:r>
        <w:rPr>
          <w:i/>
          <w:iCs/>
        </w:rPr>
        <w:t>n</w:t>
      </w:r>
      <w:r>
        <w:t xml:space="preserve"> of a 6-month sub-a</w:t>
      </w:r>
      <w:r>
        <w:t xml:space="preserve">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3909C1">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Auction Return-to-Service </w:t>
      </w:r>
      <w:r>
        <w:rPr>
          <w:i/>
          <w:iCs/>
        </w:rPr>
        <w:t>o</w:t>
      </w:r>
      <w:r>
        <w:t xml:space="preserve"> on binding constraint</w:t>
      </w:r>
      <w:r>
        <w:rPr>
          <w:i/>
        </w:rPr>
        <w:t xml:space="preserve"> a</w:t>
      </w:r>
      <w:r>
        <w:t xml:space="preserve"> d</w:t>
      </w:r>
      <w:r>
        <w:t xml:space="preserve">etermined for Reconfiguration Auction </w:t>
      </w:r>
      <w:r>
        <w:rPr>
          <w:i/>
          <w:iCs/>
        </w:rPr>
        <w:t>n</w:t>
      </w:r>
      <w:r>
        <w:t xml:space="preserve"> or stage 1 round </w:t>
      </w:r>
      <w:r>
        <w:rPr>
          <w:i/>
          <w:iCs/>
        </w:rPr>
        <w:t>n</w:t>
      </w:r>
      <w:r>
        <w:t xml:space="preserve"> of a 6-month sub-auction, which shall either:</w:t>
      </w:r>
    </w:p>
    <w:p w:rsidR="00916DF8" w:rsidRDefault="003909C1">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FlowImpact</w:t>
      </w:r>
      <w:r w:rsidRPr="00E5563B">
        <w:rPr>
          <w:i/>
          <w:vertAlign w:val="subscript"/>
        </w:rPr>
        <w:t>a,n,o</w:t>
      </w:r>
      <w:r>
        <w:t xml:space="preserve"> calculated for the corresponding</w:t>
      </w:r>
      <w:r>
        <w:t xml:space="preserve"> Deemed Qualifying Auction Return-to-Service as described in part (b) of this definition of </w:t>
      </w:r>
      <w:r w:rsidRPr="00E5563B">
        <w:rPr>
          <w:i/>
        </w:rPr>
        <w:t>FlowImpact</w:t>
      </w:r>
      <w:r w:rsidRPr="00E5563B">
        <w:rPr>
          <w:i/>
          <w:vertAlign w:val="subscript"/>
        </w:rPr>
        <w:t>a,n,o</w:t>
      </w:r>
      <w:r>
        <w:t>, or</w:t>
      </w:r>
    </w:p>
    <w:p w:rsidR="00916DF8" w:rsidRDefault="003909C1">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Qualifying Auction Outage, an Actual Qualifying Aucti</w:t>
      </w:r>
      <w:r>
        <w:t>on Return-to-Service, or a Deemed Qualifying Auction Return-to-Service, be calculated pursuant to the following formula:</w:t>
      </w:r>
    </w:p>
    <w:p w:rsidR="00A62784" w:rsidRPr="00A62784" w:rsidRDefault="00C476D8"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3909C1">
      <w:pPr>
        <w:tabs>
          <w:tab w:val="left" w:pos="960"/>
        </w:tabs>
        <w:snapToGrid w:val="0"/>
        <w:spacing w:after="120"/>
        <w:ind w:left="1440"/>
      </w:pPr>
      <w:r>
        <w:t>Where,</w:t>
      </w:r>
    </w:p>
    <w:p w:rsidR="00916DF8" w:rsidRDefault="003909C1">
      <w:pPr>
        <w:tabs>
          <w:tab w:val="left" w:pos="960"/>
        </w:tabs>
        <w:snapToGrid w:val="0"/>
        <w:spacing w:after="120"/>
        <w:ind w:left="1440"/>
      </w:pPr>
      <w:r w:rsidRPr="00E5563B">
        <w:rPr>
          <w:i/>
        </w:rPr>
        <w:t>BaseCaseFlow</w:t>
      </w:r>
      <w:r w:rsidRPr="00E5563B">
        <w:rPr>
          <w:i/>
          <w:vertAlign w:val="subscript"/>
        </w:rPr>
        <w:t>a,n</w:t>
      </w:r>
      <w:r>
        <w:t xml:space="preserve"> = Either, as the case may be</w:t>
      </w:r>
      <w:r>
        <w:t xml:space="preserve">: </w:t>
      </w:r>
    </w:p>
    <w:p w:rsidR="00916DF8" w:rsidRDefault="003909C1">
      <w:pPr>
        <w:pStyle w:val="romannumeralpara"/>
      </w:pPr>
      <w:r>
        <w:t xml:space="preserve">(i) </w:t>
      </w:r>
      <w:r>
        <w:tab/>
        <w:t>for a Reconfiguration Auction, the Energy flow on constraint</w:t>
      </w:r>
      <w:r>
        <w:rPr>
          <w:i/>
        </w:rPr>
        <w:t xml:space="preserve"> a</w:t>
      </w:r>
      <w:r>
        <w:t xml:space="preserve"> resulting from a Power Flow using (1) the set of injections and withdrawals corresponding to the actual TCCs and Grandfathered Rights represented in the solution to the last 6-month sub</w:t>
      </w:r>
      <w:r>
        <w:t xml:space="preserve">-auction held for TCCs valid during the month corresponding to Reconfiguration Auction </w:t>
      </w:r>
      <w:r>
        <w:rPr>
          <w:i/>
          <w:iCs/>
        </w:rPr>
        <w:t xml:space="preserve">n </w:t>
      </w:r>
      <w:r>
        <w:t>(including those pre-existing TCCs and Grandfathered Rights represented as fixed injections and withdrawals in that auction); (2) the phase angle regulator schedule de</w:t>
      </w:r>
      <w:r>
        <w:t>termined in the Optimal Power Flow solution for the final round of the last 6-month sub-auction held for TCCs valid during the month corresponding to Reconfiguration Auction</w:t>
      </w:r>
      <w:r>
        <w:rPr>
          <w:iCs/>
        </w:rPr>
        <w:t xml:space="preserve"> </w:t>
      </w:r>
      <w:r>
        <w:rPr>
          <w:i/>
        </w:rPr>
        <w:t>n</w:t>
      </w:r>
      <w:r>
        <w:t>; and (3) the Transmission System model for the last 6-month sub-auction held for</w:t>
      </w:r>
      <w:r>
        <w:t xml:space="preserve"> TCCs valid during the month corresponding to Reconfiguration Auction </w:t>
      </w:r>
      <w:r>
        <w:rPr>
          <w:i/>
        </w:rPr>
        <w:t>n</w:t>
      </w:r>
      <w:r>
        <w:t>;</w:t>
      </w:r>
      <w:r>
        <w:rPr>
          <w:iCs/>
        </w:rPr>
        <w:t xml:space="preserve"> or</w:t>
      </w:r>
    </w:p>
    <w:p w:rsidR="00916DF8" w:rsidRDefault="003909C1">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case data set: (1) the Transmission System m</w:t>
      </w:r>
      <w:r>
        <w:t>odel for the actual 6-month sub-auction, modified so as to model as in-service all transmission facilities that were out-of-service for the actual 6-month sub-auction, and (2) the set of injections and withdrawals corresponding to the base case set of TCCs</w:t>
      </w:r>
      <w:r>
        <w:t xml:space="preserve"> (including those pre-existing TCCs and Grandfathered Rights that are represented as fixed injections and withdrawals in the 6-month sub-auction) and the phase angle regulator schedule produced in the Optimal Power Flow used to calculate the Energy flow on</w:t>
      </w:r>
      <w:r>
        <w:t xml:space="preserve">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3909C1">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3909C1">
      <w:pPr>
        <w:pStyle w:val="romannumeralpara"/>
      </w:pP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Flow using each element of the base case data set used in the calculation of </w:t>
      </w:r>
      <w:r w:rsidRPr="00E5563B">
        <w:rPr>
          <w:i/>
        </w:rPr>
        <w:t>BaseCaseFlow</w:t>
      </w:r>
      <w:r w:rsidRPr="00E5563B">
        <w:rPr>
          <w:i/>
          <w:vertAlign w:val="subscript"/>
        </w:rPr>
        <w:t>a,n</w:t>
      </w:r>
      <w:r>
        <w:t xml:space="preserve"> above (</w:t>
      </w:r>
      <w:r>
        <w:rPr>
          <w:i/>
          <w:iCs/>
        </w:rPr>
        <w:t xml:space="preserve">provided, </w:t>
      </w:r>
      <w:r>
        <w:rPr>
          <w:i/>
          <w:iCs/>
        </w:rPr>
        <w:t>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w:t>
      </w:r>
      <w:r>
        <w:t>e angle regulator schedule and related variables to model the transmission facility as free flowing), but in each case with the Transmission System model modified so as to, as the case may be, either (i) model as out-of-service Actual Qualifying Auction Ou</w:t>
      </w:r>
      <w:r>
        <w:t xml:space="preserve">tage </w:t>
      </w:r>
      <w:r>
        <w:rPr>
          <w:i/>
          <w:iCs/>
        </w:rPr>
        <w:t>o</w:t>
      </w:r>
      <w:r>
        <w:t xml:space="preserve">, or (ii) model as in-service Actual Qualifying Auction Return-to-Service </w:t>
      </w:r>
      <w:r>
        <w:rPr>
          <w:i/>
          <w:iCs/>
        </w:rPr>
        <w:t>o</w:t>
      </w:r>
      <w:r>
        <w:t>; or</w:t>
      </w:r>
    </w:p>
    <w:p w:rsidR="00916DF8" w:rsidRDefault="003909C1">
      <w:pPr>
        <w:pStyle w:val="romannumeralpara"/>
        <w:rPr>
          <w:i/>
          <w:iCs/>
        </w:rPr>
      </w:pPr>
      <w:r>
        <w:t>(ii)</w:t>
      </w:r>
      <w:r>
        <w:tab/>
        <w:t xml:space="preserve">if Qualifying Auction Return-to-Service </w:t>
      </w:r>
      <w:r>
        <w:rPr>
          <w:i/>
          <w:iCs/>
        </w:rPr>
        <w:t>o</w:t>
      </w:r>
      <w:r>
        <w:t xml:space="preserve"> is a Deemed Qualifying Auction Return-to-Service, the Energy flow on constraint</w:t>
      </w:r>
      <w:r>
        <w:rPr>
          <w:i/>
        </w:rPr>
        <w:t xml:space="preserve"> a</w:t>
      </w:r>
      <w:r>
        <w:t xml:space="preserve"> resulting from a Power Flow using each el</w:t>
      </w:r>
      <w:r>
        <w:t xml:space="preserve">ement of the base case data set used in the calculation 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w:t>
      </w:r>
      <w:r>
        <w:t xml:space="preserve">cause of the outage of any transmission facility, the ISO shall appropriately adjust the phase angle regulator schedule and related variables to model the transmission facility as free flowing), but with the Transmission System model modified so as to </w:t>
      </w:r>
      <w:r>
        <w:rPr>
          <w:iCs/>
        </w:rPr>
        <w:t>mode</w:t>
      </w:r>
      <w:r>
        <w:rPr>
          <w:iCs/>
        </w:rPr>
        <w:t xml:space="preserve">l as in-service the facility that is Deemed Qualifying Auction Return-to-Service </w:t>
      </w:r>
      <w:r>
        <w:rPr>
          <w:i/>
        </w:rPr>
        <w:t>o</w:t>
      </w:r>
      <w:r>
        <w:t>;</w:t>
      </w:r>
    </w:p>
    <w:p w:rsidR="00916DF8" w:rsidRDefault="003909C1">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a,n,o</w:t>
      </w:r>
      <w:r>
        <w:t xml:space="preserve"> shall be set equal </w:t>
      </w:r>
      <w:r>
        <w:t>to zero</w:t>
      </w:r>
    </w:p>
    <w:p w:rsidR="00916DF8" w:rsidRDefault="003909C1">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3909C1">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Returns-</w:t>
      </w:r>
      <w:r>
        <w:t>to</w:t>
      </w:r>
      <w:r>
        <w:rPr>
          <w:iCs/>
        </w:rPr>
        <w:t xml:space="preserve">-Service </w:t>
      </w:r>
      <w:r>
        <w:rPr>
          <w:i/>
        </w:rPr>
        <w:t>o</w:t>
      </w:r>
      <w:r>
        <w:t xml:space="preserve"> in stag</w:t>
      </w:r>
      <w:r>
        <w:t xml:space="preserve">e 1 round </w:t>
      </w:r>
      <w:r>
        <w:rPr>
          <w:i/>
        </w:rPr>
        <w:t>n</w:t>
      </w:r>
      <w:r>
        <w:t xml:space="preserve"> of a 6-month sub-auction or Reconfiguration Auction </w:t>
      </w:r>
      <w:r>
        <w:rPr>
          <w:i/>
          <w:iCs/>
        </w:rPr>
        <w:t>n</w:t>
      </w:r>
    </w:p>
    <w:p w:rsidR="00916DF8" w:rsidRDefault="003909C1">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3909C1">
      <w:pPr>
        <w:pStyle w:val="Bodypara"/>
        <w:ind w:firstLine="0"/>
      </w:pPr>
      <w:r>
        <w:t xml:space="preserve">and the variable </w:t>
      </w:r>
      <w:r w:rsidRPr="00E5563B">
        <w:rPr>
          <w:i/>
        </w:rPr>
        <w:t>ShadowPrice</w:t>
      </w:r>
      <w:r w:rsidRPr="00E5563B">
        <w:rPr>
          <w:i/>
          <w:vertAlign w:val="subscript"/>
        </w:rPr>
        <w:t>a,n</w:t>
      </w:r>
      <w:r>
        <w:t xml:space="preserve"> is defined as set forth in Formula B-17.</w:t>
      </w:r>
    </w:p>
    <w:p w:rsidR="00916DF8" w:rsidRDefault="003909C1">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w:t>
      </w:r>
      <w:r>
        <w:t xml:space="preserve">ion </w:t>
      </w:r>
      <w:r>
        <w:rPr>
          <w:i/>
          <w:iCs/>
        </w:rPr>
        <w:t>n</w:t>
      </w:r>
      <w:r>
        <w:t xml:space="preserve"> has a different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B-21 after set</w:t>
      </w:r>
      <w:r>
        <w:t xml:space="preserve">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a,n,o</w:t>
      </w:r>
      <w:r>
        <w:t xml:space="preserve"> to allocate O/R-t-S Auction Reven</w:t>
      </w:r>
      <w:r>
        <w:t>ue Shortfall Charges and O/R-t-S Auction Revenue Surplus Payments pursuant to Formula B-22 or Formula B-23, as specified below.</w:t>
      </w:r>
    </w:p>
    <w:p w:rsidR="00916DF8" w:rsidRDefault="003909C1">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Qualifying Auction Outages</w:t>
      </w:r>
      <w:r>
        <w:rPr>
          <w:i/>
        </w:rPr>
        <w:t xml:space="preserve"> </w:t>
      </w:r>
      <w:r>
        <w:rPr>
          <w:iCs/>
        </w:rPr>
        <w:t>and Quali</w:t>
      </w:r>
      <w:r>
        <w:rPr>
          <w:iCs/>
        </w:rPr>
        <w:t xml:space="preserve">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 xml:space="preserve">as described in the prior </w:t>
      </w:r>
      <w:r>
        <w:t>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O/R-t-S</w:t>
      </w:r>
      <w:r>
        <w:t xml:space="preserve">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impact (</w:t>
      </w:r>
      <w:r w:rsidRPr="003A0BE4">
        <w:rPr>
          <w:i/>
        </w:rPr>
        <w:t>O/R-t-S</w:t>
      </w:r>
      <w:r w:rsidRPr="003A0BE4">
        <w:rPr>
          <w:i/>
        </w:rPr>
        <w:t>NetAuctionImp</w:t>
      </w:r>
      <w:r w:rsidRPr="003A0BE4">
        <w:rPr>
          <w:i/>
        </w:rPr>
        <w:t>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using a</w:t>
      </w:r>
      <w:r>
        <w:t xml:space="preserve">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w:t>
      </w:r>
      <w:r>
        <w:t xml:space="preserve">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Formula B</w:t>
      </w:r>
      <w:r>
        <w:t>-23.</w:t>
      </w:r>
    </w:p>
    <w:p w:rsidR="00916DF8" w:rsidRDefault="003909C1">
      <w:pPr>
        <w:pStyle w:val="FormulaCaption"/>
      </w:pPr>
      <w:bookmarkStart w:id="706" w:name="_Ref115559876"/>
      <w:r>
        <w:t>Formula B-22</w:t>
      </w:r>
    </w:p>
    <w:bookmarkEnd w:id="706"/>
    <w:p w:rsidR="00B572F9" w:rsidRDefault="00C476D8">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C476D8" w:rsidTr="00C53ADC">
        <w:tc>
          <w:tcPr>
            <w:tcW w:w="1915" w:type="dxa"/>
            <w:vMerge w:val="restart"/>
            <w:tcBorders>
              <w:top w:val="nil"/>
              <w:left w:val="nil"/>
              <w:bottom w:val="nil"/>
              <w:right w:val="nil"/>
            </w:tcBorders>
            <w:vAlign w:val="center"/>
          </w:tcPr>
          <w:p w:rsidR="00B572F9" w:rsidRPr="00B572F9" w:rsidRDefault="00C476D8"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3909C1"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3909C1"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C476D8"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3909C1"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3909C1"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C476D8" w:rsidTr="00C53ADC">
        <w:tc>
          <w:tcPr>
            <w:tcW w:w="1915" w:type="dxa"/>
            <w:vMerge/>
            <w:tcBorders>
              <w:top w:val="nil"/>
              <w:left w:val="nil"/>
              <w:bottom w:val="nil"/>
              <w:right w:val="nil"/>
            </w:tcBorders>
          </w:tcPr>
          <w:p w:rsidR="00B572F9" w:rsidRPr="00B572F9" w:rsidRDefault="003909C1"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3909C1"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C476D8"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3909C1"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3909C1" w:rsidP="00B572F9">
            <w:pPr>
              <w:widowControl w:val="0"/>
              <w:rPr>
                <w:rFonts w:asciiTheme="majorHAnsi" w:hAnsiTheme="majorHAnsi"/>
                <w:snapToGrid w:val="0"/>
                <w:sz w:val="20"/>
                <w:szCs w:val="20"/>
              </w:rPr>
            </w:pPr>
          </w:p>
        </w:tc>
      </w:tr>
    </w:tbl>
    <w:p w:rsidR="00B572F9" w:rsidRDefault="003909C1">
      <w:pPr>
        <w:keepNext/>
        <w:snapToGrid w:val="0"/>
      </w:pPr>
    </w:p>
    <w:p w:rsidR="00916DF8" w:rsidRDefault="003909C1">
      <w:pPr>
        <w:spacing w:after="120"/>
      </w:pPr>
      <w:r>
        <w:t>Where,</w:t>
      </w:r>
    </w:p>
    <w:p w:rsidR="00916DF8" w:rsidRDefault="003909C1">
      <w:pPr>
        <w:pStyle w:val="equationtext"/>
      </w:pPr>
      <w:r w:rsidRPr="00C53ADC">
        <w:rPr>
          <w:i/>
        </w:rPr>
        <w:t>O/R-t-S Allocation</w:t>
      </w:r>
      <w:r w:rsidRPr="00C53ADC">
        <w:rPr>
          <w:i/>
          <w:vertAlign w:val="subscript"/>
        </w:rPr>
        <w:t>a,t,n</w:t>
      </w:r>
      <w:r>
        <w:tab/>
        <w:t>=</w:t>
      </w:r>
      <w:r>
        <w:tab/>
      </w:r>
      <w:r>
        <w:t>Either an O/R-t-S Auction Revenue Shortfall Charge or an O/R-t-S Auction Revenue Surplus Payment, as specified in (a) and (b) below:</w:t>
      </w:r>
    </w:p>
    <w:p w:rsidR="00916DF8" w:rsidRDefault="003909C1">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3909C1">
      <w:pPr>
        <w:pStyle w:val="alphapara"/>
      </w:pPr>
      <w:r>
        <w:t>(b)</w:t>
      </w:r>
      <w:r>
        <w:tab/>
        <w:t xml:space="preserve">If </w:t>
      </w:r>
      <w:r w:rsidRPr="00C53ADC">
        <w:rPr>
          <w:i/>
        </w:rPr>
        <w:t>O/R-t-S Allocation</w:t>
      </w:r>
      <w:r w:rsidRPr="00C53ADC">
        <w:rPr>
          <w:i/>
          <w:vertAlign w:val="subscript"/>
        </w:rPr>
        <w:t>a,t,n</w:t>
      </w:r>
      <w:r>
        <w:t xml:space="preserve"> is positive, then</w:t>
      </w:r>
      <w:r>
        <w:t xml:space="preserve">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3909C1">
      <w:pPr>
        <w:pStyle w:val="equationtext"/>
        <w:rPr>
          <w:i/>
          <w:iCs/>
        </w:rPr>
      </w:pPr>
      <w:r w:rsidRPr="00C53ADC">
        <w:rPr>
          <w:i/>
        </w:rPr>
        <w:t>Responsibility</w:t>
      </w:r>
      <w:r w:rsidRPr="00C53ADC">
        <w:rPr>
          <w:i/>
          <w:vertAlign w:val="subscript"/>
        </w:rPr>
        <w:t>n,q,o</w:t>
      </w:r>
      <w:r>
        <w:t xml:space="preserve"> =  </w:t>
      </w:r>
      <w:r>
        <w:t>The amoun</w:t>
      </w:r>
      <w:r>
        <w:t xml:space="preserve">t, as a percentage, of responsibility borne by Transmission Owner </w:t>
      </w:r>
      <w:r>
        <w:rPr>
          <w:i/>
          <w:iCs/>
        </w:rPr>
        <w:t>q</w:t>
      </w:r>
      <w:r>
        <w:t xml:space="preserve"> (which shall include the ISO when it is deemed a Transmission Owner for the purpose of applying Sections 17.5.3.6.4.2 or 17.5.3.6.4.3) for Qualifying Auction Outage </w:t>
      </w:r>
      <w:r>
        <w:rPr>
          <w:i/>
          <w:iCs/>
        </w:rPr>
        <w:t>o</w:t>
      </w:r>
      <w:r>
        <w:t xml:space="preserve"> or Qualifying Auction</w:t>
      </w:r>
      <w:r>
        <w:t xml:space="preserve">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3909C1">
      <w:pPr>
        <w:pStyle w:val="Bodypara"/>
        <w:ind w:firstLine="0"/>
      </w:pPr>
      <w:r>
        <w:t xml:space="preserve">and the variable </w:t>
      </w:r>
      <w:r w:rsidRPr="00C53ADC">
        <w:rPr>
          <w:i/>
        </w:rPr>
        <w:t>O/R-t-S ACR</w:t>
      </w:r>
      <w:r w:rsidRPr="00C53ADC">
        <w:rPr>
          <w:i/>
          <w:vertAlign w:val="subscript"/>
        </w:rPr>
        <w:t>a,n</w:t>
      </w:r>
      <w:r>
        <w:t xml:space="preserve"> is defined as set forth in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w:t>
      </w:r>
      <w:r>
        <w:t xml:space="preserve"> defined as set forth in Formula B-21.</w:t>
      </w:r>
    </w:p>
    <w:p w:rsidR="00916DF8" w:rsidRDefault="003909C1">
      <w:pPr>
        <w:pStyle w:val="FormulaCaption"/>
      </w:pPr>
      <w:bookmarkStart w:id="707" w:name="_Ref115559878"/>
      <w:r>
        <w:t>Formula B-23</w:t>
      </w:r>
    </w:p>
    <w:p w:rsidR="00971273" w:rsidRPr="00971273" w:rsidRDefault="00C476D8" w:rsidP="00971273">
      <w:pPr>
        <w:spacing w:after="120"/>
      </w:pPr>
      <m:oMathPara>
        <m:oMath>
          <w:bookmarkEnd w:id="707"/>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3909C1">
      <w:pPr>
        <w:pStyle w:val="Bodypara"/>
        <w:ind w:firstLine="0"/>
      </w:pPr>
      <w:r>
        <w:t>Where,</w:t>
      </w:r>
    </w:p>
    <w:p w:rsidR="00916DF8" w:rsidRDefault="003909C1">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 B-21.</w:t>
      </w:r>
    </w:p>
    <w:p w:rsidR="00916DF8" w:rsidRDefault="003909C1">
      <w:pPr>
        <w:pStyle w:val="Heading4"/>
        <w:rPr>
          <w:rFonts w:eastAsia="Arial Unicode MS"/>
        </w:rPr>
      </w:pPr>
      <w:bookmarkStart w:id="708" w:name="_Toc116196621"/>
      <w:bookmarkStart w:id="709" w:name="_Toc116196798"/>
      <w:bookmarkStart w:id="710" w:name="_Toc116197285"/>
      <w:bookmarkStart w:id="711" w:name="_Ref116199795"/>
      <w:bookmarkStart w:id="712" w:name="_Ref116200032"/>
      <w:bookmarkStart w:id="713" w:name="_Ref116200080"/>
      <w:bookmarkStart w:id="714" w:name="_Ref116200668"/>
      <w:bookmarkStart w:id="715" w:name="_Ref116202480"/>
      <w:bookmarkStart w:id="716" w:name="_Ref118811785"/>
      <w:bookmarkStart w:id="717" w:name="_Toc119143740"/>
      <w:bookmarkStart w:id="718" w:name="_Toc124754756"/>
      <w:bookmarkStart w:id="719" w:name="_Toc124858914"/>
      <w:bookmarkStart w:id="720" w:name="_Toc124859020"/>
      <w:bookmarkStart w:id="721" w:name="_Toc124908535"/>
      <w:bookmarkStart w:id="722" w:name="_Toc124908636"/>
      <w:bookmarkStart w:id="723" w:name="_Toc124909407"/>
      <w:bookmarkStart w:id="724" w:name="_Toc124909511"/>
      <w:bookmarkStart w:id="725" w:name="_Toc125885652"/>
      <w:bookmarkStart w:id="726" w:name="_Toc263408369"/>
      <w:r>
        <w:t>17.5.</w:t>
      </w:r>
      <w:r>
        <w:rPr>
          <w:rFonts w:eastAsia="Arial Unicode MS"/>
        </w:rPr>
        <w:t>3.6.3</w:t>
      </w:r>
      <w:r>
        <w:rPr>
          <w:rFonts w:eastAsia="Arial Unicode MS"/>
        </w:rPr>
        <w:tab/>
        <w:t>Charges and Paym</w:t>
      </w:r>
      <w:r>
        <w:rPr>
          <w:rFonts w:eastAsia="Arial Unicode MS"/>
        </w:rPr>
        <w:t>ents for the Secondary Impact of Auction Outages and Returns-to-Service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916DF8" w:rsidRDefault="003909C1">
      <w:pPr>
        <w:pStyle w:val="Bodypara"/>
      </w:pPr>
      <w:r>
        <w:t>The ISO shall use U/D Auction Constraint Residuals to allocate U/D Auction Revenue Shortfall Charges and U/D Auction Revenue Surplus Payments, as the case may be, among Transmission Ow</w:t>
      </w:r>
      <w:r>
        <w:t>ners pursuant to this Section 17.5.3.6.3.  Each U/D Auction Revenue Shortfall Charge and each U/D Auction Revenue Surplus Payment allocated to a Transmission Owner pursuant to this Section 17.5.3.6.3 is subject to being set equal to zero pursuant to Sectio</w:t>
      </w:r>
      <w:r>
        <w:t>n 17.5.</w:t>
      </w:r>
      <w:r>
        <w:rPr>
          <w:iCs/>
        </w:rPr>
        <w:t>3.6.5</w:t>
      </w:r>
      <w:r>
        <w:t>.</w:t>
      </w:r>
    </w:p>
    <w:p w:rsidR="00916DF8" w:rsidRDefault="003909C1">
      <w:pPr>
        <w:pStyle w:val="Heading4"/>
      </w:pPr>
      <w:bookmarkStart w:id="727" w:name="_Toc115547781"/>
      <w:bookmarkStart w:id="728" w:name="_Ref115548230"/>
      <w:bookmarkStart w:id="729" w:name="_Ref115548265"/>
      <w:bookmarkStart w:id="730" w:name="_Ref115574495"/>
      <w:bookmarkStart w:id="731" w:name="_Toc115574894"/>
      <w:bookmarkStart w:id="732" w:name="_Toc115774019"/>
      <w:bookmarkStart w:id="733" w:name="_Toc115840260"/>
      <w:bookmarkStart w:id="734" w:name="_Toc115840464"/>
      <w:bookmarkStart w:id="735" w:name="_Toc115840656"/>
      <w:bookmarkStart w:id="736" w:name="_Toc115845857"/>
      <w:bookmarkStart w:id="737" w:name="_Toc115846394"/>
      <w:bookmarkStart w:id="738" w:name="_Toc115846658"/>
      <w:bookmarkStart w:id="739" w:name="_Toc115847092"/>
      <w:bookmarkStart w:id="740" w:name="_Toc115847351"/>
      <w:bookmarkStart w:id="741" w:name="_Toc116195355"/>
      <w:bookmarkStart w:id="742" w:name="_Toc116196622"/>
      <w:bookmarkStart w:id="743" w:name="_Toc116196799"/>
      <w:bookmarkStart w:id="744" w:name="_Toc116197286"/>
      <w:bookmarkStart w:id="745" w:name="_Toc119143741"/>
      <w:bookmarkStart w:id="746" w:name="_Toc124754757"/>
      <w:bookmarkStart w:id="747" w:name="_Toc124858915"/>
      <w:bookmarkStart w:id="748" w:name="_Toc124859021"/>
      <w:bookmarkStart w:id="749" w:name="_Toc124908536"/>
      <w:bookmarkStart w:id="750" w:name="_Toc124908637"/>
      <w:bookmarkStart w:id="751" w:name="_Toc124909408"/>
      <w:bookmarkStart w:id="752" w:name="_Toc124909512"/>
      <w:bookmarkStart w:id="753" w:name="_Ref124970136"/>
      <w:bookmarkStart w:id="754" w:name="_Toc125885653"/>
      <w:bookmarkStart w:id="755" w:name="_Toc263408370"/>
      <w:r>
        <w:t>17.5.</w:t>
      </w:r>
      <w:r>
        <w:rPr>
          <w:rFonts w:eastAsia="Arial Unicode MS"/>
        </w:rPr>
        <w:t>3.6.3.1</w:t>
      </w:r>
      <w:r>
        <w:rPr>
          <w:rFonts w:eastAsia="Arial Unicode MS"/>
        </w:rPr>
        <w:tab/>
      </w:r>
      <w:r>
        <w:t>Identification of Upratings and Deratings Qualifying for Charges and Payments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916DF8" w:rsidRDefault="003909C1">
      <w:pPr>
        <w:pStyle w:val="Bodypara"/>
      </w:pPr>
      <w:r>
        <w:t>For each constraint for each stage 1 round of a 6-month sub-auction or Reconfiguration Auction, the ISO shall identify each Qualifying Auction Derating</w:t>
      </w:r>
      <w:r>
        <w:t xml:space="preserve"> and each Qualifying Auction Uprating, as described below.  The Transmission Owner responsible, as determined pursuant to Section 17.5.3.6.4, for a Qualifying Auction Derating or Qualifying Auction Uprating shall be allocated a U/D Auction Revenue Shortfal</w:t>
      </w:r>
      <w:r>
        <w:t>l Charge or a U/D Auction Revenue Surplus Payment, as the case may be, pursuant to Section 17.5.3.6.3.2.</w:t>
      </w:r>
    </w:p>
    <w:p w:rsidR="00916DF8" w:rsidRDefault="003909C1">
      <w:pPr>
        <w:pStyle w:val="Heading4"/>
      </w:pPr>
      <w:bookmarkStart w:id="756" w:name="_Toc263408371"/>
      <w:r>
        <w:t>17.5.3.6.3.1.1</w:t>
      </w:r>
      <w:r>
        <w:tab/>
        <w:t>Definition of Qualifying Auction Derating</w:t>
      </w:r>
      <w:bookmarkEnd w:id="756"/>
    </w:p>
    <w:p w:rsidR="00916DF8" w:rsidRDefault="003909C1">
      <w:pPr>
        <w:pStyle w:val="Bodypara"/>
      </w:pPr>
      <w:r>
        <w:t>A “</w:t>
      </w:r>
      <w:r>
        <w:rPr>
          <w:b/>
          <w:bCs/>
        </w:rPr>
        <w:t>Qualifying Auction Derating</w:t>
      </w:r>
      <w:r>
        <w:t xml:space="preserve">” (which term shall apply to stage 1 round </w:t>
      </w:r>
      <w:r>
        <w:rPr>
          <w:i/>
          <w:iCs/>
        </w:rPr>
        <w:t>n</w:t>
      </w:r>
      <w:r>
        <w:t xml:space="preserve"> of a 6-month sub-au</w:t>
      </w:r>
      <w:r>
        <w:t xml:space="preserve">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shall refer to a single Qualifying Auc</w:t>
      </w:r>
      <w:r>
        <w:t>tion Derating.</w:t>
      </w:r>
    </w:p>
    <w:p w:rsidR="00916DF8" w:rsidRDefault="003909C1">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constraint that, for a given constr</w:t>
      </w:r>
      <w:r>
        <w:t>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3909C1">
      <w:pPr>
        <w:spacing w:after="240"/>
      </w:pPr>
      <w:r>
        <w:t xml:space="preserve">For Reconfiguration Auction </w:t>
      </w:r>
      <w:r>
        <w:rPr>
          <w:i/>
          <w:iCs/>
        </w:rPr>
        <w:t>n</w:t>
      </w:r>
      <w:r>
        <w:t>:</w:t>
      </w:r>
    </w:p>
    <w:p w:rsidR="00916DF8" w:rsidRDefault="003909C1">
      <w:pPr>
        <w:pStyle w:val="romannumeralpara"/>
      </w:pPr>
      <w:r>
        <w:t>(i)</w:t>
      </w:r>
      <w:r>
        <w:tab/>
        <w:t xml:space="preserve">the constraint has a lower rating in Reconfiguration Auction </w:t>
      </w:r>
      <w:r>
        <w:rPr>
          <w:i/>
          <w:iCs/>
        </w:rPr>
        <w:t>n</w:t>
      </w:r>
      <w:r>
        <w:t xml:space="preserve"> than it would have if all transmission facilities we</w:t>
      </w:r>
      <w:r>
        <w:t xml:space="preserve">re modeled as in-service in Reconfiguration Auction </w:t>
      </w:r>
      <w:r>
        <w:rPr>
          <w:i/>
          <w:iCs/>
        </w:rPr>
        <w:t>n</w:t>
      </w:r>
      <w:r>
        <w:t>;</w:t>
      </w:r>
    </w:p>
    <w:p w:rsidR="00916DF8" w:rsidRDefault="003909C1">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Reconfiguration Auction </w:t>
      </w:r>
      <w:r>
        <w:rPr>
          <w:i/>
          <w:iCs/>
        </w:rPr>
        <w:t>n</w:t>
      </w:r>
      <w:r>
        <w:t>;</w:t>
      </w:r>
    </w:p>
    <w:p w:rsidR="00916DF8" w:rsidRDefault="003909C1">
      <w:pPr>
        <w:pStyle w:val="romannumeralpara"/>
      </w:pPr>
      <w:r>
        <w:t>(iii)</w:t>
      </w:r>
      <w:r>
        <w:tab/>
        <w:t>the lower rati</w:t>
      </w:r>
      <w:r>
        <w:t xml:space="preserve">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w:t>
      </w:r>
      <w:r>
        <w:t xml:space="preserve">n </w:t>
      </w:r>
      <w:r>
        <w:rPr>
          <w:i/>
          <w:iCs/>
        </w:rPr>
        <w:t>n</w:t>
      </w:r>
      <w:r>
        <w:t>;</w:t>
      </w:r>
    </w:p>
    <w:p w:rsidR="00916DF8" w:rsidRDefault="003909C1">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3909C1">
      <w:pPr>
        <w:pStyle w:val="romannumeralpara"/>
      </w:pPr>
      <w:r>
        <w:t>(v)</w:t>
      </w:r>
      <w:r>
        <w:tab/>
        <w:t xml:space="preserve">the constraint was binding in Reconfiguration Auction </w:t>
      </w:r>
      <w:r>
        <w:rPr>
          <w:i/>
          <w:iCs/>
        </w:rPr>
        <w:t>n</w:t>
      </w:r>
      <w:r>
        <w:t>.</w:t>
      </w:r>
    </w:p>
    <w:p w:rsidR="00916DF8" w:rsidRDefault="003909C1">
      <w:pPr>
        <w:pStyle w:val="Bodypara"/>
      </w:pPr>
      <w:r>
        <w:t xml:space="preserve">For stage 1 round </w:t>
      </w:r>
      <w:r>
        <w:rPr>
          <w:i/>
          <w:iCs/>
        </w:rPr>
        <w:t>n</w:t>
      </w:r>
      <w:r>
        <w:t xml:space="preserve"> of a 6-month sub-auction:</w:t>
      </w:r>
    </w:p>
    <w:p w:rsidR="00916DF8" w:rsidRDefault="003909C1">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3909C1">
      <w:pPr>
        <w:pStyle w:val="romannumeralpara"/>
      </w:pPr>
      <w:r>
        <w:t>(ii)</w:t>
      </w:r>
      <w:r>
        <w:tab/>
        <w:t>this lower rating is the result of an Actual Qualifying Auctio</w:t>
      </w:r>
      <w:r>
        <w:t xml:space="preserve">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3909C1">
      <w:pPr>
        <w:pStyle w:val="romannumeralpara"/>
      </w:pPr>
      <w:r>
        <w:t>(iii)</w:t>
      </w:r>
      <w:r>
        <w:tab/>
        <w:t xml:space="preserve">this lower rating is included in the Centralized TCC Auction Interface Uprate/Derate Table in effect for stage 1 round </w:t>
      </w:r>
      <w:r>
        <w:rPr>
          <w:i/>
          <w:iCs/>
        </w:rPr>
        <w:t>n</w:t>
      </w:r>
      <w:r>
        <w:t xml:space="preserve"> of the 6-month sub-au</w:t>
      </w:r>
      <w:r>
        <w:t>ction; and</w:t>
      </w:r>
    </w:p>
    <w:p w:rsidR="00916DF8" w:rsidRDefault="003909C1">
      <w:pPr>
        <w:pStyle w:val="romannumeralpara"/>
      </w:pPr>
      <w:r>
        <w:t xml:space="preserve"> (iv)</w:t>
      </w:r>
      <w:r>
        <w:tab/>
        <w:t xml:space="preserve">the constraint is binding in stage 1 round </w:t>
      </w:r>
      <w:r>
        <w:rPr>
          <w:i/>
          <w:iCs/>
        </w:rPr>
        <w:t>n</w:t>
      </w:r>
      <w:r>
        <w:t xml:space="preserve"> of the 6-month sub-auction.</w:t>
      </w:r>
    </w:p>
    <w:p w:rsidR="00916DF8" w:rsidRDefault="003909C1">
      <w:pPr>
        <w:pStyle w:val="Bodypara"/>
      </w:pPr>
      <w:r>
        <w:t>A “</w:t>
      </w:r>
      <w:r>
        <w:rPr>
          <w:b/>
        </w:rPr>
        <w:t>Deemed</w:t>
      </w:r>
      <w:r>
        <w:rPr>
          <w:b/>
          <w:bCs/>
        </w:rPr>
        <w:t xml:space="preserve"> Qualifying Auction Derating</w:t>
      </w:r>
      <w:r>
        <w:t xml:space="preserve">” (which term shall apply to Reconfiguration Auction </w:t>
      </w:r>
      <w:r>
        <w:rPr>
          <w:i/>
          <w:iCs/>
        </w:rPr>
        <w:t>n</w:t>
      </w:r>
      <w:r>
        <w:t>) shall be defined as a change in the rating of a constraint that, for a gi</w:t>
      </w:r>
      <w:r>
        <w:t>ven constraint</w:t>
      </w:r>
      <w:r>
        <w:rPr>
          <w:i/>
        </w:rPr>
        <w:t xml:space="preserve"> a</w:t>
      </w:r>
      <w:r>
        <w:t xml:space="preserve"> and a given Reconfiguration Auction </w:t>
      </w:r>
      <w:r>
        <w:rPr>
          <w:i/>
          <w:iCs/>
        </w:rPr>
        <w:t>n</w:t>
      </w:r>
      <w:r>
        <w:t xml:space="preserve"> meets each of the following requirements:</w:t>
      </w:r>
    </w:p>
    <w:p w:rsidR="00916DF8" w:rsidRDefault="003909C1">
      <w:pPr>
        <w:pStyle w:val="romannumeralpara"/>
      </w:pPr>
      <w:r>
        <w:t>(i)</w:t>
      </w:r>
      <w:r>
        <w:tab/>
        <w:t xml:space="preserve">the constraint has a lower rating in Reconfiguration Auction </w:t>
      </w:r>
      <w:r>
        <w:rPr>
          <w:i/>
          <w:iCs/>
        </w:rPr>
        <w:t>n</w:t>
      </w:r>
      <w:r>
        <w:t xml:space="preserve"> than it would have if all transmission facilities were modeled as in-service in Reconfigurat</w:t>
      </w:r>
      <w:r>
        <w:t xml:space="preserve">ion Auction </w:t>
      </w:r>
      <w:r>
        <w:rPr>
          <w:i/>
          <w:iCs/>
        </w:rPr>
        <w:t>n</w:t>
      </w:r>
      <w:r>
        <w:t>;</w:t>
      </w:r>
    </w:p>
    <w:p w:rsidR="00916DF8" w:rsidRDefault="003909C1">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3909C1">
      <w:pPr>
        <w:pStyle w:val="romannumeralpara"/>
      </w:pPr>
      <w:r>
        <w:t>(iii)</w:t>
      </w:r>
      <w:r>
        <w:tab/>
        <w:t>this lower rating resulting from Deemed Qualifying Auction</w:t>
      </w:r>
      <w:r>
        <w:t xml:space="preserve">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xml:space="preserve">, but responsibility for Qualifying Auction </w:t>
      </w:r>
      <w:r>
        <w:t xml:space="preserve">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Transmission Owner pursuant to Section </w:t>
      </w:r>
      <w:r>
        <w:t xml:space="preserve">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3909C1">
      <w:pPr>
        <w:pStyle w:val="romannumeralpara"/>
      </w:pPr>
      <w:r>
        <w:t>(iv)</w:t>
      </w:r>
      <w:r>
        <w:tab/>
      </w:r>
      <w:r>
        <w:t xml:space="preserve">this lower rating is included in the Reconfiguration Auction Interface Uprate/Derate Table in effect for Reconfiguration Auction </w:t>
      </w:r>
      <w:r>
        <w:rPr>
          <w:i/>
          <w:iCs/>
        </w:rPr>
        <w:t>n</w:t>
      </w:r>
      <w:r>
        <w:t>; and</w:t>
      </w:r>
    </w:p>
    <w:p w:rsidR="00916DF8" w:rsidRDefault="003909C1">
      <w:pPr>
        <w:pStyle w:val="romannumeralpara"/>
      </w:pPr>
      <w:r>
        <w:t>(v)</w:t>
      </w:r>
      <w:r>
        <w:tab/>
        <w:t xml:space="preserve">the constraint is binding in Reconfiguration Auction </w:t>
      </w:r>
      <w:r>
        <w:rPr>
          <w:i/>
          <w:iCs/>
        </w:rPr>
        <w:t>n</w:t>
      </w:r>
      <w:r>
        <w:t>.</w:t>
      </w:r>
    </w:p>
    <w:p w:rsidR="00916DF8" w:rsidRDefault="003909C1">
      <w:pPr>
        <w:pStyle w:val="Heading4"/>
      </w:pPr>
      <w:bookmarkStart w:id="757" w:name="_Toc263408372"/>
      <w:r>
        <w:t>17.5.3.6.3.1.2</w:t>
      </w:r>
      <w:r>
        <w:tab/>
        <w:t>Definition of Qualifying Auction Uprating</w:t>
      </w:r>
      <w:bookmarkEnd w:id="757"/>
    </w:p>
    <w:p w:rsidR="00916DF8" w:rsidRDefault="003909C1">
      <w:pPr>
        <w:pStyle w:val="Bodypara"/>
      </w:pPr>
      <w:r>
        <w:t>A “</w:t>
      </w:r>
      <w:r>
        <w:rPr>
          <w:b/>
          <w:bCs/>
        </w:rPr>
        <w:t>Qualifying Auction Uprating</w:t>
      </w:r>
      <w:r>
        <w:t>” shall be defined to mean either an Actual Qualifying Auction Uprating or a Deemed Qualifying Auction Uprating.  For purposes of this Part 17.5 of this Attachment B, “</w:t>
      </w:r>
      <w:r>
        <w:rPr>
          <w:i/>
          <w:iCs/>
        </w:rPr>
        <w:t>r</w:t>
      </w:r>
      <w:r>
        <w:t>” shall refer to a single Qualifying Auction Uprating.</w:t>
      </w:r>
    </w:p>
    <w:p w:rsidR="00916DF8" w:rsidRDefault="003909C1">
      <w:pPr>
        <w:pStyle w:val="Bodypara"/>
      </w:pPr>
      <w:r>
        <w:t>An “</w:t>
      </w:r>
      <w:r>
        <w:rPr>
          <w:b/>
          <w:bCs/>
        </w:rPr>
        <w:t>A</w:t>
      </w:r>
      <w:r>
        <w:rPr>
          <w:b/>
          <w:bCs/>
        </w:rPr>
        <w:t>ctual Qualifying Auction Uprating</w:t>
      </w:r>
      <w:r>
        <w:t>” shall be defined as a 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3909C1">
      <w:pPr>
        <w:pStyle w:val="romannumeralpara"/>
      </w:pPr>
      <w:r>
        <w:t>(i)</w:t>
      </w:r>
      <w:r>
        <w:tab/>
      </w:r>
      <w:r>
        <w:t xml:space="preserve">the constraint has a higher rating for Reconfiguration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3909C1">
      <w:pPr>
        <w:pStyle w:val="romannumeralpara"/>
      </w:pPr>
      <w:r>
        <w:t>(ii)</w:t>
      </w:r>
      <w:r>
        <w:tab/>
        <w:t>this higher rating resulting from Actual Q</w:t>
      </w:r>
      <w:r>
        <w:t xml:space="preserve">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3909C1">
      <w:pPr>
        <w:pStyle w:val="romannumeralpara"/>
      </w:pPr>
      <w:r>
        <w:t>(iii)</w:t>
      </w:r>
      <w:r>
        <w:tab/>
        <w:t>this higher rat</w:t>
      </w:r>
      <w:r>
        <w:t xml:space="preserve">ing is included in the Reconfiguration Auction Interface Uprate/Derate Table in effect for Reconfiguration Auction </w:t>
      </w:r>
      <w:r>
        <w:rPr>
          <w:i/>
          <w:iCs/>
        </w:rPr>
        <w:t>n</w:t>
      </w:r>
      <w:r>
        <w:t>; and</w:t>
      </w:r>
    </w:p>
    <w:p w:rsidR="00916DF8" w:rsidRDefault="003909C1">
      <w:pPr>
        <w:pStyle w:val="romannumeralpara"/>
      </w:pPr>
      <w:r>
        <w:t>(iv)</w:t>
      </w:r>
      <w:r>
        <w:tab/>
        <w:t xml:space="preserve">the constraint is binding in Reconfiguration Auction </w:t>
      </w:r>
      <w:r>
        <w:rPr>
          <w:i/>
          <w:iCs/>
        </w:rPr>
        <w:t>n</w:t>
      </w:r>
      <w:r>
        <w:t>.</w:t>
      </w:r>
    </w:p>
    <w:p w:rsidR="00916DF8" w:rsidRDefault="003909C1">
      <w:pPr>
        <w:pStyle w:val="Bodypara"/>
      </w:pPr>
      <w:r>
        <w:t xml:space="preserve">Notwithstanding any other provision of this Part 17.5 of this Attachment </w:t>
      </w:r>
      <w:r>
        <w:t>B, a transmission facility uprating for a stage 1 round of a 6-month sub-auction shall not be a Qualifying Auction Uprating and shall not qualify a Transmission Owner for a U/D Auction Revenue Shortfall Charge or U/D Auction Revenue Surplus Payment.</w:t>
      </w:r>
    </w:p>
    <w:p w:rsidR="00916DF8" w:rsidRDefault="003909C1">
      <w:pPr>
        <w:pStyle w:val="Bodypara"/>
      </w:pPr>
      <w:r>
        <w:t>A “</w:t>
      </w:r>
      <w:r>
        <w:rPr>
          <w:b/>
          <w:bCs/>
        </w:rPr>
        <w:t>Dee</w:t>
      </w:r>
      <w:r>
        <w:rPr>
          <w:b/>
          <w:bCs/>
        </w:rPr>
        <w:t>med Qualifying Auction Uprating</w:t>
      </w:r>
      <w:r>
        <w:t>” shall be defined as a change in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3909C1">
      <w:pPr>
        <w:pStyle w:val="romannumeralpara"/>
      </w:pPr>
      <w:r>
        <w:t>(i)</w:t>
      </w:r>
      <w:r>
        <w:tab/>
        <w:t xml:space="preserve">the constraint has a lower rating </w:t>
      </w:r>
      <w:r>
        <w:t xml:space="preserve">in Reconfiguration Auction </w:t>
      </w:r>
      <w:r>
        <w:rPr>
          <w:i/>
          <w:iCs/>
        </w:rPr>
        <w:t>n</w:t>
      </w:r>
      <w:r>
        <w:t xml:space="preserve"> than it would have if all transmission facilities were modeled as in-service in Reconfiguration Auction </w:t>
      </w:r>
      <w:r>
        <w:rPr>
          <w:i/>
          <w:iCs/>
        </w:rPr>
        <w:t>n</w:t>
      </w:r>
      <w:r>
        <w:t>;</w:t>
      </w:r>
    </w:p>
    <w:p w:rsidR="00916DF8" w:rsidRDefault="003909C1">
      <w:pPr>
        <w:pStyle w:val="romannumeralpara"/>
      </w:pPr>
      <w:r>
        <w:t>(ii)</w:t>
      </w:r>
      <w:r>
        <w:tab/>
        <w:t xml:space="preserve">this lower rating is in whole or in part the result of a Deemed Qualifying Auction Outage </w:t>
      </w:r>
      <w:r>
        <w:rPr>
          <w:i/>
          <w:iCs/>
        </w:rPr>
        <w:t>o</w:t>
      </w:r>
      <w:r>
        <w:t xml:space="preserve"> or Deemed Qualifying Au</w:t>
      </w:r>
      <w:r>
        <w:t xml:space="preserve">ction Return-to-Service </w:t>
      </w:r>
      <w:r>
        <w:rPr>
          <w:i/>
          <w:iCs/>
        </w:rPr>
        <w:t>o</w:t>
      </w:r>
      <w:r>
        <w:t xml:space="preserve"> for Reconfiguration Auction </w:t>
      </w:r>
      <w:r>
        <w:rPr>
          <w:i/>
          <w:iCs/>
        </w:rPr>
        <w:t>n</w:t>
      </w:r>
      <w:r>
        <w:t>;</w:t>
      </w:r>
    </w:p>
    <w:p w:rsidR="00916DF8" w:rsidRDefault="003909C1">
      <w:pPr>
        <w:pStyle w:val="romannumeralpara"/>
      </w:pPr>
      <w:r>
        <w:t>(iii)</w:t>
      </w:r>
      <w:r>
        <w:tab/>
        <w:t xml:space="preserve">this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w:t>
      </w:r>
      <w:r>
        <w:t xml:space="preserve">ld for TCCs valid during the month corresponding to Reconfiguration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w:t>
      </w:r>
      <w:r>
        <w:t xml:space="preserve">Section 17.5.3.6.4 to a Transmission Owner (including the ISO when it is deemed a Transmission Owner pursuant to Section 17.5.3.6.4) other than the Transmission Owner responsible for the lower rating in the last auction held for TCCs valid for hour </w:t>
      </w:r>
      <w:r>
        <w:rPr>
          <w:i/>
          <w:iCs/>
        </w:rPr>
        <w:t>h</w:t>
      </w:r>
      <w:r>
        <w:t>;</w:t>
      </w:r>
    </w:p>
    <w:p w:rsidR="00916DF8" w:rsidRDefault="003909C1">
      <w:pPr>
        <w:pStyle w:val="romannumeralpara"/>
      </w:pPr>
      <w:r>
        <w:t>(iv)</w:t>
      </w:r>
      <w:r>
        <w:tab/>
        <w:t xml:space="preserve">this lower rating in Reconfiguration Auction </w:t>
      </w:r>
      <w:r>
        <w:rPr>
          <w:i/>
          <w:iCs/>
        </w:rPr>
        <w:t>n</w:t>
      </w:r>
      <w:r>
        <w:t xml:space="preserve"> is included in the Reconfiguration Auction Interface Uprate/Derate Table in effect for Reconfiguration Auction </w:t>
      </w:r>
      <w:r>
        <w:rPr>
          <w:i/>
          <w:iCs/>
        </w:rPr>
        <w:t>n</w:t>
      </w:r>
      <w:r>
        <w:t xml:space="preserve">; and </w:t>
      </w:r>
    </w:p>
    <w:p w:rsidR="00916DF8" w:rsidRDefault="003909C1">
      <w:pPr>
        <w:pStyle w:val="romannumeralpara"/>
      </w:pPr>
      <w:r>
        <w:t>(v)</w:t>
      </w:r>
      <w:r>
        <w:tab/>
        <w:t xml:space="preserve">the constraint is binding in Reconfiguration Auction </w:t>
      </w:r>
      <w:r>
        <w:rPr>
          <w:i/>
          <w:iCs/>
        </w:rPr>
        <w:t>n</w:t>
      </w:r>
      <w:r>
        <w:t>.</w:t>
      </w:r>
    </w:p>
    <w:p w:rsidR="00916DF8" w:rsidRDefault="003909C1">
      <w:pPr>
        <w:pStyle w:val="Heading4"/>
        <w:rPr>
          <w:rFonts w:eastAsia="Arial Unicode MS"/>
        </w:rPr>
      </w:pPr>
      <w:bookmarkStart w:id="758" w:name="_Toc115547782"/>
      <w:bookmarkStart w:id="759" w:name="_Ref115560551"/>
      <w:bookmarkStart w:id="760" w:name="_Toc115574895"/>
      <w:bookmarkStart w:id="761" w:name="_Toc115774020"/>
      <w:bookmarkStart w:id="762" w:name="_Toc115840261"/>
      <w:bookmarkStart w:id="763" w:name="_Toc115840465"/>
      <w:bookmarkStart w:id="764" w:name="_Toc115840657"/>
      <w:bookmarkStart w:id="765" w:name="_Toc115845858"/>
      <w:bookmarkStart w:id="766" w:name="_Toc115846395"/>
      <w:bookmarkStart w:id="767" w:name="_Toc115846659"/>
      <w:bookmarkStart w:id="768" w:name="_Toc115847093"/>
      <w:bookmarkStart w:id="769" w:name="_Toc115847352"/>
      <w:bookmarkStart w:id="770" w:name="_Toc116195356"/>
      <w:bookmarkStart w:id="771" w:name="_Toc116196623"/>
      <w:bookmarkStart w:id="772" w:name="_Toc116196800"/>
      <w:bookmarkStart w:id="773" w:name="_Toc116197287"/>
      <w:bookmarkStart w:id="774" w:name="_Toc119143742"/>
      <w:bookmarkStart w:id="775" w:name="_Toc124754758"/>
      <w:bookmarkStart w:id="776" w:name="_Toc124858916"/>
      <w:bookmarkStart w:id="777" w:name="_Toc124859022"/>
      <w:bookmarkStart w:id="778" w:name="_Toc124908537"/>
      <w:bookmarkStart w:id="779" w:name="_Toc124908638"/>
      <w:bookmarkStart w:id="780" w:name="_Toc124909409"/>
      <w:bookmarkStart w:id="781" w:name="_Toc124909513"/>
      <w:bookmarkStart w:id="782" w:name="_Toc125885654"/>
      <w:bookmarkStart w:id="783" w:name="_Toc263408373"/>
      <w:r>
        <w:t>17.5.</w:t>
      </w:r>
      <w:r>
        <w:rPr>
          <w:rFonts w:eastAsia="Arial Unicode MS"/>
        </w:rPr>
        <w:t>3.6.3.2</w:t>
      </w:r>
      <w:r>
        <w:rPr>
          <w:rFonts w:eastAsia="Arial Unicode MS"/>
        </w:rPr>
        <w:tab/>
      </w:r>
      <w:r>
        <w:t>Allocation of U/</w:t>
      </w:r>
      <w:r>
        <w:t>D Auction Constraint Residuals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916DF8" w:rsidRDefault="003909C1">
      <w:pPr>
        <w:pStyle w:val="Bodypara"/>
      </w:pPr>
      <w:r>
        <w:t>This Section 17.5.3.6.3.2 describes the allocation of U/D Auction Constraint Residuals to Qualifying Auction Deratings and Qualifying Auction Upratings.</w:t>
      </w:r>
    </w:p>
    <w:p w:rsidR="00916DF8" w:rsidRDefault="003909C1">
      <w:pPr>
        <w:pStyle w:val="Bodypara"/>
      </w:pPr>
      <w:r>
        <w:t>When there are Qualifying Auction Deratings or Qualifying Auction Uprati</w:t>
      </w:r>
      <w:r>
        <w:t xml:space="preserve">ngs in Reconfiguration Auction </w:t>
      </w:r>
      <w:r>
        <w:rPr>
          <w:i/>
        </w:rPr>
        <w:t>n</w:t>
      </w:r>
      <w:r>
        <w:t xml:space="preserve"> or stage 1 round </w:t>
      </w:r>
      <w:r>
        <w:rPr>
          <w:i/>
        </w:rPr>
        <w:t>n</w:t>
      </w:r>
      <w:r>
        <w:t xml:space="preserve"> of a 6-month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 xml:space="preserve">U/D Auction Revenue Surplus </w:t>
      </w:r>
      <w:r>
        <w:t>Payment, U/D ARSP</w:t>
      </w:r>
      <w:r>
        <w:rPr>
          <w:vertAlign w:val="subscript"/>
        </w:rPr>
        <w:t>a,t,n</w:t>
      </w:r>
      <w:r>
        <w:t>,</w:t>
      </w:r>
      <w:r>
        <w:rPr>
          <w:i/>
        </w:rPr>
        <w:t xml:space="preserve"> </w:t>
      </w:r>
      <w:r>
        <w:t xml:space="preserve">by first determining the net 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w:t>
      </w:r>
      <w:r>
        <w:t xml:space="preserve">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w:t>
      </w:r>
      <w:r>
        <w:t>ts.</w:t>
      </w:r>
    </w:p>
    <w:p w:rsidR="00916DF8" w:rsidRDefault="003909C1">
      <w:pPr>
        <w:pStyle w:val="FormulaCaption"/>
      </w:pPr>
      <w:bookmarkStart w:id="784" w:name="_Ref115561669"/>
      <w:r>
        <w:t>Formula B-24</w:t>
      </w:r>
    </w:p>
    <w:p w:rsidR="007B7CD0" w:rsidRPr="007B7CD0" w:rsidRDefault="00C476D8" w:rsidP="007B7CD0">
      <w:pPr>
        <w:widowControl w:val="0"/>
        <w:rPr>
          <w:snapToGrid w:val="0"/>
          <w:sz w:val="22"/>
          <w:szCs w:val="20"/>
        </w:rPr>
      </w:pPr>
      <m:oMathPara>
        <m:oMath>
          <w:bookmarkEnd w:id="784"/>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3909C1">
      <w:pPr>
        <w:spacing w:after="120"/>
      </w:pPr>
    </w:p>
    <w:p w:rsidR="00916DF8" w:rsidRDefault="003909C1">
      <w:pPr>
        <w:spacing w:after="120"/>
      </w:pPr>
      <w:r>
        <w:t>Wher</w:t>
      </w:r>
      <w:r>
        <w:rPr>
          <w:rStyle w:val="BodyparaChar"/>
        </w:rPr>
        <w:t>e,</w:t>
      </w:r>
    </w:p>
    <w:p w:rsidR="00916DF8" w:rsidRDefault="003909C1"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w:t>
      </w:r>
      <w:r>
        <w:t xml:space="preserve">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w:t>
      </w:r>
      <w:r>
        <w:t>ubject to recalculation as specified in the paragraph immediately following this Formula B-24</w:t>
      </w:r>
    </w:p>
    <w:p w:rsidR="00916DF8" w:rsidRDefault="003909C1">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3909C1">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w:t>
      </w:r>
      <w:r>
        <w:t>a 6-month sub-auction resulting from a Deemed Qualifying Auction Outage or Deemed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 effect for Reconfiguration Auction </w:t>
      </w:r>
      <w:r>
        <w:rPr>
          <w:i/>
          <w:iCs/>
        </w:rPr>
        <w:t>n</w:t>
      </w:r>
      <w:r>
        <w:t xml:space="preserve">, and which in the case of stage 1 round </w:t>
      </w:r>
      <w:r>
        <w:rPr>
          <w:i/>
          <w:iCs/>
        </w:rPr>
        <w:t>n</w:t>
      </w:r>
      <w:r>
        <w:t xml:space="preserve"> of a 6-month sub-auction shall be as shown in the Centralized TCC Auction Interface Uprate/Der</w:t>
      </w:r>
      <w:r>
        <w:t xml:space="preserve">ate Table in effect for stage 1 round </w:t>
      </w:r>
      <w:r>
        <w:rPr>
          <w:i/>
          <w:iCs/>
        </w:rPr>
        <w:t>n</w:t>
      </w:r>
      <w:r>
        <w:t xml:space="preserve"> of a 6-month sub-auction; or</w:t>
      </w:r>
    </w:p>
    <w:p w:rsidR="00916DF8" w:rsidRDefault="003909C1">
      <w:pPr>
        <w:pStyle w:val="alphapara"/>
      </w:pPr>
      <w:r>
        <w:t>(b)</w:t>
      </w:r>
      <w:r>
        <w:tab/>
        <w:t xml:space="preserve">If Qualifying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w:t>
      </w:r>
      <w:r>
        <w: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an Actual Qualifying Auction Outage or Actual Qualifying Auction Return-to-Serv</w:t>
      </w:r>
      <w:r>
        <w:t>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 effect for Reconfiguration Aucti</w:t>
      </w:r>
      <w:r>
        <w:t xml:space="preserve">on n, and which in the case of stage 1 round n of a 6-month sub-auction shall be as shown in the Centralized TCC Auction Interface Uprate/Derate Table in effect for stage 1 round n of a 6-month sub-auction; </w:t>
      </w:r>
    </w:p>
    <w:p w:rsidR="00916DF8" w:rsidRDefault="003909C1">
      <w:pPr>
        <w:pStyle w:val="Bodypara"/>
      </w:pPr>
      <w:r>
        <w:rPr>
          <w:i/>
          <w:iCs/>
        </w:rPr>
        <w:t>provided, however</w:t>
      </w:r>
      <w:r>
        <w:t xml:space="preserve">, </w:t>
      </w:r>
      <w:r w:rsidRPr="00AC5DA7">
        <w:rPr>
          <w:i/>
        </w:rPr>
        <w:t>RatingChange</w:t>
      </w:r>
      <w:r w:rsidRPr="00AC5DA7">
        <w:rPr>
          <w:i/>
          <w:vertAlign w:val="subscript"/>
        </w:rPr>
        <w:t>a,n,r</w:t>
      </w:r>
      <w:r>
        <w:t xml:space="preserve"> shall be su</w:t>
      </w:r>
      <w:r>
        <w:t>bject to being set equal to zero as specified in the paragraph immediately following this Formula B-24</w:t>
      </w:r>
    </w:p>
    <w:p w:rsidR="00916DF8" w:rsidRDefault="003909C1">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or stage 1 r</w:t>
      </w:r>
      <w:r>
        <w:t xml:space="preserve">ound </w:t>
      </w:r>
      <w:r>
        <w:rPr>
          <w:i/>
        </w:rPr>
        <w:t>n</w:t>
      </w:r>
      <w:r>
        <w:t xml:space="preserve"> of a 6-month sub-auction</w:t>
      </w:r>
    </w:p>
    <w:p w:rsidR="00916DF8" w:rsidRDefault="003909C1">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 forth in Formula B-17.</w:t>
      </w:r>
    </w:p>
    <w:p w:rsidR="00916DF8" w:rsidRDefault="003909C1">
      <w:pPr>
        <w:pStyle w:val="Bodypara"/>
      </w:pPr>
      <w:r>
        <w:t>After calculating U/D NetAuctionImpact</w:t>
      </w:r>
      <w:r>
        <w:rPr>
          <w:vertAlign w:val="subscript"/>
        </w:rPr>
        <w:t>a,n</w:t>
      </w:r>
      <w:r>
        <w:t xml:space="preserve"> pursuant to Formula B-24, the ISO shall determine whether U/D NetAuctionImpact</w:t>
      </w:r>
      <w:r>
        <w:rPr>
          <w:vertAlign w:val="subscript"/>
        </w:rPr>
        <w:t>a,n</w:t>
      </w:r>
      <w:r>
        <w:t xml:space="preserve"> for </w:t>
      </w:r>
      <w:r>
        <w:t>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w:t>
      </w:r>
      <w:r>
        <w:t>(i) recalculate U/D NetAuctionImpact</w:t>
      </w:r>
      <w:r>
        <w:rPr>
          <w:vertAlign w:val="subscript"/>
        </w:rPr>
        <w:t>a,n</w:t>
      </w:r>
      <w:r>
        <w:t xml:space="preserve"> pursuant to Formula B-24 after setting equal 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recalculated U/</w:t>
      </w:r>
      <w:r>
        <w:t>D NetAuctionImpact</w:t>
      </w:r>
      <w:r>
        <w:rPr>
          <w:vertAlign w:val="subscript"/>
        </w:rPr>
        <w:t>a,n</w:t>
      </w:r>
      <w:r>
        <w:t xml:space="preserve"> and reset value of RatingChange</w:t>
      </w:r>
      <w:r>
        <w:rPr>
          <w:vertAlign w:val="subscript"/>
        </w:rPr>
        <w:t>a,n,r</w:t>
      </w:r>
      <w:r>
        <w:t xml:space="preserve"> to allocate U/D Auction Revenue Shortfall Charges and U/D Auction Revenue Surplus Payments pursuant to Formula B-25 or Formula B-26, as specified below.</w:t>
      </w:r>
    </w:p>
    <w:p w:rsidR="00916DF8" w:rsidRDefault="003909C1">
      <w:pPr>
        <w:pStyle w:val="Bodypara"/>
      </w:pPr>
      <w:r>
        <w:t>If the absolute value of the net impact (U/D</w:t>
      </w:r>
      <w:r>
        <w:t xml:space="preserve">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w:t>
      </w:r>
      <w:r>
        <w:t>h sub-auction as calculated using Formula B-24 (or recalculated pursuant to Formula B-24 using a reset value of RatingChange</w:t>
      </w:r>
      <w:r>
        <w:rPr>
          <w:vertAlign w:val="subscript"/>
        </w:rPr>
        <w:t xml:space="preserve">a,n,r </w:t>
      </w:r>
      <w:r>
        <w:t>as described in the prior paragraph) is greater than the absolute value of the U/D Auction Constraint Residual (U/D ACR</w:t>
      </w:r>
      <w:r>
        <w:rPr>
          <w:vertAlign w:val="subscript"/>
        </w:rPr>
        <w:t>a,n</w:t>
      </w:r>
      <w:r>
        <w:t>) fo</w:t>
      </w:r>
      <w:r>
        <w:t>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sub-auction, as the case may be, then the ISO shall allocate the U/D Auction Constraint Residual in the form of a U/D Auction Revenue Shortfall Charge, U/D ARSC</w:t>
      </w:r>
      <w:r>
        <w:rPr>
          <w:vertAlign w:val="subscript"/>
        </w:rPr>
        <w:t>a,t,n</w:t>
      </w:r>
      <w:r>
        <w:t>,</w:t>
      </w:r>
      <w:r>
        <w:rPr>
          <w:i/>
        </w:rPr>
        <w:t xml:space="preserve"> </w:t>
      </w:r>
      <w:r>
        <w:t>or U/D Auctio</w:t>
      </w:r>
      <w:r>
        <w:t>n Revenue Surplus Payment, U/D ARSP</w:t>
      </w:r>
      <w:r>
        <w:rPr>
          <w:vertAlign w:val="subscript"/>
        </w:rPr>
        <w:t>a,t,n</w:t>
      </w:r>
      <w:r>
        <w:t>,</w:t>
      </w:r>
      <w:r>
        <w:rPr>
          <w:i/>
        </w:rPr>
        <w:t xml:space="preserve"> </w:t>
      </w:r>
      <w:r>
        <w:t>by using Formula B-25.  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w:t>
      </w:r>
      <w:r>
        <w:t>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B-24 using a reset value of RatingChange</w:t>
      </w:r>
      <w:r>
        <w:rPr>
          <w:vertAlign w:val="subscript"/>
        </w:rPr>
        <w:t xml:space="preserve">a,n,r </w:t>
      </w:r>
      <w:r>
        <w:t xml:space="preserve">as described in </w:t>
      </w:r>
      <w:r>
        <w:t>the prior paragraph) is less than or equal to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shall allocate </w:t>
      </w:r>
      <w:r>
        <w:t>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C476D8">
      <w:pPr>
        <w:pStyle w:val="FormulaCaption"/>
      </w:pPr>
      <w:bookmarkStart w:id="785"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3909C1">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C476D8" w:rsidTr="006A52CB">
        <w:tc>
          <w:tcPr>
            <w:tcW w:w="2088" w:type="dxa"/>
            <w:vMerge w:val="restart"/>
            <w:vAlign w:val="center"/>
          </w:tcPr>
          <w:p w:rsidR="006A52CB" w:rsidRPr="006A52CB" w:rsidRDefault="00C476D8" w:rsidP="006A52CB">
            <w:pPr>
              <w:widowControl w:val="0"/>
              <w:jc w:val="center"/>
              <w:rPr>
                <w:snapToGrid w:val="0"/>
                <w:sz w:val="20"/>
                <w:szCs w:val="20"/>
              </w:rPr>
            </w:pPr>
            <m:oMathPara>
              <m:oMath>
                <w:bookmarkEnd w:id="785"/>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3909C1" w:rsidP="006A52CB">
            <w:pPr>
              <w:widowControl w:val="0"/>
              <w:jc w:val="center"/>
              <w:rPr>
                <w:snapToGrid w:val="0"/>
                <w:sz w:val="20"/>
                <w:szCs w:val="20"/>
              </w:rPr>
            </w:pPr>
          </w:p>
        </w:tc>
        <w:tc>
          <w:tcPr>
            <w:tcW w:w="4770" w:type="dxa"/>
          </w:tcPr>
          <w:p w:rsidR="006A52CB" w:rsidRPr="006A52CB" w:rsidRDefault="00C476D8"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3909C1" w:rsidP="006A52CB">
            <w:pPr>
              <w:widowControl w:val="0"/>
              <w:jc w:val="center"/>
              <w:rPr>
                <w:snapToGrid w:val="0"/>
                <w:sz w:val="20"/>
                <w:szCs w:val="20"/>
              </w:rPr>
            </w:pPr>
          </w:p>
        </w:tc>
        <w:tc>
          <w:tcPr>
            <w:tcW w:w="1350" w:type="dxa"/>
            <w:vMerge w:val="restart"/>
            <w:vAlign w:val="center"/>
          </w:tcPr>
          <w:p w:rsidR="006A52CB" w:rsidRPr="006A52CB" w:rsidRDefault="003909C1"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C476D8" w:rsidTr="006A52CB">
        <w:tc>
          <w:tcPr>
            <w:tcW w:w="2088" w:type="dxa"/>
            <w:vMerge/>
          </w:tcPr>
          <w:p w:rsidR="006A52CB" w:rsidRPr="006A52CB" w:rsidRDefault="003909C1" w:rsidP="006A52CB">
            <w:pPr>
              <w:widowControl w:val="0"/>
              <w:rPr>
                <w:snapToGrid w:val="0"/>
                <w:sz w:val="20"/>
                <w:szCs w:val="20"/>
              </w:rPr>
            </w:pPr>
          </w:p>
        </w:tc>
        <w:tc>
          <w:tcPr>
            <w:tcW w:w="270" w:type="dxa"/>
            <w:vMerge/>
          </w:tcPr>
          <w:p w:rsidR="006A52CB" w:rsidRPr="006A52CB" w:rsidRDefault="003909C1" w:rsidP="006A52CB">
            <w:pPr>
              <w:widowControl w:val="0"/>
              <w:rPr>
                <w:snapToGrid w:val="0"/>
                <w:sz w:val="20"/>
                <w:szCs w:val="20"/>
              </w:rPr>
            </w:pPr>
          </w:p>
        </w:tc>
        <w:tc>
          <w:tcPr>
            <w:tcW w:w="4770" w:type="dxa"/>
          </w:tcPr>
          <w:p w:rsidR="006A52CB" w:rsidRPr="006A52CB" w:rsidRDefault="00C476D8"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3909C1" w:rsidP="006A52CB">
            <w:pPr>
              <w:widowControl w:val="0"/>
              <w:jc w:val="center"/>
              <w:rPr>
                <w:snapToGrid w:val="0"/>
                <w:sz w:val="20"/>
                <w:szCs w:val="20"/>
              </w:rPr>
            </w:pPr>
          </w:p>
        </w:tc>
        <w:tc>
          <w:tcPr>
            <w:tcW w:w="1350" w:type="dxa"/>
            <w:vMerge/>
            <w:vAlign w:val="center"/>
          </w:tcPr>
          <w:p w:rsidR="006A52CB" w:rsidRPr="006A52CB" w:rsidRDefault="003909C1" w:rsidP="006A52CB">
            <w:pPr>
              <w:widowControl w:val="0"/>
              <w:jc w:val="center"/>
              <w:rPr>
                <w:snapToGrid w:val="0"/>
                <w:sz w:val="20"/>
                <w:szCs w:val="20"/>
              </w:rPr>
            </w:pPr>
          </w:p>
        </w:tc>
      </w:tr>
    </w:tbl>
    <w:p w:rsidR="002F0D4B" w:rsidRDefault="003909C1">
      <w:pPr>
        <w:spacing w:after="120"/>
      </w:pPr>
    </w:p>
    <w:p w:rsidR="00916DF8" w:rsidRDefault="003909C1">
      <w:pPr>
        <w:spacing w:after="120"/>
      </w:pPr>
      <w:r>
        <w:t>Where,</w:t>
      </w:r>
    </w:p>
    <w:p w:rsidR="00916DF8" w:rsidRDefault="003909C1">
      <w:pPr>
        <w:pStyle w:val="equationtext"/>
      </w:pPr>
      <w:r w:rsidRPr="00AB2E30">
        <w:rPr>
          <w:i/>
        </w:rPr>
        <w:t>U/D Allocation</w:t>
      </w:r>
      <w:r w:rsidRPr="00AB2E30">
        <w:rPr>
          <w:i/>
          <w:vertAlign w:val="subscript"/>
        </w:rPr>
        <w:t>a,t,n</w:t>
      </w:r>
      <w:r>
        <w:t xml:space="preserve"> </w:t>
      </w:r>
      <w:r>
        <w:t>=</w:t>
      </w:r>
      <w:r>
        <w:t xml:space="preserve">  </w:t>
      </w:r>
      <w:r>
        <w:t xml:space="preserve">Either a U/D Auction Revenue Shortfall Charge or a U/D Auction Revenue </w:t>
      </w:r>
      <w:r>
        <w:t>Surplus Payment, as specified in (a) and (b) below:</w:t>
      </w:r>
    </w:p>
    <w:p w:rsidR="00916DF8" w:rsidRDefault="003909C1">
      <w:pPr>
        <w:pStyle w:val="alphapara"/>
      </w:pPr>
      <w:r>
        <w:t xml:space="preserve">(a)  </w:t>
      </w:r>
      <w:r>
        <w:tab/>
        <w:t xml:space="preserve">If </w:t>
      </w:r>
      <w:r w:rsidRPr="00AB2E30">
        <w:rPr>
          <w:i/>
        </w:rPr>
        <w:t>U/D 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in Reconfigurati</w:t>
      </w:r>
      <w:r>
        <w:t xml:space="preserve">on Auction </w:t>
      </w:r>
      <w:r>
        <w:rPr>
          <w:i/>
        </w:rPr>
        <w:t>n</w:t>
      </w:r>
      <w:r>
        <w:t xml:space="preserve"> or stage 1 round </w:t>
      </w:r>
      <w:r>
        <w:rPr>
          <w:i/>
        </w:rPr>
        <w:t>n</w:t>
      </w:r>
      <w:r>
        <w:t xml:space="preserve"> of a 6-month sub-auction; or</w:t>
      </w:r>
    </w:p>
    <w:p w:rsidR="00916DF8" w:rsidRDefault="003909C1">
      <w:pPr>
        <w:pStyle w:val="alphapara"/>
      </w:pPr>
      <w:r>
        <w:t xml:space="preserve">(b)  </w:t>
      </w:r>
      <w:r>
        <w:tab/>
        <w:t xml:space="preserve">If </w:t>
      </w:r>
      <w:r w:rsidRPr="00AB2E30">
        <w:rPr>
          <w:i/>
        </w:rPr>
        <w:t>U/D Allocation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constraint</w:t>
      </w:r>
      <w:r>
        <w:rPr>
          <w:i/>
        </w:rPr>
        <w:t xml:space="preserve"> a</w:t>
      </w:r>
      <w:r>
        <w:t xml:space="preserve"> in Reconfig</w:t>
      </w:r>
      <w:r>
        <w:t xml:space="preserve">uration Auction </w:t>
      </w:r>
      <w:r>
        <w:rPr>
          <w:i/>
        </w:rPr>
        <w:t>n</w:t>
      </w:r>
      <w:r>
        <w:t xml:space="preserve"> or stage 1 round </w:t>
      </w:r>
      <w:r>
        <w:rPr>
          <w:i/>
        </w:rPr>
        <w:t>n</w:t>
      </w:r>
      <w:r>
        <w:t xml:space="preserve"> of a 6-month sub-auction</w:t>
      </w:r>
    </w:p>
    <w:p w:rsidR="00916DF8" w:rsidRDefault="003909C1">
      <w:pPr>
        <w:pStyle w:val="equationtext"/>
      </w:pPr>
      <w:r w:rsidRPr="00AB2E30">
        <w:rPr>
          <w:i/>
        </w:rPr>
        <w:t>Responsibility</w:t>
      </w:r>
      <w:r w:rsidRPr="00AB2E30">
        <w:rPr>
          <w:i/>
          <w:vertAlign w:val="subscript"/>
        </w:rPr>
        <w:t>n,q,r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Qualifying Auction Uprating </w:t>
      </w:r>
      <w:r>
        <w:rPr>
          <w:i/>
          <w:iCs/>
        </w:rPr>
        <w:t>r</w:t>
      </w:r>
      <w:r>
        <w:t xml:space="preserve"> in Reconfiguration Auction </w:t>
      </w:r>
      <w:r>
        <w:rPr>
          <w:i/>
        </w:rPr>
        <w:t>n</w:t>
      </w:r>
      <w:r>
        <w:t xml:space="preserve"> or stage 1 round </w:t>
      </w:r>
      <w:r>
        <w:rPr>
          <w:i/>
        </w:rPr>
        <w:t>n</w:t>
      </w:r>
      <w:r>
        <w:t xml:space="preserve"> of a </w:t>
      </w:r>
      <w:r>
        <w:t>6-month sub-auction, as determined pursuant to Section 17.5.3.6.4</w:t>
      </w:r>
    </w:p>
    <w:p w:rsidR="00916DF8" w:rsidRDefault="003909C1">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3909C1">
      <w:pPr>
        <w:pStyle w:val="FormulaCaption"/>
      </w:pPr>
      <w:bookmarkStart w:id="786" w:name="_Ref115561702"/>
      <w:r>
        <w:t>Formula B-26</w:t>
      </w:r>
    </w:p>
    <w:p w:rsidR="00007C14" w:rsidRPr="00007C14" w:rsidRDefault="00C476D8" w:rsidP="00007C14">
      <w:pPr>
        <w:widowControl w:val="0"/>
        <w:rPr>
          <w:snapToGrid w:val="0"/>
          <w:sz w:val="22"/>
          <w:szCs w:val="20"/>
        </w:rPr>
      </w:pPr>
      <m:oMathPara>
        <m:oMath>
          <w:bookmarkEnd w:id="786"/>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3909C1">
      <w:pPr>
        <w:keepNext/>
        <w:spacing w:after="120"/>
      </w:pPr>
    </w:p>
    <w:p w:rsidR="00916DF8" w:rsidRDefault="003909C1">
      <w:pPr>
        <w:keepNext/>
        <w:spacing w:after="120"/>
      </w:pPr>
      <w:r>
        <w:t>Where,</w:t>
      </w:r>
    </w:p>
    <w:p w:rsidR="00916DF8" w:rsidRDefault="003909C1">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3909C1">
      <w:pPr>
        <w:pStyle w:val="Heading4"/>
      </w:pPr>
      <w:bookmarkStart w:id="787" w:name="_Toc115547783"/>
      <w:bookmarkStart w:id="788" w:name="_Ref115557625"/>
      <w:bookmarkStart w:id="789" w:name="_Toc115574896"/>
      <w:bookmarkStart w:id="790" w:name="_Toc115774021"/>
      <w:bookmarkStart w:id="791" w:name="_Toc115840262"/>
      <w:bookmarkStart w:id="792" w:name="_Toc115840466"/>
      <w:bookmarkStart w:id="793" w:name="_Toc115840658"/>
      <w:bookmarkStart w:id="794" w:name="_Toc115845859"/>
      <w:bookmarkStart w:id="795" w:name="_Toc115846396"/>
      <w:bookmarkStart w:id="796" w:name="_Toc115846660"/>
      <w:bookmarkStart w:id="797" w:name="_Toc115847094"/>
      <w:bookmarkStart w:id="798" w:name="_Toc115847353"/>
      <w:bookmarkStart w:id="799" w:name="_Toc116195357"/>
      <w:bookmarkStart w:id="800" w:name="_Toc116196624"/>
      <w:bookmarkStart w:id="801" w:name="_Toc116196801"/>
      <w:bookmarkStart w:id="802" w:name="_Toc116197288"/>
      <w:bookmarkStart w:id="803" w:name="_Toc119143743"/>
      <w:bookmarkStart w:id="804" w:name="_Toc124754759"/>
      <w:bookmarkStart w:id="805" w:name="_Ref124847760"/>
      <w:bookmarkStart w:id="806" w:name="_Toc124858917"/>
      <w:bookmarkStart w:id="807" w:name="_Toc124859023"/>
      <w:bookmarkStart w:id="808" w:name="_Toc124908538"/>
      <w:bookmarkStart w:id="809" w:name="_Toc124908639"/>
      <w:bookmarkStart w:id="810" w:name="_Toc124909410"/>
      <w:bookmarkStart w:id="811" w:name="_Toc124909514"/>
      <w:bookmarkStart w:id="812" w:name="_Ref124955201"/>
      <w:bookmarkStart w:id="813" w:name="_Ref124972078"/>
      <w:bookmarkStart w:id="814" w:name="_Ref124972541"/>
      <w:bookmarkStart w:id="815" w:name="_Ref124974931"/>
      <w:bookmarkStart w:id="816" w:name="_Ref124975327"/>
      <w:bookmarkStart w:id="817" w:name="_Ref125297261"/>
      <w:bookmarkStart w:id="818" w:name="_Toc125885655"/>
      <w:bookmarkStart w:id="819" w:name="_Toc263408374"/>
      <w:r>
        <w:t>17.5.</w:t>
      </w:r>
      <w:r>
        <w:rPr>
          <w:rFonts w:eastAsia="Arial Unicode MS"/>
        </w:rPr>
        <w:t>3.6.4</w:t>
      </w:r>
      <w:r>
        <w:rPr>
          <w:rFonts w:eastAsia="Arial Unicode MS"/>
        </w:rPr>
        <w:tab/>
      </w:r>
      <w:r>
        <w:t>Assigning Responsibility for Outages, Returns-to-Service, Deratings, and Upratings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916DF8" w:rsidRDefault="003909C1">
      <w:pPr>
        <w:pStyle w:val="Heading4"/>
      </w:pPr>
      <w:bookmarkStart w:id="820" w:name="_Toc115547784"/>
      <w:bookmarkStart w:id="821" w:name="_Toc115574897"/>
      <w:bookmarkStart w:id="822" w:name="_Toc115774022"/>
      <w:bookmarkStart w:id="823" w:name="_Toc115840263"/>
      <w:bookmarkStart w:id="824" w:name="_Toc115840467"/>
      <w:bookmarkStart w:id="825" w:name="_Toc115840659"/>
      <w:bookmarkStart w:id="826" w:name="_Toc115845860"/>
      <w:bookmarkStart w:id="827" w:name="_Toc115846397"/>
      <w:bookmarkStart w:id="828" w:name="_Toc115846661"/>
      <w:bookmarkStart w:id="829" w:name="_Toc115847095"/>
      <w:bookmarkStart w:id="830" w:name="_Toc115847354"/>
      <w:bookmarkStart w:id="831" w:name="_Toc116195358"/>
      <w:bookmarkStart w:id="832" w:name="_Toc116196625"/>
      <w:bookmarkStart w:id="833" w:name="_Toc116196802"/>
      <w:bookmarkStart w:id="834" w:name="_Toc116197289"/>
      <w:bookmarkStart w:id="835" w:name="_Toc119143744"/>
      <w:bookmarkStart w:id="836" w:name="_Ref124680342"/>
      <w:bookmarkStart w:id="837" w:name="_Toc124754760"/>
      <w:bookmarkStart w:id="838" w:name="_Toc124858918"/>
      <w:bookmarkStart w:id="839" w:name="_Toc124859024"/>
      <w:bookmarkStart w:id="840" w:name="_Toc124908539"/>
      <w:bookmarkStart w:id="841" w:name="_Toc124908640"/>
      <w:bookmarkStart w:id="842" w:name="_Toc124909411"/>
      <w:bookmarkStart w:id="843" w:name="_Toc124909515"/>
      <w:bookmarkStart w:id="844" w:name="_Toc125885656"/>
      <w:bookmarkStart w:id="845" w:name="_Toc263408375"/>
      <w:r>
        <w:t>17.5.</w:t>
      </w:r>
      <w:r>
        <w:rPr>
          <w:rFonts w:eastAsia="Arial Unicode MS"/>
        </w:rPr>
        <w:t>3.6.4.1</w:t>
      </w:r>
      <w:r>
        <w:rPr>
          <w:rFonts w:eastAsia="Arial Unicode MS"/>
        </w:rPr>
        <w:tab/>
      </w:r>
      <w:r>
        <w:t>Genera</w:t>
      </w:r>
      <w:r>
        <w:t>l Rule</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t xml:space="preserve"> for Assigning Responsibility; Presumption of Causation</w:t>
      </w:r>
      <w:bookmarkEnd w:id="836"/>
      <w:bookmarkEnd w:id="837"/>
      <w:bookmarkEnd w:id="838"/>
      <w:bookmarkEnd w:id="839"/>
      <w:bookmarkEnd w:id="840"/>
      <w:bookmarkEnd w:id="841"/>
      <w:bookmarkEnd w:id="842"/>
      <w:bookmarkEnd w:id="843"/>
      <w:bookmarkEnd w:id="844"/>
      <w:bookmarkEnd w:id="845"/>
    </w:p>
    <w:p w:rsidR="00916DF8" w:rsidRDefault="003909C1">
      <w:pPr>
        <w:pStyle w:val="Bodypara"/>
      </w:pPr>
      <w:r>
        <w:t>Unless the special rules set forth in Sections 17.5.3.6.4.2 or 17.5.3.6.4.3 apply, a Transmission Owner shall for purposes of this Section 17.5.3.6 be deemed responsible for an Auction Status Ch</w:t>
      </w:r>
      <w:r>
        <w:t xml:space="preserve">ange to the extent that the Transmission Owner has caused the Auction Status Change by changing the in-service or out-of-service status of its transmission facility; </w:t>
      </w:r>
      <w:r>
        <w:rPr>
          <w:i/>
          <w:iCs/>
        </w:rPr>
        <w:t>provided, however</w:t>
      </w:r>
      <w:r>
        <w:t>, that where an Auction Status Change results from a change to the in-ser</w:t>
      </w:r>
      <w:r>
        <w:t xml:space="preserve">vice or out-of-service status of a transmission facility owned by more than one Transmission Owner, responsibility for such Auction Status Change shall be assigned to each owning Transmission Owner based on the percentage of the transmission facility that </w:t>
      </w:r>
      <w:r>
        <w:t xml:space="preserve">is owned by the Transmission Owner (as determined in accordance with Section 17.5.3.6.6.3) during the hour for which the DAM Status Change occurred.  For the sake of clarity, a Transmission Owner may, by changing the in-service or out-of-service status of </w:t>
      </w:r>
      <w:r>
        <w:t xml:space="preserve">its transmission facility, cause an Auction Status Change of another transmission facility if the Transmission Owner’s change in the in-service or out-of-service status of its transmission facility causes (directly or as a result of Good Utility Practice) </w:t>
      </w:r>
      <w:r>
        <w:t>a change in the in-service or out-of-service status of the other transmission facility.</w:t>
      </w:r>
    </w:p>
    <w:p w:rsidR="00916DF8" w:rsidRDefault="003909C1">
      <w:pPr>
        <w:pStyle w:val="Bodypara"/>
      </w:pPr>
      <w:bookmarkStart w:id="846" w:name="_Ref124681406"/>
      <w:r>
        <w:t>The Transmission Owner that owns a transmission facility that qualifies as an Auction Status Change shall be deemed to have caused the Auction Status Change of that tra</w:t>
      </w:r>
      <w:r>
        <w:t>nsmission facility unless (i) the Transmission Owner that owns the facility informs the ISO that another Transmission Owner caused the Auction Status Change or that responsibility is to be shared among Transmission Owners in accordance with Sections 17.5.3</w:t>
      </w:r>
      <w:r>
        <w:t>.6.4.2 or 17.5.3.6.4.3, and no party disputes such claim; (ii) in case of a dispute over the assignment of responsibility, the ISO determines a Transmission Owner other than the owner of the transmission facility caused the Auction Status Change or that re</w:t>
      </w:r>
      <w:r>
        <w:t>sponsibility is to be shared among Transmission Owners in accordance with Section 17.5.3.6.4.2 or Section 17.5.3.6.4.3; or (iii) FERC orders otherwise.</w:t>
      </w:r>
    </w:p>
    <w:p w:rsidR="00916DF8" w:rsidRDefault="003909C1">
      <w:pPr>
        <w:pStyle w:val="Heading4"/>
        <w:rPr>
          <w:rFonts w:eastAsia="Arial Unicode MS"/>
        </w:rPr>
      </w:pPr>
      <w:bookmarkStart w:id="847" w:name="_Ref124721394"/>
      <w:bookmarkStart w:id="848" w:name="_Toc124754761"/>
      <w:bookmarkStart w:id="849" w:name="_Toc124858919"/>
      <w:bookmarkStart w:id="850" w:name="_Toc124859025"/>
      <w:bookmarkStart w:id="851" w:name="_Toc124908540"/>
      <w:bookmarkStart w:id="852" w:name="_Toc124908641"/>
      <w:bookmarkStart w:id="853" w:name="_Toc124909412"/>
      <w:bookmarkStart w:id="854" w:name="_Toc124909516"/>
      <w:bookmarkStart w:id="855" w:name="_Toc125885657"/>
      <w:bookmarkStart w:id="856" w:name="_Toc263408376"/>
      <w:r>
        <w:t>17.5.</w:t>
      </w:r>
      <w:r>
        <w:rPr>
          <w:rFonts w:eastAsia="Arial Unicode MS"/>
        </w:rPr>
        <w:t>3.6.4.2</w:t>
      </w:r>
      <w:r>
        <w:rPr>
          <w:rFonts w:eastAsia="Arial Unicode MS"/>
        </w:rPr>
        <w:tab/>
      </w:r>
      <w:r>
        <w:t xml:space="preserve">Shared Responsibility for Outages, Returns-to-Service, and Ratings Changes Directed by the </w:t>
      </w:r>
      <w:r>
        <w:t>ISO or Caused by Facility Status Changes Directed by the ISO</w:t>
      </w:r>
      <w:bookmarkEnd w:id="846"/>
      <w:bookmarkEnd w:id="847"/>
      <w:bookmarkEnd w:id="848"/>
      <w:bookmarkEnd w:id="849"/>
      <w:bookmarkEnd w:id="850"/>
      <w:bookmarkEnd w:id="851"/>
      <w:bookmarkEnd w:id="852"/>
      <w:bookmarkEnd w:id="853"/>
      <w:bookmarkEnd w:id="854"/>
      <w:bookmarkEnd w:id="855"/>
      <w:bookmarkEnd w:id="856"/>
    </w:p>
    <w:p w:rsidR="00916DF8" w:rsidRDefault="003909C1">
      <w:pPr>
        <w:pStyle w:val="Bodypara"/>
      </w:pPr>
      <w:r>
        <w:t>A Transmission Owner shall not be responsible for any Auction Status Change that qualifies as an ISO-Directed Auction Status Change or Deemed ISO-Directed Auction Status Change.  Instead, the ISO</w:t>
      </w:r>
      <w:r>
        <w:t xml:space="preserve"> shall allocate any revenue impacts resulting from an Auction Status Change that qualifies as an ISO-Directed Auction Status Change or Deemed ISO-Directed Auction Status Change as part of Net Auction Revenues for stage 1 round </w:t>
      </w:r>
      <w:r>
        <w:rPr>
          <w:i/>
        </w:rPr>
        <w:t>n</w:t>
      </w:r>
      <w:r>
        <w:t xml:space="preserve"> of a 6-month sub-auction or</w:t>
      </w:r>
      <w:r>
        <w:t xml:space="preserve">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w:t>
      </w:r>
      <w:r>
        <w:t xml:space="preserve">ion Status Change or Deemed ISO-Directed Auction Status Change shall be attributed to the ISO when performing the calculations described in Section 17.5.3.6.2 and Section 17.5.3.6.3; </w:t>
      </w:r>
      <w:r>
        <w:rPr>
          <w:i/>
          <w:iCs/>
        </w:rPr>
        <w:t>provided, however</w:t>
      </w:r>
      <w:r>
        <w:t>, any O/R-t-S Auction Revenue Shortfall Charge, U/D Auct</w:t>
      </w:r>
      <w:r>
        <w:t>ion Revenue Shortfall Charge, O/R-t-S Auction Revenue Surplus Payment, or U/D Auction Revenue Surplus Payment allocable to the ISO pursuant to this Section 17.5.3.6.4.2 shall ultimately be allocated to the Transmission Owners as Net Auction Revenues pursua</w:t>
      </w:r>
      <w:r>
        <w:t>nt to Section 17.5.3.7.</w:t>
      </w:r>
    </w:p>
    <w:p w:rsidR="00916DF8" w:rsidRDefault="003909C1">
      <w:pPr>
        <w:pStyle w:val="Bodypara"/>
      </w:pPr>
      <w:r>
        <w:t>Responsibility for a Qualifying Auction Return-to-Service or Qualifying Auction Uprating that is directed by the ISO but does not qualify as a Deemed ISO-Directed Auction Status Change shall be assigned to the Transmission Owner tha</w:t>
      </w:r>
      <w:r>
        <w:t>t was responsible for the Qualifying Auction Outage or Qualifying Auction Derating in the last 6-month sub-auction held for TCCs valid during the month corresponding to the relevant Reconfiguration Auction.</w:t>
      </w:r>
    </w:p>
    <w:p w:rsidR="00916DF8" w:rsidRDefault="003909C1">
      <w:pPr>
        <w:pStyle w:val="Bodypara"/>
      </w:pPr>
      <w:r>
        <w:t>The ISO shall not direct that a transmission faci</w:t>
      </w:r>
      <w:r>
        <w:t>lity be modeled as in-service or out-of-service for purposes of a Reconfiguration Auction without the unanimous consent of the Transmission Owner(s), if any, that will be allocated a resulting O/R-t-S Auction Revenue Shortfall Charge, U/D Auction Revenue S</w:t>
      </w:r>
      <w:r>
        <w:t>hortfall Charge, O/R-t-S Auction Revenue Surplus Payment, or U/D Auction Revenue Surplus Payment in accordance with this Section 17.5.3.6.4.2.</w:t>
      </w:r>
    </w:p>
    <w:p w:rsidR="00916DF8" w:rsidRDefault="003909C1">
      <w:pPr>
        <w:pStyle w:val="Heading4"/>
        <w:rPr>
          <w:rFonts w:eastAsia="Arial Unicode MS"/>
        </w:rPr>
      </w:pPr>
      <w:bookmarkStart w:id="857" w:name="_Toc119143747"/>
      <w:bookmarkStart w:id="858" w:name="_Ref119146159"/>
      <w:bookmarkStart w:id="859" w:name="_Ref119146438"/>
      <w:bookmarkStart w:id="860" w:name="_Ref119146564"/>
      <w:bookmarkStart w:id="861" w:name="_Ref119147013"/>
      <w:bookmarkStart w:id="862" w:name="_Ref119147031"/>
      <w:bookmarkStart w:id="863" w:name="_Ref124680696"/>
      <w:bookmarkStart w:id="864" w:name="_Ref124681505"/>
      <w:bookmarkStart w:id="865" w:name="_Toc124754762"/>
      <w:bookmarkStart w:id="866" w:name="_Ref124847671"/>
      <w:bookmarkStart w:id="867" w:name="_Toc124858920"/>
      <w:bookmarkStart w:id="868" w:name="_Toc124859026"/>
      <w:bookmarkStart w:id="869" w:name="_Toc124908541"/>
      <w:bookmarkStart w:id="870" w:name="_Toc124908642"/>
      <w:bookmarkStart w:id="871" w:name="_Toc124909413"/>
      <w:bookmarkStart w:id="872" w:name="_Toc124909517"/>
      <w:bookmarkStart w:id="873" w:name="_Ref125297239"/>
      <w:bookmarkStart w:id="874" w:name="_Toc125885658"/>
      <w:bookmarkStart w:id="875" w:name="_Toc263408377"/>
      <w:r>
        <w:t>17.5.</w:t>
      </w:r>
      <w:r>
        <w:rPr>
          <w:rFonts w:eastAsia="Arial Unicode MS"/>
        </w:rPr>
        <w:t>3.6.4.3</w:t>
      </w:r>
      <w:r>
        <w:rPr>
          <w:rFonts w:eastAsia="Arial Unicode MS"/>
        </w:rPr>
        <w:tab/>
      </w:r>
      <w:r>
        <w:t>Shared Responsibility for External Events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916DF8" w:rsidRDefault="003909C1">
      <w:pPr>
        <w:pStyle w:val="Bodypara"/>
      </w:pPr>
      <w:bookmarkStart w:id="876" w:name="_Toc115547788"/>
      <w:bookmarkStart w:id="877" w:name="_Toc115574901"/>
      <w:bookmarkStart w:id="878" w:name="_Toc115774026"/>
      <w:bookmarkStart w:id="879" w:name="_Toc115840267"/>
      <w:bookmarkStart w:id="880" w:name="_Toc115840471"/>
      <w:bookmarkStart w:id="881" w:name="_Toc115840663"/>
      <w:bookmarkStart w:id="882" w:name="_Toc115845864"/>
      <w:bookmarkStart w:id="883" w:name="_Toc115846401"/>
      <w:bookmarkStart w:id="884" w:name="_Toc115846665"/>
      <w:bookmarkStart w:id="885" w:name="_Toc115847099"/>
      <w:bookmarkStart w:id="886" w:name="_Toc115847358"/>
      <w:bookmarkStart w:id="887" w:name="_Toc116195362"/>
      <w:bookmarkStart w:id="888" w:name="_Toc116196629"/>
      <w:bookmarkStart w:id="889" w:name="_Toc116196806"/>
      <w:bookmarkStart w:id="890" w:name="_Toc116197293"/>
      <w:r>
        <w:t>A Transmission Owner shall not be responsible for an Aucti</w:t>
      </w:r>
      <w:r>
        <w:t>on Status Change occurring inside the NYCA that is caused by a change in the in-service or out-of-service status or rating of a transmission facility located outside the NYCA.  Instead, the ISO shall allocate any revenue impacts resulting from an Auction S</w:t>
      </w:r>
      <w:r>
        <w:t xml:space="preserve">tatus Change caused by such an event outside the NYCA as part of Net Auction Revenues for stage 1 round </w:t>
      </w:r>
      <w:r>
        <w:rPr>
          <w:i/>
        </w:rPr>
        <w:t>n</w:t>
      </w:r>
      <w:r>
        <w:t xml:space="preserve"> of a 6-month sub-auction or Reconfiguration Auction </w:t>
      </w:r>
      <w:r>
        <w:rPr>
          <w:i/>
          <w:iCs/>
        </w:rPr>
        <w:t>n</w:t>
      </w:r>
      <w:r>
        <w:t xml:space="preserve">.  To do so, the ISO shall be treated as a Transmission Owner when allocating Auction Constraint </w:t>
      </w:r>
      <w:r>
        <w:t xml:space="preserve">Residuals pursuant to Section 17.5.3.6.2 and Section 17.5.3.6.3 and any Auction Status Change caused by such an event outside the NYCA shall be attributed to the ISO; </w:t>
      </w:r>
      <w:r>
        <w:rPr>
          <w:i/>
          <w:iCs/>
        </w:rPr>
        <w:t>provided, however</w:t>
      </w:r>
      <w:r>
        <w:t>, any O/R-t-S Auction Revenue Shortfall Charge, U/D Auction Revenue Shor</w:t>
      </w:r>
      <w:r>
        <w:t>tfall Charge, O/R-t-S Auction Revenue Surplus Payment, or U/D Auction Revenue Surplus Payment allocable to the ISO pursuant to this Section 17.5.3.6.4.3 shall ultimately be allocated to the Transmission Owners as Net Auction Revenues pursuant to Section 17</w:t>
      </w:r>
      <w:r>
        <w:t>.5.3.7.</w:t>
      </w:r>
    </w:p>
    <w:p w:rsidR="00916DF8" w:rsidRDefault="003909C1">
      <w:pPr>
        <w:pStyle w:val="Heading4"/>
        <w:rPr>
          <w:rFonts w:eastAsia="Arial Unicode MS"/>
        </w:rPr>
      </w:pPr>
      <w:bookmarkStart w:id="891" w:name="_Toc116195363"/>
      <w:bookmarkStart w:id="892" w:name="_Toc116196630"/>
      <w:bookmarkStart w:id="893" w:name="_Toc116196807"/>
      <w:bookmarkStart w:id="894" w:name="_Toc116197294"/>
      <w:bookmarkStart w:id="895" w:name="_Toc119143749"/>
      <w:bookmarkStart w:id="896" w:name="_Toc124754763"/>
      <w:bookmarkStart w:id="897" w:name="_Toc124858921"/>
      <w:bookmarkStart w:id="898" w:name="_Toc124859027"/>
      <w:bookmarkStart w:id="899" w:name="_Toc124908542"/>
      <w:bookmarkStart w:id="900" w:name="_Toc124908643"/>
      <w:bookmarkStart w:id="901" w:name="_Toc124909414"/>
      <w:bookmarkStart w:id="902" w:name="_Toc124909518"/>
      <w:bookmarkStart w:id="903" w:name="_Toc125885659"/>
      <w:bookmarkStart w:id="904" w:name="_Toc263408378"/>
      <w:bookmarkStart w:id="905" w:name="_Toc115547789"/>
      <w:bookmarkStart w:id="906" w:name="_Ref115557120"/>
      <w:bookmarkStart w:id="907" w:name="_Toc115574902"/>
      <w:bookmarkStart w:id="908" w:name="_Toc115774027"/>
      <w:bookmarkStart w:id="909" w:name="_Toc115840268"/>
      <w:bookmarkStart w:id="910" w:name="_Toc115840472"/>
      <w:bookmarkStart w:id="911" w:name="_Toc115840664"/>
      <w:bookmarkStart w:id="912" w:name="_Toc115845865"/>
      <w:bookmarkStart w:id="913" w:name="_Toc115846402"/>
      <w:bookmarkStart w:id="914" w:name="_Toc115846666"/>
      <w:bookmarkStart w:id="915" w:name="_Toc115847100"/>
      <w:bookmarkStart w:id="916" w:name="_Toc11584735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17.5.</w:t>
      </w:r>
      <w:r>
        <w:rPr>
          <w:rFonts w:eastAsia="Arial Unicode MS"/>
        </w:rPr>
        <w:t>3.6.5</w:t>
      </w:r>
      <w:r>
        <w:rPr>
          <w:rFonts w:eastAsia="Arial Unicode MS"/>
        </w:rPr>
        <w:tab/>
        <w:t>Exceptions: Setting Charges and Payments to Zero</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916DF8" w:rsidRDefault="003909C1">
      <w:pPr>
        <w:pStyle w:val="Heading4"/>
        <w:rPr>
          <w:rFonts w:eastAsia="Arial Unicode MS"/>
        </w:rPr>
      </w:pPr>
      <w:bookmarkStart w:id="917" w:name="_Toc116195364"/>
      <w:bookmarkStart w:id="918" w:name="_Toc116196631"/>
      <w:bookmarkStart w:id="919" w:name="_Toc116196808"/>
      <w:bookmarkStart w:id="920" w:name="_Toc116197295"/>
      <w:bookmarkStart w:id="921" w:name="_Toc119143750"/>
      <w:bookmarkStart w:id="922" w:name="_Ref124127072"/>
      <w:bookmarkStart w:id="923" w:name="_Toc124754764"/>
      <w:bookmarkStart w:id="924" w:name="_Toc124858922"/>
      <w:bookmarkStart w:id="925" w:name="_Toc124859028"/>
      <w:bookmarkStart w:id="926" w:name="_Toc124908543"/>
      <w:bookmarkStart w:id="927" w:name="_Toc124908644"/>
      <w:bookmarkStart w:id="928" w:name="_Toc124909415"/>
      <w:bookmarkStart w:id="929" w:name="_Toc124909519"/>
      <w:bookmarkStart w:id="930" w:name="_Toc125885660"/>
      <w:bookmarkStart w:id="931"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916DF8" w:rsidRDefault="003909C1">
      <w:pPr>
        <w:pStyle w:val="Bodypara"/>
      </w:pPr>
      <w:r>
        <w:t>The ISO shall use Formula B-27 to c</w:t>
      </w:r>
      <w:r>
        <w:t>alculate the total O/R-t-S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w:t>
      </w:r>
      <w:r>
        <w:t xml:space="preserve">f a 6-month sub-auction or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-27) for Transm</w:t>
      </w:r>
      <w:r>
        <w:t xml:space="preserve">ission Owner </w:t>
      </w:r>
      <w:r>
        <w:rPr>
          <w:i/>
          <w:iCs/>
        </w:rPr>
        <w:t>t</w:t>
      </w:r>
      <w:r>
        <w:t xml:space="preserve"> for all constraints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w:t>
      </w:r>
      <w:r>
        <w:t xml:space="preserve">5.3.6.4) for any Qualifying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w:t>
      </w:r>
      <w:r>
        <w:t xml:space="preserve"> not responsible (as determined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w:t>
      </w:r>
      <w:r>
        <w:t>hall not set equal to zero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w:t>
      </w:r>
      <w:r>
        <w:t>17.5.3.6.4.2 or external events described in Section 17.5.3.6.4.3.</w:t>
      </w:r>
    </w:p>
    <w:p w:rsidR="00916DF8" w:rsidRDefault="003909C1">
      <w:pPr>
        <w:pStyle w:val="FormulaCaption"/>
      </w:pPr>
      <w:bookmarkStart w:id="932" w:name="_Ref115556745"/>
      <w:r>
        <w:t>Formula B-27</w:t>
      </w:r>
    </w:p>
    <w:p w:rsidR="00C912A7" w:rsidRPr="00C912A7" w:rsidRDefault="00C476D8" w:rsidP="00C912A7">
      <w:pPr>
        <w:widowControl w:val="0"/>
        <w:rPr>
          <w:snapToGrid w:val="0"/>
          <w:sz w:val="20"/>
          <w:szCs w:val="20"/>
        </w:rPr>
      </w:pPr>
      <m:oMathPara>
        <m:oMath>
          <w:bookmarkEnd w:id="932"/>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3909C1">
      <w:pPr>
        <w:pStyle w:val="Bodypara"/>
        <w:ind w:firstLine="0"/>
      </w:pPr>
      <w:r>
        <w:t>Where,</w:t>
      </w:r>
    </w:p>
    <w:p w:rsidR="00916DF8" w:rsidRDefault="003909C1"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w:t>
      </w:r>
      <w:r>
        <w:t xml:space="preserve">und </w:t>
      </w:r>
      <w:r>
        <w:rPr>
          <w:i/>
          <w:iCs/>
        </w:rPr>
        <w:t>n</w:t>
      </w:r>
      <w:r>
        <w:t xml:space="preserve"> of a 6-month sub-auction or in Reconfiguration Auction </w:t>
      </w:r>
      <w:r>
        <w:rPr>
          <w:i/>
          <w:iCs/>
        </w:rPr>
        <w:t>n</w:t>
      </w:r>
    </w:p>
    <w:p w:rsidR="00916DF8" w:rsidRDefault="003909C1">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w:t>
      </w:r>
      <w:r>
        <w:t xml:space="preserve">ion </w:t>
      </w:r>
      <w:r>
        <w:rPr>
          <w:i/>
          <w:iCs/>
        </w:rPr>
        <w:t>n,</w:t>
      </w:r>
      <w:r>
        <w:t xml:space="preserve"> calculated pursuant to Section 17.5.3.6.2</w:t>
      </w:r>
    </w:p>
    <w:p w:rsidR="00916DF8" w:rsidRDefault="003909C1">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w:t>
      </w:r>
      <w:r>
        <w:t>ant to Section 17.5.3.6.3</w:t>
      </w:r>
    </w:p>
    <w:p w:rsidR="00916DF8" w:rsidRDefault="003909C1">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w:t>
      </w:r>
      <w:r>
        <w:t>17.5.3.6.2</w:t>
      </w:r>
    </w:p>
    <w:p w:rsidR="00916DF8" w:rsidRDefault="003909C1">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3909C1">
      <w:pPr>
        <w:pStyle w:val="Heading4"/>
        <w:keepLines/>
        <w:tabs>
          <w:tab w:val="clear" w:pos="1800"/>
          <w:tab w:val="left" w:pos="2160"/>
        </w:tabs>
        <w:ind w:left="2160" w:hanging="1440"/>
        <w:rPr>
          <w:rFonts w:eastAsia="Arial Unicode MS"/>
        </w:rPr>
      </w:pPr>
      <w:bookmarkStart w:id="933" w:name="_Toc115547790"/>
      <w:bookmarkStart w:id="934" w:name="_Ref115557152"/>
      <w:bookmarkStart w:id="935" w:name="_Toc115574903"/>
      <w:bookmarkStart w:id="936" w:name="_Toc115774028"/>
      <w:bookmarkStart w:id="937" w:name="_Toc115840269"/>
      <w:bookmarkStart w:id="938" w:name="_Toc115840473"/>
      <w:bookmarkStart w:id="939" w:name="_Toc115840665"/>
      <w:bookmarkStart w:id="940" w:name="_Toc115845866"/>
      <w:bookmarkStart w:id="941" w:name="_Toc115846403"/>
      <w:bookmarkStart w:id="942" w:name="_Toc115846667"/>
      <w:bookmarkStart w:id="943" w:name="_Toc115847101"/>
      <w:bookmarkStart w:id="944" w:name="_Toc115847360"/>
      <w:bookmarkStart w:id="945" w:name="_Toc116195365"/>
      <w:bookmarkStart w:id="946" w:name="_Toc116196632"/>
      <w:bookmarkStart w:id="947" w:name="_Toc116196809"/>
      <w:bookmarkStart w:id="948" w:name="_Toc116197296"/>
      <w:bookmarkStart w:id="949" w:name="_Toc119143751"/>
      <w:bookmarkStart w:id="950" w:name="_Toc124754765"/>
      <w:bookmarkStart w:id="951" w:name="_Toc124858923"/>
      <w:bookmarkStart w:id="952" w:name="_Toc124859029"/>
      <w:bookmarkStart w:id="953" w:name="_Toc124908544"/>
      <w:bookmarkStart w:id="954" w:name="_Toc124908645"/>
      <w:bookmarkStart w:id="955" w:name="_Toc124909416"/>
      <w:bookmarkStart w:id="956" w:name="_Toc124909520"/>
      <w:bookmarkStart w:id="957" w:name="_Toc125885661"/>
      <w:bookmarkStart w:id="958" w:name="_Toc263408380"/>
      <w:r>
        <w:t>17.5.</w:t>
      </w:r>
      <w:r>
        <w:rPr>
          <w:rFonts w:eastAsia="Arial Unicode MS"/>
        </w:rPr>
        <w:t>3.6.5.2</w:t>
      </w:r>
      <w:r>
        <w:rPr>
          <w:rFonts w:eastAsia="Arial Unicode MS"/>
        </w:rPr>
        <w:tab/>
      </w:r>
      <w:r>
        <w:t>Zeroing Out of Charges and Payments Resulting from Formula Failure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916DF8" w:rsidRDefault="003909C1">
      <w:pPr>
        <w:pStyle w:val="Bodypara"/>
      </w:pPr>
      <w:r>
        <w:t xml:space="preserve">Notwithstanding any other provision of this Part 17.5 of this Attachment B, the ISO shall set equal to zero any O/R-t-S Auction Revenue Shortfall Charge, U/D Auction Revenue Shortfall Charge, O/R-t-S Auction Revenue Surplus Payment, or U/D Auction Revenue </w:t>
      </w:r>
      <w:r>
        <w:t xml:space="preserve">Surplus Payment allocated to a Transmission Owner for a Reconfiguration Auction or a round of a Centralized TCC Auction if either: </w:t>
      </w:r>
    </w:p>
    <w:p w:rsidR="00916DF8" w:rsidRDefault="003909C1">
      <w:pPr>
        <w:pStyle w:val="romannumeralpara"/>
      </w:pPr>
      <w:r>
        <w:t>(i)</w:t>
      </w:r>
      <w:r>
        <w:tab/>
        <w:t xml:space="preserve">data necessary to compute such a charge or payment, as specified in the formulas set forth in Section 17.5.3.6, is not </w:t>
      </w:r>
      <w:r>
        <w:t>known by the ISO and cannot be computed by the ISO (in interpreting this clause, equipment failure shall not preclude computation by the ISO unless necessary data is irretrievably lost); or</w:t>
      </w:r>
    </w:p>
    <w:p w:rsidR="00916DF8" w:rsidRDefault="003909C1">
      <w:pPr>
        <w:pStyle w:val="romannumeralpara"/>
      </w:pPr>
      <w:r>
        <w:t>(ii)</w:t>
      </w:r>
      <w:r>
        <w:tab/>
        <w:t>both (a) the charge or payment is clearly and materially inco</w:t>
      </w:r>
      <w:r>
        <w:t xml:space="preserve">nsistent with cost causation principles; and (b) this inconsistency is the result of factors not taken into account in the formulas used to calculate the charge or payment; </w:t>
      </w:r>
    </w:p>
    <w:p w:rsidR="00916DF8" w:rsidRDefault="003909C1">
      <w:pPr>
        <w:pStyle w:val="Bodypara"/>
      </w:pPr>
      <w:r>
        <w:rPr>
          <w:i/>
          <w:iCs/>
        </w:rPr>
        <w:t>provided, however</w:t>
      </w:r>
      <w:r>
        <w:t>, if the amount of charges or payments set equal to zero as a res</w:t>
      </w:r>
      <w:r>
        <w:t>ult of the unknown data or inaccurate formula is greater than twenty five thousand dollars ($25,000) in any given month or greater than one hundred thousand dollars ($100,000) over multiple months, the ISO will inform the Transmission Owners of the identif</w:t>
      </w:r>
      <w:r>
        <w:t>ied problem and will work with the Transmission Owners to determine if an alternative allocation method is needed and whether it will apply to all months for which the intended formula does not work.  Alternate methods would be subject to market participan</w:t>
      </w:r>
      <w:r>
        <w:t>t review and subsequent filing with FERC, as appropriate.</w:t>
      </w:r>
    </w:p>
    <w:p w:rsidR="00916DF8" w:rsidRDefault="003909C1">
      <w:pPr>
        <w:pStyle w:val="Bodypara"/>
      </w:pPr>
      <w:r>
        <w:t>For the sake of clarity, the ISO shall not pursuant to this Section 17.5.</w:t>
      </w:r>
      <w:r>
        <w:rPr>
          <w:iCs/>
        </w:rPr>
        <w:t>3.6.5.2</w:t>
      </w:r>
      <w:r>
        <w:t xml:space="preserve"> set equal to zero any O/R-t-S Auction Revenue Shortfall Charge, U/D Auction Revenue Shortfall Charge, O/R-t-S Auction</w:t>
      </w:r>
      <w:r>
        <w:t xml:space="preserve"> Revenue Surplus Payment, or U/D Auction Revenue Surplus Payment that fails to meet these conditions, even if another O/R-t-S Auction Revenue Shortfall Charge, U/D Auction Revenue Shortfall Charge, O/R-t-S Auction Revenue Surplus Payment, or U/D Auction Re</w:t>
      </w:r>
      <w:r>
        <w:t>venue Surplus Payment is set equal to zero pursuant to this Section 17.5.</w:t>
      </w:r>
      <w:r>
        <w:rPr>
          <w:iCs/>
        </w:rPr>
        <w:t>3.6.5.2</w:t>
      </w:r>
      <w:r>
        <w:t xml:space="preserve"> in the same round of a Centralized TCC Auction or the same Reconfiguration Auction, as the case may be.</w:t>
      </w:r>
    </w:p>
    <w:p w:rsidR="00916DF8" w:rsidRDefault="003909C1">
      <w:pPr>
        <w:pStyle w:val="Heading4"/>
      </w:pPr>
      <w:bookmarkStart w:id="959" w:name="_Toc115547791"/>
      <w:bookmarkStart w:id="960" w:name="_Toc115574904"/>
      <w:bookmarkStart w:id="961" w:name="_Toc115774029"/>
      <w:bookmarkStart w:id="962" w:name="_Toc115840270"/>
      <w:bookmarkStart w:id="963" w:name="_Toc115840474"/>
      <w:bookmarkStart w:id="964" w:name="_Toc115840666"/>
      <w:bookmarkStart w:id="965" w:name="_Toc115845867"/>
      <w:bookmarkStart w:id="966" w:name="_Toc115846404"/>
      <w:bookmarkStart w:id="967" w:name="_Toc115846668"/>
      <w:bookmarkStart w:id="968" w:name="_Toc115847102"/>
      <w:bookmarkStart w:id="969" w:name="_Toc115847361"/>
      <w:bookmarkStart w:id="970" w:name="_Toc116195366"/>
      <w:bookmarkStart w:id="971" w:name="_Toc116196633"/>
      <w:bookmarkStart w:id="972" w:name="_Toc116196810"/>
      <w:bookmarkStart w:id="973" w:name="_Toc116197297"/>
      <w:bookmarkStart w:id="974" w:name="_Toc119143752"/>
      <w:bookmarkStart w:id="975" w:name="_Toc124754766"/>
      <w:bookmarkStart w:id="976" w:name="_Toc124858924"/>
      <w:bookmarkStart w:id="977" w:name="_Toc124859030"/>
      <w:bookmarkStart w:id="978" w:name="_Toc124908545"/>
      <w:bookmarkStart w:id="979" w:name="_Toc124908646"/>
      <w:bookmarkStart w:id="980" w:name="_Toc124909417"/>
      <w:bookmarkStart w:id="981" w:name="_Toc124909521"/>
      <w:bookmarkStart w:id="982" w:name="_Toc125885662"/>
      <w:bookmarkStart w:id="983" w:name="_Toc263408381"/>
      <w:r>
        <w:t>17.5.</w:t>
      </w:r>
      <w:r>
        <w:rPr>
          <w:rFonts w:eastAsia="Arial Unicode MS"/>
        </w:rPr>
        <w:t>3.6.6</w:t>
      </w:r>
      <w:r>
        <w:rPr>
          <w:rFonts w:eastAsia="Arial Unicode MS"/>
        </w:rPr>
        <w:tab/>
      </w:r>
      <w:r>
        <w:t>Information Requirements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916DF8" w:rsidRDefault="003909C1">
      <w:pPr>
        <w:pStyle w:val="Heading4"/>
        <w:rPr>
          <w:rFonts w:eastAsia="Arial Unicode MS"/>
        </w:rPr>
      </w:pPr>
      <w:bookmarkStart w:id="984" w:name="_Toc115547792"/>
      <w:bookmarkStart w:id="985" w:name="_Toc115574905"/>
      <w:bookmarkStart w:id="986" w:name="_Toc115774030"/>
      <w:bookmarkStart w:id="987" w:name="_Toc115840271"/>
      <w:bookmarkStart w:id="988" w:name="_Toc115840475"/>
      <w:bookmarkStart w:id="989" w:name="_Toc115840667"/>
      <w:bookmarkStart w:id="990" w:name="_Toc115845868"/>
      <w:bookmarkStart w:id="991" w:name="_Toc115846405"/>
      <w:bookmarkStart w:id="992" w:name="_Toc115846669"/>
      <w:bookmarkStart w:id="993" w:name="_Toc115847103"/>
      <w:bookmarkStart w:id="994" w:name="_Toc115847362"/>
      <w:bookmarkStart w:id="995" w:name="_Toc116195367"/>
      <w:bookmarkStart w:id="996" w:name="_Toc116196634"/>
      <w:bookmarkStart w:id="997" w:name="_Toc116196811"/>
      <w:bookmarkStart w:id="998" w:name="_Toc116197298"/>
      <w:bookmarkStart w:id="999" w:name="_Toc119143753"/>
      <w:bookmarkStart w:id="1000" w:name="_Toc124754767"/>
      <w:bookmarkStart w:id="1001" w:name="_Toc124858925"/>
      <w:bookmarkStart w:id="1002" w:name="_Toc124859031"/>
      <w:bookmarkStart w:id="1003" w:name="_Toc124908546"/>
      <w:bookmarkStart w:id="1004" w:name="_Toc124908647"/>
      <w:bookmarkStart w:id="1005" w:name="_Toc124909418"/>
      <w:bookmarkStart w:id="1006" w:name="_Toc124909522"/>
      <w:bookmarkStart w:id="1007" w:name="_Toc125885663"/>
      <w:bookmarkStart w:id="1008" w:name="_Toc263408382"/>
      <w:r>
        <w:t>17.5.</w:t>
      </w:r>
      <w:r>
        <w:rPr>
          <w:rFonts w:eastAsia="Arial Unicode MS"/>
        </w:rPr>
        <w:t>3.6.6.1</w:t>
      </w:r>
      <w:r>
        <w:rPr>
          <w:rFonts w:eastAsia="Arial Unicode MS"/>
        </w:rPr>
        <w:tab/>
      </w:r>
      <w:r>
        <w:t>Posting of Uprate/Dera</w:t>
      </w:r>
      <w:r>
        <w:t>te Tables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916DF8" w:rsidRDefault="003909C1">
      <w:pPr>
        <w:pStyle w:val="Bodypara"/>
      </w:pPr>
      <w:r>
        <w:t>Prior to each Reconfiguration Auction, the ISO shall post on its website the Reconfiguration Auction Interface Uprate/Derate Table, which table shall specify the expected impact (at the time of the Reconfiguration Auction based on all information</w:t>
      </w:r>
      <w:r>
        <w:t xml:space="preserve"> available to the ISO) of all transmission facility outages and returns-to-service on interface transfer limits for the period for which TCCs are to be sold in the Reconfiguration Auction.</w:t>
      </w:r>
    </w:p>
    <w:p w:rsidR="00916DF8" w:rsidRDefault="003909C1">
      <w:pPr>
        <w:pStyle w:val="Bodypara"/>
      </w:pPr>
      <w:r>
        <w:t>Prior to each Centralized TCC Auction, the ISO shall post on its we</w:t>
      </w:r>
      <w:r>
        <w:t>bsite the Centralized TCC Auction Interface Uprate/Derate Table, which table shall specify the expected impact (at the time of the Centralized TCC Auction based on all information available to the ISO) of all transmission facility outages and returns-to-se</w:t>
      </w:r>
      <w:r>
        <w:t>rvice on interface transfer limits for the period for which TCCs are to be sold in each sub-auction of the Centralized TCC Auction.</w:t>
      </w:r>
    </w:p>
    <w:p w:rsidR="00916DF8" w:rsidRDefault="003909C1">
      <w:pPr>
        <w:pStyle w:val="Heading4"/>
        <w:rPr>
          <w:rFonts w:eastAsia="Arial Unicode MS"/>
        </w:rPr>
      </w:pPr>
      <w:bookmarkStart w:id="1009" w:name="_Toc119143754"/>
      <w:bookmarkStart w:id="1010" w:name="_Toc124754768"/>
      <w:bookmarkStart w:id="1011" w:name="_Toc124858926"/>
      <w:bookmarkStart w:id="1012" w:name="_Toc124859032"/>
      <w:bookmarkStart w:id="1013" w:name="_Toc124908547"/>
      <w:bookmarkStart w:id="1014" w:name="_Toc124908648"/>
      <w:bookmarkStart w:id="1015" w:name="_Toc124909419"/>
      <w:bookmarkStart w:id="1016" w:name="_Toc124909523"/>
      <w:bookmarkStart w:id="1017" w:name="_Toc125885664"/>
      <w:bookmarkStart w:id="1018" w:name="_Toc263408383"/>
      <w:bookmarkStart w:id="1019" w:name="_Toc119143755"/>
      <w:bookmarkStart w:id="1020" w:name="_Toc124754769"/>
      <w:bookmarkStart w:id="1021" w:name="_Toc124858927"/>
      <w:bookmarkStart w:id="1022" w:name="_Toc124859033"/>
      <w:bookmarkStart w:id="1023" w:name="_Toc124908548"/>
      <w:bookmarkStart w:id="1024" w:name="_Toc124908649"/>
      <w:bookmarkStart w:id="1025" w:name="_Toc124909420"/>
      <w:bookmarkStart w:id="1026" w:name="_Toc124909524"/>
      <w:bookmarkStart w:id="1027" w:name="_Ref124913207"/>
      <w:bookmarkStart w:id="1028" w:name="_Toc125885665"/>
      <w:r>
        <w:t>17.5.</w:t>
      </w:r>
      <w:r>
        <w:rPr>
          <w:rFonts w:eastAsia="Arial Unicode MS"/>
        </w:rPr>
        <w:t>3.6.6.2</w:t>
      </w:r>
      <w:r>
        <w:rPr>
          <w:rFonts w:eastAsia="Arial Unicode MS"/>
        </w:rPr>
        <w:tab/>
        <w:t>Posting of List of Normally Out-of-Service Equipment</w:t>
      </w:r>
      <w:bookmarkEnd w:id="1009"/>
      <w:bookmarkEnd w:id="1010"/>
      <w:bookmarkEnd w:id="1011"/>
      <w:bookmarkEnd w:id="1012"/>
      <w:bookmarkEnd w:id="1013"/>
      <w:bookmarkEnd w:id="1014"/>
      <w:bookmarkEnd w:id="1015"/>
      <w:bookmarkEnd w:id="1016"/>
      <w:bookmarkEnd w:id="1017"/>
      <w:bookmarkEnd w:id="1018"/>
    </w:p>
    <w:p w:rsidR="00916DF8" w:rsidRDefault="003909C1">
      <w:pPr>
        <w:pStyle w:val="Bodypara"/>
        <w:rPr>
          <w:rFonts w:eastAsia="Arial Unicode MS"/>
        </w:rPr>
      </w:pPr>
      <w:r>
        <w:t>The ISO shall maintain on its website a list of Normally O</w:t>
      </w:r>
      <w:r>
        <w:t>ut-of-Service Equipment and update such list prior to each Reconfiguration Auction and each Centralized TCC Auction.</w:t>
      </w:r>
    </w:p>
    <w:p w:rsidR="00916DF8" w:rsidRDefault="003909C1">
      <w:pPr>
        <w:pStyle w:val="Heading4"/>
        <w:rPr>
          <w:rFonts w:eastAsia="Arial Unicode MS"/>
        </w:rPr>
      </w:pPr>
      <w:bookmarkStart w:id="1029" w:name="_Toc263408384"/>
      <w:r>
        <w:t>17.5.</w:t>
      </w:r>
      <w:r>
        <w:rPr>
          <w:rFonts w:eastAsia="Arial Unicode MS"/>
        </w:rPr>
        <w:t>3.6.6.3</w:t>
      </w:r>
      <w:r>
        <w:rPr>
          <w:rFonts w:eastAsia="Arial Unicode MS"/>
        </w:rPr>
        <w:tab/>
      </w:r>
      <w:r>
        <w:t xml:space="preserve">Information Regarding </w:t>
      </w:r>
      <w:bookmarkEnd w:id="1019"/>
      <w:bookmarkEnd w:id="1020"/>
      <w:bookmarkEnd w:id="1021"/>
      <w:bookmarkEnd w:id="1022"/>
      <w:bookmarkEnd w:id="1023"/>
      <w:bookmarkEnd w:id="1024"/>
      <w:bookmarkEnd w:id="1025"/>
      <w:bookmarkEnd w:id="1026"/>
      <w:bookmarkEnd w:id="1027"/>
      <w:r>
        <w:t>Facility Ownership</w:t>
      </w:r>
      <w:bookmarkEnd w:id="1028"/>
      <w:bookmarkEnd w:id="1029"/>
    </w:p>
    <w:p w:rsidR="00916DF8" w:rsidRDefault="003909C1">
      <w:pPr>
        <w:pStyle w:val="Bodypara"/>
      </w:pPr>
      <w:bookmarkStart w:id="1030" w:name="_Toc115547794"/>
      <w:bookmarkStart w:id="1031" w:name="_Ref115556699"/>
      <w:bookmarkStart w:id="1032" w:name="_Toc115574907"/>
      <w:bookmarkStart w:id="1033" w:name="_Toc115774032"/>
      <w:bookmarkStart w:id="1034" w:name="_Toc115840273"/>
      <w:bookmarkStart w:id="1035" w:name="_Toc115840477"/>
      <w:bookmarkStart w:id="1036" w:name="_Toc115840669"/>
      <w:bookmarkStart w:id="1037" w:name="_Toc115845870"/>
      <w:bookmarkStart w:id="1038" w:name="_Toc115846407"/>
      <w:bookmarkStart w:id="1039" w:name="_Toc115846671"/>
      <w:bookmarkStart w:id="1040" w:name="_Toc115847105"/>
      <w:bookmarkStart w:id="1041" w:name="_Toc115847364"/>
      <w:bookmarkStart w:id="1042" w:name="_Toc116195369"/>
      <w:bookmarkStart w:id="1043" w:name="_Toc116196636"/>
      <w:bookmarkStart w:id="1044" w:name="_Toc116196813"/>
      <w:bookmarkStart w:id="1045" w:name="_Toc116197300"/>
      <w:bookmarkStart w:id="1046" w:name="_Ref118891113"/>
      <w:bookmarkStart w:id="1047" w:name="_Toc119143756"/>
      <w:bookmarkStart w:id="1048" w:name="_Toc124754770"/>
      <w:bookmarkStart w:id="1049" w:name="_Toc124858928"/>
      <w:bookmarkStart w:id="1050" w:name="_Toc124859034"/>
      <w:bookmarkStart w:id="1051" w:name="_Toc124908549"/>
      <w:bookmarkStart w:id="1052" w:name="_Toc124908650"/>
      <w:bookmarkStart w:id="1053" w:name="_Toc124909421"/>
      <w:bookmarkStart w:id="1054" w:name="_Toc124909525"/>
      <w:r>
        <w:t xml:space="preserve">A Transmission Owner shall be responsible for informing the ISO of any change in the </w:t>
      </w:r>
      <w:r>
        <w:t>ownership of a transmission facility.  The ISO shall allocate responsibility for Auction Status Changes based on the transmission facility ownership information available to it at the time of initial settlement.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916DF8" w:rsidRDefault="003909C1">
      <w:pPr>
        <w:pStyle w:val="Heading4"/>
      </w:pPr>
      <w:bookmarkStart w:id="1055" w:name="_Toc263408385"/>
      <w:r>
        <w:t>17.5.3.7</w:t>
      </w:r>
      <w:r>
        <w:tab/>
        <w:t>Allocation of Net Auction Revenue t</w:t>
      </w:r>
      <w:r>
        <w:t>o Transmission Owners</w:t>
      </w:r>
      <w:bookmarkEnd w:id="1055"/>
    </w:p>
    <w:p w:rsidR="00916DF8" w:rsidRDefault="003909C1">
      <w:pPr>
        <w:pStyle w:val="Bodypara"/>
        <w:rPr>
          <w:rFonts w:eastAsia="Arial Unicode MS"/>
        </w:rPr>
      </w:pPr>
      <w:r>
        <w:t xml:space="preserve">In Centralized TCC Auction round </w:t>
      </w:r>
      <w:r>
        <w:rPr>
          <w:i/>
          <w:iCs/>
        </w:rPr>
        <w:t>n</w:t>
      </w:r>
      <w:r>
        <w:t xml:space="preserve"> or in Reconfiguration Auction </w:t>
      </w:r>
      <w:r>
        <w:rPr>
          <w:i/>
        </w:rPr>
        <w:t>n</w:t>
      </w:r>
      <w:r>
        <w:t xml:space="preserve">, as the case may be, the ISO shall use the Facility Flow-Based Methodology to allocate Net Auction Revenue to each Transmission Owner </w:t>
      </w:r>
      <w:r>
        <w:rPr>
          <w:i/>
        </w:rPr>
        <w:t>t</w:t>
      </w:r>
      <w:r>
        <w:t xml:space="preserve"> in an amount equal to the produ</w:t>
      </w:r>
      <w:r>
        <w:t>ct of (i) the Facility Flow-Based Methodology coefficient, FFB</w:t>
      </w:r>
      <w:r>
        <w:rPr>
          <w:vertAlign w:val="subscript"/>
        </w:rPr>
        <w:t>t,n</w:t>
      </w:r>
      <w:r>
        <w:t xml:space="preserve">, and (ii) the Net Auction Revenue for the round or for </w:t>
      </w:r>
      <w:bookmarkStart w:id="1056" w:name="_DV_C8"/>
      <w:r>
        <w:rPr>
          <w:rFonts w:eastAsia="Arial Unicode MS"/>
        </w:rPr>
        <w:t xml:space="preserve">the Reconfiguration Auction; </w:t>
      </w:r>
      <w:r>
        <w:rPr>
          <w:rFonts w:eastAsia="Arial Unicode MS"/>
          <w:i/>
          <w:iCs/>
        </w:rPr>
        <w:t>provided, however</w:t>
      </w:r>
      <w:r>
        <w:rPr>
          <w:rFonts w:eastAsia="Arial Unicode MS"/>
        </w:rPr>
        <w:t xml:space="preserve">, where the Net Auction Revenue is negative for a Reconfiguration Auction, the ISO shall </w:t>
      </w:r>
      <w:r>
        <w:rPr>
          <w:rFonts w:eastAsia="Arial Unicode MS"/>
        </w:rPr>
        <w:t xml:space="preserve">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 for the Reconfiguration Auction</w:t>
      </w:r>
      <w:bookmarkStart w:id="1057" w:name="_DV_M4"/>
      <w:bookmarkEnd w:id="1056"/>
      <w:bookmarkEnd w:id="1057"/>
      <w:r>
        <w:rPr>
          <w:rFonts w:eastAsia="Arial Unicode MS"/>
        </w:rPr>
        <w:t>.</w:t>
      </w:r>
    </w:p>
    <w:p w:rsidR="00916DF8" w:rsidRDefault="003909C1">
      <w:pPr>
        <w:pStyle w:val="Bodypara"/>
      </w:pPr>
      <w:bookmarkStart w:id="1058" w:name="_DV_C9"/>
      <w:r>
        <w:rPr>
          <w:rFonts w:eastAsia="Arial Unicode MS"/>
          <w:i/>
          <w:iCs/>
        </w:rPr>
        <w:t>Calculation of Facility Flo</w:t>
      </w:r>
      <w:r>
        <w:rPr>
          <w:rFonts w:eastAsia="Arial Unicode MS"/>
          <w:i/>
          <w:iCs/>
        </w:rPr>
        <w:t>w-Based Methodology Coefficient</w:t>
      </w:r>
      <w:r>
        <w:rPr>
          <w:rFonts w:eastAsia="Arial Unicode MS"/>
        </w:rPr>
        <w:t xml:space="preserve">.  </w:t>
      </w:r>
      <w:bookmarkEnd w:id="1058"/>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to Formula B-28.</w:t>
      </w:r>
    </w:p>
    <w:p w:rsidR="00916DF8" w:rsidRDefault="003909C1">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C476D8" w:rsidTr="003D6C4A">
        <w:trPr>
          <w:jc w:val="center"/>
        </w:trPr>
        <w:tc>
          <w:tcPr>
            <w:tcW w:w="1008" w:type="dxa"/>
            <w:vMerge w:val="restart"/>
            <w:vAlign w:val="center"/>
          </w:tcPr>
          <w:p w:rsidR="002818EC" w:rsidRPr="002818EC" w:rsidRDefault="00C476D8"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C476D8"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C476D8" w:rsidTr="003D6C4A">
        <w:trPr>
          <w:jc w:val="center"/>
        </w:trPr>
        <w:tc>
          <w:tcPr>
            <w:tcW w:w="1008" w:type="dxa"/>
            <w:vMerge/>
          </w:tcPr>
          <w:p w:rsidR="002818EC" w:rsidRPr="002818EC" w:rsidRDefault="003909C1" w:rsidP="002818EC">
            <w:pPr>
              <w:widowControl w:val="0"/>
              <w:rPr>
                <w:rFonts w:eastAsia="Arial Unicode MS"/>
                <w:snapToGrid w:val="0"/>
                <w:szCs w:val="20"/>
              </w:rPr>
            </w:pPr>
          </w:p>
        </w:tc>
        <w:tc>
          <w:tcPr>
            <w:tcW w:w="5886" w:type="dxa"/>
          </w:tcPr>
          <w:p w:rsidR="002818EC" w:rsidRPr="002818EC" w:rsidRDefault="00C476D8"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3909C1">
      <w:pPr>
        <w:keepNext/>
        <w:ind w:left="600"/>
        <w:rPr>
          <w:rFonts w:eastAsia="Arial Unicode MS"/>
          <w:color w:val="000000"/>
        </w:rPr>
      </w:pPr>
    </w:p>
    <w:p w:rsidR="00916DF8" w:rsidRDefault="003909C1">
      <w:pPr>
        <w:pStyle w:val="Bodypara"/>
      </w:pPr>
      <w:r>
        <w:t>Where,</w:t>
      </w:r>
    </w:p>
    <w:p w:rsidR="00916DF8" w:rsidRDefault="003909C1">
      <w:pPr>
        <w:pStyle w:val="equationtext"/>
        <w:rPr>
          <w:iCs/>
        </w:rPr>
      </w:pPr>
      <w:r w:rsidRPr="002A2FC7">
        <w:rPr>
          <w:i/>
        </w:rPr>
        <w:t>FFB</w:t>
      </w:r>
      <w:r w:rsidRPr="002A2FC7">
        <w:rPr>
          <w:i/>
          <w:vertAlign w:val="subscript"/>
        </w:rPr>
        <w:t>t,n</w:t>
      </w:r>
      <w:r>
        <w:rPr>
          <w:vertAlign w:val="subscript"/>
        </w:rPr>
        <w:t xml:space="preserve"> </w:t>
      </w:r>
      <w:r>
        <w:t>=</w:t>
      </w:r>
      <w:r>
        <w:tab/>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3909C1">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3909C1">
      <w:pPr>
        <w:pStyle w:val="equationtext"/>
        <w:rPr>
          <w:iCs/>
        </w:rPr>
      </w:pPr>
      <w:r w:rsidRPr="002A2FC7">
        <w:rPr>
          <w:i/>
        </w:rPr>
        <w:t>L</w:t>
      </w:r>
      <w:r w:rsidRPr="002A2FC7">
        <w:rPr>
          <w:i/>
          <w:vertAlign w:val="subscript"/>
        </w:rPr>
        <w:t>t,n</w:t>
      </w:r>
      <w:r>
        <w:rPr>
          <w:vertAlign w:val="subscript"/>
        </w:rPr>
        <w:t xml:space="preserve"> </w:t>
      </w:r>
      <w:r>
        <w:t>=</w:t>
      </w:r>
      <w:r>
        <w:tab/>
      </w:r>
      <w:r>
        <w:tab/>
      </w:r>
      <w:r>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3909C1">
      <w:pPr>
        <w:pStyle w:val="equationtext"/>
      </w:pPr>
      <w:r w:rsidRPr="002A2FC7">
        <w:rPr>
          <w:i/>
        </w:rPr>
        <w:t>l</w:t>
      </w:r>
      <w:r>
        <w:t xml:space="preserve"> =</w:t>
      </w:r>
      <w:r>
        <w:tab/>
      </w:r>
      <w:r>
        <w:tab/>
        <w:t xml:space="preserve">A transmission facility from bus </w:t>
      </w:r>
      <w:r>
        <w:rPr>
          <w:i/>
        </w:rPr>
        <w:t>x</w:t>
      </w:r>
      <w:r>
        <w:t xml:space="preserve"> to bus </w:t>
      </w:r>
      <w:r>
        <w:rPr>
          <w:i/>
        </w:rPr>
        <w:t>y</w:t>
      </w:r>
    </w:p>
    <w:p w:rsidR="00916DF8" w:rsidRDefault="003909C1">
      <w:pPr>
        <w:pStyle w:val="equationtext"/>
        <w:rPr>
          <w:i/>
        </w:rPr>
      </w:pPr>
      <w:r w:rsidRPr="002A2FC7">
        <w:rPr>
          <w:i/>
        </w:rPr>
        <w:t>FLOW</w:t>
      </w:r>
      <w:r w:rsidRPr="002A2FC7">
        <w:rPr>
          <w:i/>
          <w:vertAlign w:val="subscript"/>
        </w:rPr>
        <w:t>l,n</w:t>
      </w:r>
      <w:r>
        <w:rPr>
          <w:vertAlign w:val="subscript"/>
        </w:rPr>
        <w:t xml:space="preserve"> </w:t>
      </w:r>
      <w:r>
        <w:t>=</w:t>
      </w:r>
      <w:r>
        <w:tab/>
        <w:t>The Ene</w:t>
      </w:r>
      <w:r>
        <w:t>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 those pre-existing TCCs and Grandfathered Rights represented</w:t>
      </w:r>
      <w:r>
        <w:rPr>
          <w:iCs/>
        </w:rPr>
        <w:t xml:space="preserve"> as fixed injections and withdrawals in that auction)</w:t>
      </w:r>
    </w:p>
    <w:p w:rsidR="00916DF8" w:rsidRDefault="003909C1">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w:t>
      </w:r>
      <w:r>
        <w:t xml:space="preserve">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 in prior Centralized TCC Auctions or through a Direct Sale</w:t>
      </w:r>
    </w:p>
    <w:p w:rsidR="00916DF8" w:rsidRDefault="003909C1">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3909C1">
      <w:pPr>
        <w:pStyle w:val="equationtext"/>
        <w:rPr>
          <w:iCs/>
        </w:rPr>
      </w:pPr>
      <w:r w:rsidRPr="002A2FC7">
        <w:rPr>
          <w:i/>
        </w:rPr>
        <w:t>Price</w:t>
      </w:r>
      <w:r w:rsidRPr="002A2FC7">
        <w:rPr>
          <w:i/>
          <w:vertAlign w:val="subscript"/>
        </w:rPr>
        <w:t>x,l</w:t>
      </w:r>
      <w:r>
        <w:rPr>
          <w:vertAlign w:val="subscript"/>
        </w:rPr>
        <w:t xml:space="preserve"> </w:t>
      </w:r>
      <w:r>
        <w:t>=</w:t>
      </w:r>
      <w:r>
        <w:tab/>
        <w:t xml:space="preserve">The market clearing price at bus </w:t>
      </w:r>
      <w:r>
        <w:rPr>
          <w:i/>
        </w:rPr>
        <w:t>x</w:t>
      </w:r>
      <w:r>
        <w:t xml:space="preserve"> on transmission facility </w:t>
      </w:r>
      <w:r>
        <w:rPr>
          <w:i/>
        </w:rPr>
        <w:t>l</w:t>
      </w:r>
      <w:r>
        <w:t xml:space="preserve"> in the Optimal </w:t>
      </w:r>
      <w:r>
        <w:t xml:space="preserve">Power Flow solution to round </w:t>
      </w:r>
      <w:r>
        <w:rPr>
          <w:i/>
        </w:rPr>
        <w:t xml:space="preserve">n </w:t>
      </w:r>
      <w:r>
        <w:t xml:space="preserve">or Reconfiguration Auction </w:t>
      </w:r>
      <w:r>
        <w:rPr>
          <w:i/>
        </w:rPr>
        <w:t>n</w:t>
      </w:r>
      <w:r>
        <w:rPr>
          <w:iCs/>
        </w:rPr>
        <w:t>, as the case may be</w:t>
      </w:r>
    </w:p>
    <w:p w:rsidR="00916DF8" w:rsidRDefault="003909C1">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916DF8" w:rsidRDefault="003909C1">
      <w:pPr>
        <w:pStyle w:val="equationtext"/>
      </w:pPr>
      <w:r>
        <w:rPr>
          <w:i/>
          <w:iCs/>
        </w:rPr>
        <w:t>p =</w:t>
      </w:r>
      <w:r>
        <w:rPr>
          <w:i/>
          <w:iCs/>
        </w:rPr>
        <w:tab/>
      </w:r>
      <w:r>
        <w:rPr>
          <w:i/>
          <w:iCs/>
        </w:rPr>
        <w:tab/>
      </w:r>
      <w:r>
        <w:rPr>
          <w:iCs/>
        </w:rPr>
        <w:t>A on</w:t>
      </w:r>
      <w:r>
        <w:rPr>
          <w:iCs/>
        </w:rPr>
        <w:t>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3909C1">
      <w:pPr>
        <w:pStyle w:val="Bodypara"/>
      </w:pPr>
      <w:r>
        <w:rPr>
          <w:i/>
          <w:iCs/>
        </w:rPr>
        <w:t>Calculation of Negative Net Auction Revenue Coefficient</w:t>
      </w:r>
      <w:r>
        <w:t>.  The negative Net Auction Revenue coefficient for Transmission Owner t for Reconfiguration A</w:t>
      </w:r>
      <w:r>
        <w:t xml:space="preserve">uction n is calculated pursuant to Formula B-29. </w:t>
      </w:r>
    </w:p>
    <w:p w:rsidR="00916DF8" w:rsidRDefault="003909C1">
      <w:pPr>
        <w:pStyle w:val="FormulaCaption"/>
        <w:rPr>
          <w:rFonts w:eastAsia="Arial Unicode MS"/>
        </w:rPr>
      </w:pPr>
      <w:bookmarkStart w:id="1059" w:name="_DV_C46"/>
      <w:bookmarkStart w:id="1060" w:name="_Ref115563440"/>
      <w:r>
        <w:rPr>
          <w:rFonts w:eastAsia="Arial Unicode MS"/>
        </w:rPr>
        <w:t>Formula B-29</w:t>
      </w:r>
      <w:bookmarkEnd w:id="1059"/>
    </w:p>
    <w:tbl>
      <w:tblPr>
        <w:tblStyle w:val="TableGrid"/>
        <w:tblW w:w="0" w:type="auto"/>
        <w:jc w:val="center"/>
        <w:tblBorders>
          <w:top w:val="nil"/>
          <w:left w:val="nil"/>
          <w:bottom w:val="nil"/>
          <w:right w:val="nil"/>
          <w:insideV w:val="nil"/>
        </w:tblBorders>
        <w:tblLook w:val="04A0"/>
      </w:tblPr>
      <w:tblGrid>
        <w:gridCol w:w="1688"/>
        <w:gridCol w:w="6774"/>
      </w:tblGrid>
      <w:tr w:rsidR="00C476D8" w:rsidTr="003D6C4A">
        <w:trPr>
          <w:trHeight w:val="276"/>
          <w:jc w:val="center"/>
        </w:trPr>
        <w:tc>
          <w:tcPr>
            <w:tcW w:w="1688" w:type="dxa"/>
            <w:vMerge w:val="restart"/>
            <w:vAlign w:val="center"/>
          </w:tcPr>
          <w:p w:rsidR="00130BCE" w:rsidRPr="00130BCE" w:rsidRDefault="00C476D8" w:rsidP="00130BCE">
            <w:pPr>
              <w:widowControl w:val="0"/>
              <w:jc w:val="center"/>
              <w:rPr>
                <w:snapToGrid w:val="0"/>
                <w:sz w:val="20"/>
                <w:szCs w:val="20"/>
              </w:rPr>
            </w:pPr>
            <m:oMathPara>
              <m:oMath>
                <w:bookmarkStart w:id="1061" w:name="_DV_C47"/>
                <w:bookmarkEnd w:id="1060"/>
                <m:sSub>
                  <m:sSubPr>
                    <m:ctrlPr>
                      <w:rPr>
                        <w:rFonts w:ascii="Cambria Math" w:hAnsi="Cambria Math"/>
                        <w:i/>
                        <w:snapToGrid w:val="0"/>
                        <w:sz w:val="20"/>
                        <w:szCs w:val="20"/>
                      </w:rPr>
                    </m:ctrlPr>
                  </m:sSubPr>
                  <m:e>
                    <m:r>
                      <w:rPr>
                        <w:rFonts w:ascii="Cambria Math" w:hAnsi="Cambria Math"/>
                        <w:snapToGrid w:val="0"/>
                        <w:sz w:val="20"/>
                        <w:szCs w:val="20"/>
                      </w:rPr>
                      <m:t>NNAR</m:t>
                    </m:r>
                  </m:e>
                  <m:sub>
                    <m:r>
                      <w:rPr>
                        <w:rFonts w:ascii="Cambria Math" w:hAnsi="Cambria Math"/>
                        <w:snapToGrid w:val="0"/>
                        <w:sz w:val="20"/>
                        <w:szCs w:val="20"/>
                      </w:rPr>
                      <m:t>t, n</m:t>
                    </m:r>
                  </m:sub>
                </m:sSub>
                <m:r>
                  <w:rPr>
                    <w:rFonts w:ascii="Cambria Math" w:hAnsi="Cambria Math"/>
                    <w:snapToGrid w:val="0"/>
                    <w:sz w:val="20"/>
                    <w:szCs w:val="20"/>
                  </w:rPr>
                  <m:t>=</m:t>
                </m:r>
              </m:oMath>
            </m:oMathPara>
          </w:p>
        </w:tc>
        <w:tc>
          <w:tcPr>
            <w:tcW w:w="6774" w:type="dxa"/>
          </w:tcPr>
          <w:p w:rsidR="00130BCE" w:rsidRPr="00130BCE" w:rsidRDefault="00C476D8" w:rsidP="00130BCE">
            <w:pPr>
              <w:widowControl w:val="0"/>
              <w:rPr>
                <w:snapToGrid w:val="0"/>
                <w:sz w:val="20"/>
                <w:szCs w:val="20"/>
              </w:rPr>
            </w:pPr>
            <m:oMathPara>
              <m:oMath>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 Residual</m:t>
                        </m:r>
                      </m:e>
                      <m:sub>
                        <m:r>
                          <w:rPr>
                            <w:rFonts w:ascii="Cambria Math" w:hAnsi="Cambria Math"/>
                            <w:snapToGrid w:val="0"/>
                            <w:sz w:val="20"/>
                            <w:szCs w:val="20"/>
                          </w:rPr>
                          <m:t>t,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t,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t,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GFR&amp;GFTCC</m:t>
                        </m:r>
                      </m:e>
                      <m:sub>
                        <m:r>
                          <w:rPr>
                            <w:rFonts w:ascii="Cambria Math" w:hAnsi="Cambria Math"/>
                            <w:snapToGrid w:val="0"/>
                            <w:sz w:val="20"/>
                            <w:szCs w:val="20"/>
                          </w:rPr>
                          <m:t>t, n</m:t>
                        </m:r>
                      </m:sub>
                    </m:sSub>
                  </m:e>
                </m:d>
              </m:oMath>
            </m:oMathPara>
          </w:p>
        </w:tc>
      </w:tr>
      <w:tr w:rsidR="00C476D8" w:rsidTr="003D6C4A">
        <w:trPr>
          <w:trHeight w:val="144"/>
          <w:jc w:val="center"/>
        </w:trPr>
        <w:tc>
          <w:tcPr>
            <w:tcW w:w="1688" w:type="dxa"/>
            <w:vMerge/>
          </w:tcPr>
          <w:p w:rsidR="00130BCE" w:rsidRPr="00130BCE" w:rsidRDefault="003909C1" w:rsidP="00130BCE">
            <w:pPr>
              <w:widowControl w:val="0"/>
              <w:rPr>
                <w:snapToGrid w:val="0"/>
                <w:sz w:val="20"/>
                <w:szCs w:val="20"/>
              </w:rPr>
            </w:pPr>
          </w:p>
        </w:tc>
        <w:tc>
          <w:tcPr>
            <w:tcW w:w="6774" w:type="dxa"/>
          </w:tcPr>
          <w:p w:rsidR="00130BCE" w:rsidRPr="00130BCE" w:rsidRDefault="00C476D8" w:rsidP="00130BCE">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q∈T</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 Residual</m:t>
                            </m:r>
                          </m:e>
                          <m:sub>
                            <m:r>
                              <w:rPr>
                                <w:rFonts w:ascii="Cambria Math" w:hAnsi="Cambria Math"/>
                                <w:snapToGrid w:val="0"/>
                                <w:sz w:val="20"/>
                                <w:szCs w:val="20"/>
                              </w:rPr>
                              <m:t>q,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q,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q,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GFR&amp;GFTCC</m:t>
                            </m:r>
                          </m:e>
                          <m:sub>
                            <m:r>
                              <w:rPr>
                                <w:rFonts w:ascii="Cambria Math" w:hAnsi="Cambria Math"/>
                                <w:snapToGrid w:val="0"/>
                                <w:sz w:val="20"/>
                                <w:szCs w:val="20"/>
                              </w:rPr>
                              <m:t>q, n</m:t>
                            </m:r>
                          </m:sub>
                        </m:sSub>
                      </m:e>
                    </m:d>
                  </m:e>
                </m:nary>
              </m:oMath>
            </m:oMathPara>
          </w:p>
        </w:tc>
      </w:tr>
    </w:tbl>
    <w:p w:rsidR="00916DF8" w:rsidRDefault="003909C1" w:rsidP="002A2FC7">
      <w:pPr>
        <w:pStyle w:val="Bodypara"/>
        <w:ind w:firstLine="0"/>
        <w:rPr>
          <w:rFonts w:eastAsia="Arial Unicode MS"/>
        </w:rPr>
      </w:pPr>
      <w:r>
        <w:rPr>
          <w:rFonts w:eastAsia="Arial Unicode MS"/>
        </w:rPr>
        <w:t>Where,</w:t>
      </w:r>
      <w:bookmarkEnd w:id="1061"/>
    </w:p>
    <w:p w:rsidR="00916DF8" w:rsidRDefault="003909C1">
      <w:pPr>
        <w:tabs>
          <w:tab w:val="left" w:pos="1308"/>
          <w:tab w:val="left" w:pos="2160"/>
        </w:tabs>
        <w:spacing w:after="120"/>
        <w:ind w:left="2160" w:hanging="2172"/>
        <w:rPr>
          <w:rFonts w:eastAsia="Arial Unicode MS"/>
          <w:i/>
          <w:iCs/>
        </w:rPr>
      </w:pPr>
      <w:bookmarkStart w:id="1062" w:name="_DV_C48"/>
      <w:r w:rsidRPr="00130BCE">
        <w:rPr>
          <w:rFonts w:eastAsia="Arial Unicode MS"/>
          <w:i/>
        </w:rPr>
        <w:t>NNAR</w:t>
      </w:r>
      <w:r w:rsidRPr="00130BCE">
        <w:rPr>
          <w:rFonts w:eastAsia="Arial Unicode MS"/>
          <w:i/>
          <w:vertAlign w:val="subscript"/>
        </w:rPr>
        <w:t>t,n</w:t>
      </w:r>
      <w:bookmarkEnd w:id="1062"/>
      <w:r>
        <w:rPr>
          <w:rFonts w:eastAsia="Arial Unicode MS"/>
          <w:vertAlign w:val="subscript"/>
        </w:rPr>
        <w:tab/>
      </w:r>
      <w:bookmarkStart w:id="1063" w:name="_DV_C49"/>
      <w:r>
        <w:rPr>
          <w:rFonts w:eastAsia="Arial Unicode MS"/>
        </w:rPr>
        <w:t>=</w:t>
      </w:r>
      <w:bookmarkEnd w:id="1063"/>
      <w:r>
        <w:rPr>
          <w:rFonts w:eastAsia="Arial Unicode MS"/>
        </w:rPr>
        <w:tab/>
      </w:r>
      <w:bookmarkStart w:id="1064"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64"/>
    </w:p>
    <w:p w:rsidR="00916DF8" w:rsidRDefault="003909C1">
      <w:pPr>
        <w:tabs>
          <w:tab w:val="left" w:pos="1308"/>
          <w:tab w:val="left" w:pos="2160"/>
        </w:tabs>
        <w:spacing w:after="120"/>
        <w:ind w:left="2160" w:hanging="2172"/>
        <w:rPr>
          <w:rFonts w:eastAsia="Arial Unicode MS"/>
        </w:rPr>
      </w:pPr>
      <w:bookmarkStart w:id="1065" w:name="_DV_C51"/>
      <w:r w:rsidRPr="00130BCE">
        <w:rPr>
          <w:rFonts w:eastAsia="Arial Unicode MS"/>
          <w:i/>
        </w:rPr>
        <w:t>Original Residual</w:t>
      </w:r>
      <w:r w:rsidRPr="00130BCE">
        <w:rPr>
          <w:rFonts w:eastAsia="Arial Unicode MS"/>
          <w:i/>
          <w:vertAlign w:val="subscript"/>
        </w:rPr>
        <w:t>q,n</w:t>
      </w:r>
      <w:bookmarkStart w:id="1066" w:name="_DV_C52"/>
      <w:bookmarkEnd w:id="1065"/>
      <w:r>
        <w:rPr>
          <w:rFonts w:eastAsia="Arial Unicode MS"/>
        </w:rPr>
        <w:t>=</w:t>
      </w:r>
      <w:bookmarkEnd w:id="1066"/>
      <w:r>
        <w:rPr>
          <w:rFonts w:eastAsia="Arial Unicode MS"/>
        </w:rPr>
        <w:tab/>
      </w:r>
      <w:bookmarkStart w:id="1067"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 of the reven</w:t>
      </w:r>
      <w:r>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Pr>
          <w:rFonts w:eastAsia="Arial Unicode MS"/>
        </w:rPr>
        <w:t xml:space="preserve">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Pr>
          <w:rFonts w:eastAsia="Arial Unicode MS"/>
        </w:rPr>
        <w:t>CCs in the Centralized TCC Auction sub-auction by the duration in months of the TCCs sold in that Centralized TCC Auction sub-auction</w:t>
      </w:r>
      <w:bookmarkEnd w:id="1067"/>
    </w:p>
    <w:p w:rsidR="00916DF8" w:rsidRDefault="003909C1">
      <w:pPr>
        <w:tabs>
          <w:tab w:val="left" w:pos="1308"/>
          <w:tab w:val="left" w:pos="2160"/>
        </w:tabs>
        <w:spacing w:after="120"/>
        <w:ind w:left="2160" w:hanging="2172"/>
        <w:rPr>
          <w:rFonts w:eastAsia="Arial Unicode MS"/>
          <w:i/>
          <w:iCs/>
        </w:rPr>
      </w:pPr>
      <w:bookmarkStart w:id="1068" w:name="_DV_C54"/>
      <w:r w:rsidRPr="00130BCE">
        <w:rPr>
          <w:rFonts w:eastAsia="Arial Unicode MS"/>
          <w:i/>
        </w:rPr>
        <w:t>ETCNL</w:t>
      </w:r>
      <w:r w:rsidRPr="00130BCE">
        <w:rPr>
          <w:rFonts w:eastAsia="Arial Unicode MS"/>
          <w:i/>
          <w:vertAlign w:val="subscript"/>
        </w:rPr>
        <w:t>q,n</w:t>
      </w:r>
      <w:bookmarkEnd w:id="1068"/>
      <w:r>
        <w:rPr>
          <w:rFonts w:eastAsia="Arial Unicode MS"/>
          <w:vertAlign w:val="subscript"/>
        </w:rPr>
        <w:tab/>
      </w:r>
      <w:bookmarkStart w:id="1069" w:name="_DV_C55"/>
      <w:r>
        <w:rPr>
          <w:rFonts w:eastAsia="Arial Unicode MS"/>
        </w:rPr>
        <w:t>=</w:t>
      </w:r>
      <w:bookmarkEnd w:id="1069"/>
      <w:r>
        <w:rPr>
          <w:rFonts w:eastAsia="Arial Unicode MS"/>
        </w:rPr>
        <w:tab/>
      </w:r>
      <w:bookmarkStart w:id="1070" w:name="_DV_C56"/>
      <w:r>
        <w:rPr>
          <w:rFonts w:eastAsia="Arial Unicode MS"/>
        </w:rPr>
        <w:t xml:space="preserve">The sum of the one-month portion of the revenues the Transmission Owner has received as payment for the Direct </w:t>
      </w:r>
      <w:r>
        <w:rPr>
          <w:rFonts w:eastAsia="Arial Unicode MS"/>
        </w:rPr>
        <w:t xml:space="preserve">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 Auction shal</w:t>
      </w:r>
      <w:r>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71" w:name="_DV_C58"/>
      <w:bookmarkEnd w:id="1070"/>
      <w:r>
        <w:rPr>
          <w:rFonts w:eastAsia="Arial Unicode MS"/>
        </w:rPr>
        <w:t xml:space="preserve">  The one-month portion o</w:t>
      </w:r>
      <w:r>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Pr>
          <w:rFonts w:eastAsia="Arial Unicode MS"/>
        </w:rPr>
        <w:t xml:space="preserve">g the month corresponding to Reconfiguration Auction </w:t>
      </w:r>
      <w:r>
        <w:rPr>
          <w:rFonts w:eastAsia="Arial Unicode MS"/>
          <w:i/>
          <w:iCs/>
        </w:rPr>
        <w:t>n</w:t>
      </w:r>
      <w:bookmarkEnd w:id="1071"/>
    </w:p>
    <w:p w:rsidR="00916DF8" w:rsidRDefault="003909C1">
      <w:pPr>
        <w:tabs>
          <w:tab w:val="left" w:pos="1308"/>
          <w:tab w:val="left" w:pos="2160"/>
        </w:tabs>
        <w:spacing w:after="120"/>
        <w:ind w:left="2160" w:hanging="2172"/>
        <w:rPr>
          <w:rFonts w:eastAsia="Arial Unicode MS"/>
          <w:i/>
          <w:iCs/>
        </w:rPr>
      </w:pPr>
      <w:bookmarkStart w:id="1072" w:name="_DV_C59"/>
      <w:r w:rsidRPr="00130BCE">
        <w:rPr>
          <w:rFonts w:eastAsia="Arial Unicode MS"/>
          <w:i/>
        </w:rPr>
        <w:t>NARs</w:t>
      </w:r>
      <w:r w:rsidRPr="00130BCE">
        <w:rPr>
          <w:rFonts w:eastAsia="Arial Unicode MS"/>
          <w:i/>
          <w:vertAlign w:val="subscript"/>
        </w:rPr>
        <w:t>q,n</w:t>
      </w:r>
      <w:bookmarkEnd w:id="1072"/>
      <w:r>
        <w:rPr>
          <w:rFonts w:eastAsia="Arial Unicode MS"/>
          <w:vertAlign w:val="subscript"/>
        </w:rPr>
        <w:tab/>
      </w:r>
      <w:bookmarkStart w:id="1073" w:name="_DV_C60"/>
      <w:r>
        <w:rPr>
          <w:rFonts w:eastAsia="Arial Unicode MS"/>
        </w:rPr>
        <w:t>=</w:t>
      </w:r>
      <w:bookmarkEnd w:id="1073"/>
      <w:r>
        <w:rPr>
          <w:rFonts w:eastAsia="Arial Unicode MS"/>
        </w:rPr>
        <w:tab/>
      </w:r>
      <w:bookmarkStart w:id="1074" w:name="_DV_C61"/>
      <w:r>
        <w:rPr>
          <w:rFonts w:eastAsia="Arial Unicode MS"/>
        </w:rPr>
        <w:t>The one-month portion of the Net Auction Revenues the Transmission Owner has received in Centralized TCC Auction sub-auctions and Reconfiguration Auctions held for TCCs valid for the month co</w:t>
      </w:r>
      <w:r>
        <w:rPr>
          <w:rFonts w:eastAsia="Arial Unicode MS"/>
        </w:rPr>
        <w:t xml:space="preserve">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 Centralized </w:t>
      </w:r>
      <w:r>
        <w:rPr>
          <w:rFonts w:eastAsia="Arial Unicode MS"/>
        </w:rPr>
        <w:t>TCC Auction sub-auction from the allocation of Net Auction Revenue pursuant to Section 17.5.3.7, divided by the duration in months of the TCCs sold in the Centralized TCC Auction sub-auction (or, to the extent TCC auction revenues were allocated pursuant t</w:t>
      </w:r>
      <w:r>
        <w:rPr>
          <w:rFonts w:eastAsia="Arial Unicode MS"/>
        </w:rPr>
        <w:t xml:space="preserve">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Transmission </w:t>
      </w:r>
      <w:r>
        <w:rPr>
          <w:rFonts w:eastAsia="Arial Unicode MS"/>
        </w:rPr>
        <w:t xml:space="preserve">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xml:space="preserve">, divided in each case by the duration in months of the TCCs sold in each Centralized TCC </w:t>
      </w:r>
      <w:r>
        <w:rPr>
          <w:rFonts w:eastAsia="Arial Unicode MS"/>
        </w:rPr>
        <w:t xml:space="preserve">Auction sub-auction (or,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w:t>
      </w:r>
      <w:r>
        <w:rPr>
          <w:rFonts w:eastAsia="Arial Unicode MS"/>
        </w:rPr>
        <w:t xml:space="preserve">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74"/>
    </w:p>
    <w:p w:rsidR="00916DF8" w:rsidRDefault="003909C1">
      <w:pPr>
        <w:tabs>
          <w:tab w:val="left" w:pos="1308"/>
          <w:tab w:val="left" w:pos="2160"/>
        </w:tabs>
        <w:spacing w:after="120"/>
        <w:ind w:left="2160" w:hanging="2172"/>
        <w:rPr>
          <w:rFonts w:eastAsia="Arial Unicode MS"/>
          <w:i/>
          <w:iCs/>
        </w:rPr>
      </w:pPr>
      <w:bookmarkStart w:id="1075" w:name="_DV_C62"/>
      <w:r w:rsidRPr="00130BCE">
        <w:rPr>
          <w:rFonts w:eastAsia="Arial Unicode MS"/>
          <w:i/>
        </w:rPr>
        <w:t>GFR&amp; GFTCC</w:t>
      </w:r>
      <w:r w:rsidRPr="00130BCE">
        <w:rPr>
          <w:rFonts w:eastAsia="Arial Unicode MS"/>
          <w:i/>
          <w:vertAlign w:val="subscript"/>
        </w:rPr>
        <w:t>q,n</w:t>
      </w:r>
      <w:bookmarkStart w:id="1076" w:name="_DV_C63"/>
      <w:bookmarkEnd w:id="1075"/>
      <w:r>
        <w:rPr>
          <w:rFonts w:eastAsia="Arial Unicode MS"/>
        </w:rPr>
        <w:t>=</w:t>
      </w:r>
      <w:bookmarkEnd w:id="1076"/>
      <w:r>
        <w:rPr>
          <w:rFonts w:eastAsia="Arial Unicode MS"/>
        </w:rPr>
        <w:tab/>
      </w:r>
      <w:bookmarkStart w:id="1077" w:name="_DV_C64"/>
      <w:r>
        <w:rPr>
          <w:rFonts w:eastAsia="Arial Unicode MS"/>
        </w:rPr>
        <w:t>The one-month portion of the imputed value of Grand</w:t>
      </w:r>
      <w:r>
        <w:rPr>
          <w:rFonts w:eastAsia="Arial Unicode MS"/>
        </w:rPr>
        <w:t xml:space="preserve">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Transmission Owner is the sellin</w:t>
      </w:r>
      <w:r>
        <w:rPr>
          <w:rFonts w:eastAsia="Arial Unicode MS"/>
        </w:rPr>
        <w:t xml:space="preserve">g party and the Existing Transmission Agreement related to each Grandfathered TCC and Grandfathered Right remains valid in the month corresponding to Reconfiguration Auction </w:t>
      </w:r>
      <w:r>
        <w:rPr>
          <w:rFonts w:eastAsia="Arial Unicode MS"/>
          <w:i/>
          <w:iCs/>
        </w:rPr>
        <w:t>n</w:t>
      </w:r>
      <w:bookmarkEnd w:id="1077"/>
    </w:p>
    <w:p w:rsidR="00916DF8" w:rsidRDefault="003909C1">
      <w:pPr>
        <w:tabs>
          <w:tab w:val="left" w:pos="1308"/>
          <w:tab w:val="left" w:pos="1710"/>
        </w:tabs>
        <w:spacing w:after="120"/>
        <w:ind w:left="2160" w:hanging="2172"/>
        <w:rPr>
          <w:rFonts w:eastAsia="Arial Unicode MS"/>
          <w:i/>
          <w:iCs/>
        </w:rPr>
      </w:pPr>
      <w:bookmarkStart w:id="1078" w:name="_DV_C65"/>
      <w:r w:rsidRPr="00130BCE">
        <w:rPr>
          <w:rFonts w:eastAsia="Arial Unicode MS"/>
          <w:i/>
        </w:rPr>
        <w:t>t</w:t>
      </w:r>
      <w:bookmarkEnd w:id="1078"/>
      <w:r>
        <w:rPr>
          <w:rFonts w:eastAsia="Arial Unicode MS"/>
        </w:rPr>
        <w:tab/>
      </w:r>
      <w:bookmarkStart w:id="1079" w:name="_DV_C66"/>
      <w:r>
        <w:rPr>
          <w:rFonts w:eastAsia="Arial Unicode MS"/>
        </w:rPr>
        <w:tab/>
        <w:t>=</w:t>
      </w:r>
      <w:bookmarkEnd w:id="1079"/>
      <w:r>
        <w:rPr>
          <w:rFonts w:eastAsia="Arial Unicode MS"/>
        </w:rPr>
        <w:tab/>
      </w:r>
      <w:bookmarkStart w:id="1080" w:name="_DV_C67"/>
      <w:r>
        <w:rPr>
          <w:rFonts w:eastAsia="Arial Unicode MS"/>
        </w:rPr>
        <w:t xml:space="preserve">Transmission Owner </w:t>
      </w:r>
      <w:r>
        <w:rPr>
          <w:rFonts w:eastAsia="Arial Unicode MS"/>
          <w:i/>
          <w:iCs/>
        </w:rPr>
        <w:t>t</w:t>
      </w:r>
      <w:bookmarkEnd w:id="1080"/>
    </w:p>
    <w:p w:rsidR="00916DF8" w:rsidRDefault="003909C1">
      <w:pPr>
        <w:tabs>
          <w:tab w:val="left" w:pos="1308"/>
          <w:tab w:val="left" w:pos="1710"/>
        </w:tabs>
        <w:spacing w:after="120"/>
        <w:ind w:left="2160" w:hanging="2172"/>
        <w:rPr>
          <w:rFonts w:eastAsia="Arial Unicode MS"/>
        </w:rPr>
      </w:pPr>
      <w:bookmarkStart w:id="1081" w:name="_DV_C68"/>
      <w:r w:rsidRPr="00130BCE">
        <w:rPr>
          <w:rFonts w:eastAsia="Arial Unicode MS"/>
          <w:i/>
        </w:rPr>
        <w:t>T</w:t>
      </w:r>
      <w:bookmarkEnd w:id="1081"/>
      <w:r>
        <w:rPr>
          <w:rFonts w:eastAsia="Arial Unicode MS"/>
        </w:rPr>
        <w:tab/>
      </w:r>
      <w:bookmarkStart w:id="1082" w:name="_DV_C69"/>
      <w:r>
        <w:rPr>
          <w:rFonts w:eastAsia="Arial Unicode MS"/>
        </w:rPr>
        <w:tab/>
        <w:t>=</w:t>
      </w:r>
      <w:bookmarkEnd w:id="1082"/>
      <w:r>
        <w:rPr>
          <w:rFonts w:eastAsia="Arial Unicode MS"/>
        </w:rPr>
        <w:tab/>
      </w:r>
      <w:bookmarkStart w:id="1083" w:name="_DV_C70"/>
      <w:r>
        <w:rPr>
          <w:rFonts w:eastAsia="Arial Unicode MS"/>
        </w:rPr>
        <w:t xml:space="preserve">The set of all Transmission Owners </w:t>
      </w:r>
      <w:r>
        <w:rPr>
          <w:rFonts w:eastAsia="Arial Unicode MS"/>
          <w:i/>
          <w:iCs/>
        </w:rPr>
        <w:t>q</w:t>
      </w:r>
      <w:r>
        <w:rPr>
          <w:rFonts w:eastAsia="Arial Unicode MS"/>
        </w:rPr>
        <w:t>.</w:t>
      </w:r>
      <w:bookmarkEnd w:id="1083"/>
    </w:p>
    <w:p w:rsidR="00916DF8" w:rsidRDefault="003909C1"/>
    <w:p w:rsidR="00916DF8" w:rsidRDefault="003909C1">
      <w:pPr>
        <w:pStyle w:val="Bodypara"/>
      </w:pPr>
      <w:r>
        <w:t xml:space="preserve">Each </w:t>
      </w:r>
      <w:r>
        <w:t>Transmission Owner’s share of Net Auction Revenues allocated pursuant to this Section 17.5.3.7 shall be incorporated into its TSC or NTAC, as the case may be.</w:t>
      </w:r>
    </w:p>
    <w:sectPr w:rsidR="00916DF8"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D8" w:rsidRDefault="00C476D8" w:rsidP="00C476D8">
      <w:r>
        <w:separator/>
      </w:r>
    </w:p>
  </w:endnote>
  <w:endnote w:type="continuationSeparator" w:id="0">
    <w:p w:rsidR="00C476D8" w:rsidRDefault="00C476D8" w:rsidP="00C47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D8" w:rsidRDefault="003909C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476D8">
      <w:rPr>
        <w:rFonts w:ascii="Arial" w:eastAsia="Arial" w:hAnsi="Arial" w:cs="Arial"/>
        <w:color w:val="000000"/>
        <w:sz w:val="16"/>
      </w:rPr>
      <w:fldChar w:fldCharType="begin"/>
    </w:r>
    <w:r>
      <w:rPr>
        <w:rFonts w:ascii="Arial" w:eastAsia="Arial" w:hAnsi="Arial" w:cs="Arial"/>
        <w:color w:val="000000"/>
        <w:sz w:val="16"/>
      </w:rPr>
      <w:instrText>PAGE</w:instrText>
    </w:r>
    <w:r w:rsidR="00C476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D8" w:rsidRDefault="003909C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476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76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D8" w:rsidRDefault="003909C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476D8">
      <w:rPr>
        <w:rFonts w:ascii="Arial" w:eastAsia="Arial" w:hAnsi="Arial" w:cs="Arial"/>
        <w:color w:val="000000"/>
        <w:sz w:val="16"/>
      </w:rPr>
      <w:fldChar w:fldCharType="begin"/>
    </w:r>
    <w:r>
      <w:rPr>
        <w:rFonts w:ascii="Arial" w:eastAsia="Arial" w:hAnsi="Arial" w:cs="Arial"/>
        <w:color w:val="000000"/>
        <w:sz w:val="16"/>
      </w:rPr>
      <w:instrText>PAGE</w:instrText>
    </w:r>
    <w:r w:rsidR="00C476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1D" w:rsidRDefault="003909C1">
      <w:r>
        <w:separator/>
      </w:r>
    </w:p>
  </w:footnote>
  <w:footnote w:type="continuationSeparator" w:id="0">
    <w:p w:rsidR="008A771D" w:rsidRDefault="003909C1">
      <w:r>
        <w:continuationSeparator/>
      </w:r>
    </w:p>
  </w:footnote>
  <w:footnote w:id="1">
    <w:p w:rsidR="008A771D" w:rsidRDefault="003909C1"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matches the number of</w:t>
      </w:r>
      <w:r>
        <w:t xml:space="preserve"> TCCs and Grandfathered Rights specifying that location as a POI, and the quantity of Energy withdrawn at each location matches the number of TCCs and Grandfathered Rights specifying that location as a POW.</w:t>
      </w:r>
    </w:p>
  </w:footnote>
  <w:footnote w:id="2">
    <w:p w:rsidR="008A771D" w:rsidRDefault="003909C1">
      <w:pPr>
        <w:pStyle w:val="FootnoteText"/>
      </w:pPr>
      <w:r>
        <w:rPr>
          <w:rFonts w:ascii="Times" w:hAnsi="Times"/>
          <w:vertAlign w:val="superscript"/>
        </w:rPr>
        <w:t>2</w:t>
      </w:r>
      <w:r>
        <w:rPr>
          <w:vertAlign w:val="superscript"/>
        </w:rPr>
        <w:t xml:space="preserve"> </w:t>
      </w:r>
      <w:r>
        <w:t>A TCC corresponds to ETCNL if it has the same P</w:t>
      </w:r>
      <w:r>
        <w:t>OI and POW as the ETCNL.</w:t>
      </w:r>
    </w:p>
  </w:footnote>
  <w:footnote w:id="3">
    <w:p w:rsidR="008A771D" w:rsidRDefault="003909C1">
      <w:pPr>
        <w:pStyle w:val="FootnoteText"/>
      </w:pPr>
      <w:r>
        <w:rPr>
          <w:rFonts w:ascii="Times" w:hAnsi="Times"/>
          <w:vertAlign w:val="superscript"/>
        </w:rPr>
        <w:t>3</w:t>
      </w:r>
      <w:r>
        <w:t xml:space="preserve"> These TCCs include TCCs, if any, associated with those rate schedules to which footnote 9 of Attachment L of the ISO OATT pertains, whether by mutual agreement or otherwise.</w:t>
      </w:r>
    </w:p>
  </w:footnote>
  <w:footnote w:id="4">
    <w:p w:rsidR="008A771D" w:rsidRDefault="003909C1">
      <w:pPr>
        <w:pStyle w:val="FootnoteText"/>
        <w:rPr>
          <w:color w:val="000000"/>
        </w:rPr>
      </w:pPr>
      <w:r>
        <w:rPr>
          <w:vertAlign w:val="superscript"/>
        </w:rPr>
        <w:t>1</w:t>
      </w:r>
      <w:r>
        <w:t xml:space="preserve"> A TCC corresponds to ETCNL if it has the same POI and</w:t>
      </w:r>
      <w:r>
        <w:t xml:space="preserve">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D8" w:rsidRDefault="003909C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D8" w:rsidRDefault="003909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w:t>
    </w:r>
    <w:r>
      <w:rPr>
        <w:rFonts w:ascii="Arial" w:eastAsia="Arial" w:hAnsi="Arial" w:cs="Arial"/>
        <w:color w:val="000000"/>
        <w:sz w:val="16"/>
      </w:rPr>
      <w:t>ST Att B Congestion Settlements Related To The Day-Ahe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D8" w:rsidRDefault="003909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w:t>
    </w:r>
    <w:r>
      <w:rPr>
        <w:rFonts w:ascii="Arial" w:eastAsia="Arial" w:hAnsi="Arial" w:cs="Arial"/>
        <w:color w:val="000000"/>
        <w:sz w:val="16"/>
      </w:rPr>
      <w:t xml:space="preserve">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FA09188">
      <w:start w:val="1"/>
      <w:numFmt w:val="bullet"/>
      <w:pStyle w:val="Bulletpara"/>
      <w:lvlText w:val=""/>
      <w:lvlJc w:val="left"/>
      <w:pPr>
        <w:tabs>
          <w:tab w:val="num" w:pos="720"/>
        </w:tabs>
        <w:ind w:left="720" w:hanging="360"/>
      </w:pPr>
      <w:rPr>
        <w:rFonts w:ascii="Symbol" w:hAnsi="Symbol" w:hint="default"/>
      </w:rPr>
    </w:lvl>
    <w:lvl w:ilvl="1" w:tplc="A594AA84" w:tentative="1">
      <w:start w:val="1"/>
      <w:numFmt w:val="bullet"/>
      <w:lvlText w:val="o"/>
      <w:lvlJc w:val="left"/>
      <w:pPr>
        <w:tabs>
          <w:tab w:val="num" w:pos="1440"/>
        </w:tabs>
        <w:ind w:left="1440" w:hanging="360"/>
      </w:pPr>
      <w:rPr>
        <w:rFonts w:ascii="Courier New" w:hAnsi="Courier New" w:hint="default"/>
      </w:rPr>
    </w:lvl>
    <w:lvl w:ilvl="2" w:tplc="2544FE1C" w:tentative="1">
      <w:start w:val="1"/>
      <w:numFmt w:val="bullet"/>
      <w:lvlText w:val=""/>
      <w:lvlJc w:val="left"/>
      <w:pPr>
        <w:tabs>
          <w:tab w:val="num" w:pos="2160"/>
        </w:tabs>
        <w:ind w:left="2160" w:hanging="360"/>
      </w:pPr>
      <w:rPr>
        <w:rFonts w:ascii="Wingdings" w:hAnsi="Wingdings" w:hint="default"/>
      </w:rPr>
    </w:lvl>
    <w:lvl w:ilvl="3" w:tplc="165C347A" w:tentative="1">
      <w:start w:val="1"/>
      <w:numFmt w:val="bullet"/>
      <w:lvlText w:val=""/>
      <w:lvlJc w:val="left"/>
      <w:pPr>
        <w:tabs>
          <w:tab w:val="num" w:pos="2880"/>
        </w:tabs>
        <w:ind w:left="2880" w:hanging="360"/>
      </w:pPr>
      <w:rPr>
        <w:rFonts w:ascii="Symbol" w:hAnsi="Symbol" w:hint="default"/>
      </w:rPr>
    </w:lvl>
    <w:lvl w:ilvl="4" w:tplc="8DE2BF0C" w:tentative="1">
      <w:start w:val="1"/>
      <w:numFmt w:val="bullet"/>
      <w:lvlText w:val="o"/>
      <w:lvlJc w:val="left"/>
      <w:pPr>
        <w:tabs>
          <w:tab w:val="num" w:pos="3600"/>
        </w:tabs>
        <w:ind w:left="3600" w:hanging="360"/>
      </w:pPr>
      <w:rPr>
        <w:rFonts w:ascii="Courier New" w:hAnsi="Courier New" w:hint="default"/>
      </w:rPr>
    </w:lvl>
    <w:lvl w:ilvl="5" w:tplc="D5D6FF9C" w:tentative="1">
      <w:start w:val="1"/>
      <w:numFmt w:val="bullet"/>
      <w:lvlText w:val=""/>
      <w:lvlJc w:val="left"/>
      <w:pPr>
        <w:tabs>
          <w:tab w:val="num" w:pos="4320"/>
        </w:tabs>
        <w:ind w:left="4320" w:hanging="360"/>
      </w:pPr>
      <w:rPr>
        <w:rFonts w:ascii="Wingdings" w:hAnsi="Wingdings" w:hint="default"/>
      </w:rPr>
    </w:lvl>
    <w:lvl w:ilvl="6" w:tplc="C55622C2" w:tentative="1">
      <w:start w:val="1"/>
      <w:numFmt w:val="bullet"/>
      <w:lvlText w:val=""/>
      <w:lvlJc w:val="left"/>
      <w:pPr>
        <w:tabs>
          <w:tab w:val="num" w:pos="5040"/>
        </w:tabs>
        <w:ind w:left="5040" w:hanging="360"/>
      </w:pPr>
      <w:rPr>
        <w:rFonts w:ascii="Symbol" w:hAnsi="Symbol" w:hint="default"/>
      </w:rPr>
    </w:lvl>
    <w:lvl w:ilvl="7" w:tplc="B3C2BF9E" w:tentative="1">
      <w:start w:val="1"/>
      <w:numFmt w:val="bullet"/>
      <w:lvlText w:val="o"/>
      <w:lvlJc w:val="left"/>
      <w:pPr>
        <w:tabs>
          <w:tab w:val="num" w:pos="5760"/>
        </w:tabs>
        <w:ind w:left="5760" w:hanging="360"/>
      </w:pPr>
      <w:rPr>
        <w:rFonts w:ascii="Courier New" w:hAnsi="Courier New" w:hint="default"/>
      </w:rPr>
    </w:lvl>
    <w:lvl w:ilvl="8" w:tplc="A6AECD0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A6FA6B84">
      <w:start w:val="1"/>
      <w:numFmt w:val="decimal"/>
      <w:lvlText w:val="%1)"/>
      <w:lvlJc w:val="left"/>
      <w:pPr>
        <w:tabs>
          <w:tab w:val="num" w:pos="720"/>
        </w:tabs>
        <w:ind w:left="720" w:hanging="360"/>
      </w:pPr>
    </w:lvl>
    <w:lvl w:ilvl="1" w:tplc="299EECA0">
      <w:start w:val="1"/>
      <w:numFmt w:val="lowerLetter"/>
      <w:lvlText w:val="%2."/>
      <w:lvlJc w:val="left"/>
      <w:pPr>
        <w:tabs>
          <w:tab w:val="num" w:pos="1440"/>
        </w:tabs>
        <w:ind w:left="1440" w:hanging="360"/>
      </w:pPr>
    </w:lvl>
    <w:lvl w:ilvl="2" w:tplc="7602A4CC">
      <w:start w:val="1"/>
      <w:numFmt w:val="lowerRoman"/>
      <w:lvlText w:val="%3."/>
      <w:lvlJc w:val="right"/>
      <w:pPr>
        <w:tabs>
          <w:tab w:val="num" w:pos="2160"/>
        </w:tabs>
        <w:ind w:left="2160" w:hanging="180"/>
      </w:pPr>
    </w:lvl>
    <w:lvl w:ilvl="3" w:tplc="A39C0EC8" w:tentative="1">
      <w:start w:val="1"/>
      <w:numFmt w:val="decimal"/>
      <w:lvlText w:val="%4."/>
      <w:lvlJc w:val="left"/>
      <w:pPr>
        <w:tabs>
          <w:tab w:val="num" w:pos="2880"/>
        </w:tabs>
        <w:ind w:left="2880" w:hanging="360"/>
      </w:pPr>
    </w:lvl>
    <w:lvl w:ilvl="4" w:tplc="8A2060BE" w:tentative="1">
      <w:start w:val="1"/>
      <w:numFmt w:val="lowerLetter"/>
      <w:lvlText w:val="%5."/>
      <w:lvlJc w:val="left"/>
      <w:pPr>
        <w:tabs>
          <w:tab w:val="num" w:pos="3600"/>
        </w:tabs>
        <w:ind w:left="3600" w:hanging="360"/>
      </w:pPr>
    </w:lvl>
    <w:lvl w:ilvl="5" w:tplc="B5B2017E" w:tentative="1">
      <w:start w:val="1"/>
      <w:numFmt w:val="lowerRoman"/>
      <w:lvlText w:val="%6."/>
      <w:lvlJc w:val="right"/>
      <w:pPr>
        <w:tabs>
          <w:tab w:val="num" w:pos="4320"/>
        </w:tabs>
        <w:ind w:left="4320" w:hanging="180"/>
      </w:pPr>
    </w:lvl>
    <w:lvl w:ilvl="6" w:tplc="92D4724C" w:tentative="1">
      <w:start w:val="1"/>
      <w:numFmt w:val="decimal"/>
      <w:lvlText w:val="%7."/>
      <w:lvlJc w:val="left"/>
      <w:pPr>
        <w:tabs>
          <w:tab w:val="num" w:pos="5040"/>
        </w:tabs>
        <w:ind w:left="5040" w:hanging="360"/>
      </w:pPr>
    </w:lvl>
    <w:lvl w:ilvl="7" w:tplc="2F1CC010" w:tentative="1">
      <w:start w:val="1"/>
      <w:numFmt w:val="lowerLetter"/>
      <w:lvlText w:val="%8."/>
      <w:lvlJc w:val="left"/>
      <w:pPr>
        <w:tabs>
          <w:tab w:val="num" w:pos="5760"/>
        </w:tabs>
        <w:ind w:left="5760" w:hanging="360"/>
      </w:pPr>
    </w:lvl>
    <w:lvl w:ilvl="8" w:tplc="DB5C003A"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312816DE">
      <w:start w:val="2"/>
      <w:numFmt w:val="lowerRoman"/>
      <w:lvlText w:val="(%1)"/>
      <w:lvlJc w:val="left"/>
      <w:pPr>
        <w:tabs>
          <w:tab w:val="num" w:pos="1440"/>
        </w:tabs>
        <w:ind w:left="1440" w:hanging="720"/>
      </w:pPr>
      <w:rPr>
        <w:rFonts w:hint="default"/>
      </w:rPr>
    </w:lvl>
    <w:lvl w:ilvl="1" w:tplc="9ED4A450" w:tentative="1">
      <w:start w:val="1"/>
      <w:numFmt w:val="lowerLetter"/>
      <w:lvlText w:val="%2."/>
      <w:lvlJc w:val="left"/>
      <w:pPr>
        <w:tabs>
          <w:tab w:val="num" w:pos="1800"/>
        </w:tabs>
        <w:ind w:left="1800" w:hanging="360"/>
      </w:pPr>
    </w:lvl>
    <w:lvl w:ilvl="2" w:tplc="1B8E772A" w:tentative="1">
      <w:start w:val="1"/>
      <w:numFmt w:val="lowerRoman"/>
      <w:lvlText w:val="%3."/>
      <w:lvlJc w:val="right"/>
      <w:pPr>
        <w:tabs>
          <w:tab w:val="num" w:pos="2520"/>
        </w:tabs>
        <w:ind w:left="2520" w:hanging="180"/>
      </w:pPr>
    </w:lvl>
    <w:lvl w:ilvl="3" w:tplc="F282EA96" w:tentative="1">
      <w:start w:val="1"/>
      <w:numFmt w:val="decimal"/>
      <w:lvlText w:val="%4."/>
      <w:lvlJc w:val="left"/>
      <w:pPr>
        <w:tabs>
          <w:tab w:val="num" w:pos="3240"/>
        </w:tabs>
        <w:ind w:left="3240" w:hanging="360"/>
      </w:pPr>
    </w:lvl>
    <w:lvl w:ilvl="4" w:tplc="FBF45E82" w:tentative="1">
      <w:start w:val="1"/>
      <w:numFmt w:val="lowerLetter"/>
      <w:lvlText w:val="%5."/>
      <w:lvlJc w:val="left"/>
      <w:pPr>
        <w:tabs>
          <w:tab w:val="num" w:pos="3960"/>
        </w:tabs>
        <w:ind w:left="3960" w:hanging="360"/>
      </w:pPr>
    </w:lvl>
    <w:lvl w:ilvl="5" w:tplc="09FC81E0" w:tentative="1">
      <w:start w:val="1"/>
      <w:numFmt w:val="lowerRoman"/>
      <w:lvlText w:val="%6."/>
      <w:lvlJc w:val="right"/>
      <w:pPr>
        <w:tabs>
          <w:tab w:val="num" w:pos="4680"/>
        </w:tabs>
        <w:ind w:left="4680" w:hanging="180"/>
      </w:pPr>
    </w:lvl>
    <w:lvl w:ilvl="6" w:tplc="0422E0DA" w:tentative="1">
      <w:start w:val="1"/>
      <w:numFmt w:val="decimal"/>
      <w:lvlText w:val="%7."/>
      <w:lvlJc w:val="left"/>
      <w:pPr>
        <w:tabs>
          <w:tab w:val="num" w:pos="5400"/>
        </w:tabs>
        <w:ind w:left="5400" w:hanging="360"/>
      </w:pPr>
    </w:lvl>
    <w:lvl w:ilvl="7" w:tplc="951829BE" w:tentative="1">
      <w:start w:val="1"/>
      <w:numFmt w:val="lowerLetter"/>
      <w:lvlText w:val="%8."/>
      <w:lvlJc w:val="left"/>
      <w:pPr>
        <w:tabs>
          <w:tab w:val="num" w:pos="6120"/>
        </w:tabs>
        <w:ind w:left="6120" w:hanging="360"/>
      </w:pPr>
    </w:lvl>
    <w:lvl w:ilvl="8" w:tplc="B0CE8674"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B01CD77E">
      <w:start w:val="1"/>
      <w:numFmt w:val="bullet"/>
      <w:lvlText w:val=""/>
      <w:lvlJc w:val="left"/>
      <w:pPr>
        <w:tabs>
          <w:tab w:val="num" w:pos="1440"/>
        </w:tabs>
        <w:ind w:left="1440" w:hanging="360"/>
      </w:pPr>
      <w:rPr>
        <w:rFonts w:ascii="Symbol" w:hAnsi="Symbol" w:hint="default"/>
      </w:rPr>
    </w:lvl>
    <w:lvl w:ilvl="1" w:tplc="BBBC9876" w:tentative="1">
      <w:start w:val="1"/>
      <w:numFmt w:val="bullet"/>
      <w:lvlText w:val="o"/>
      <w:lvlJc w:val="left"/>
      <w:pPr>
        <w:tabs>
          <w:tab w:val="num" w:pos="2160"/>
        </w:tabs>
        <w:ind w:left="2160" w:hanging="360"/>
      </w:pPr>
      <w:rPr>
        <w:rFonts w:ascii="Courier New" w:hAnsi="Courier New" w:hint="default"/>
      </w:rPr>
    </w:lvl>
    <w:lvl w:ilvl="2" w:tplc="757C966C" w:tentative="1">
      <w:start w:val="1"/>
      <w:numFmt w:val="bullet"/>
      <w:lvlText w:val=""/>
      <w:lvlJc w:val="left"/>
      <w:pPr>
        <w:tabs>
          <w:tab w:val="num" w:pos="2880"/>
        </w:tabs>
        <w:ind w:left="2880" w:hanging="360"/>
      </w:pPr>
      <w:rPr>
        <w:rFonts w:ascii="Wingdings" w:hAnsi="Wingdings" w:hint="default"/>
      </w:rPr>
    </w:lvl>
    <w:lvl w:ilvl="3" w:tplc="3320B16A" w:tentative="1">
      <w:start w:val="1"/>
      <w:numFmt w:val="bullet"/>
      <w:lvlText w:val=""/>
      <w:lvlJc w:val="left"/>
      <w:pPr>
        <w:tabs>
          <w:tab w:val="num" w:pos="3600"/>
        </w:tabs>
        <w:ind w:left="3600" w:hanging="360"/>
      </w:pPr>
      <w:rPr>
        <w:rFonts w:ascii="Symbol" w:hAnsi="Symbol" w:hint="default"/>
      </w:rPr>
    </w:lvl>
    <w:lvl w:ilvl="4" w:tplc="D752136E" w:tentative="1">
      <w:start w:val="1"/>
      <w:numFmt w:val="bullet"/>
      <w:lvlText w:val="o"/>
      <w:lvlJc w:val="left"/>
      <w:pPr>
        <w:tabs>
          <w:tab w:val="num" w:pos="4320"/>
        </w:tabs>
        <w:ind w:left="4320" w:hanging="360"/>
      </w:pPr>
      <w:rPr>
        <w:rFonts w:ascii="Courier New" w:hAnsi="Courier New" w:hint="default"/>
      </w:rPr>
    </w:lvl>
    <w:lvl w:ilvl="5" w:tplc="A5AC4978" w:tentative="1">
      <w:start w:val="1"/>
      <w:numFmt w:val="bullet"/>
      <w:lvlText w:val=""/>
      <w:lvlJc w:val="left"/>
      <w:pPr>
        <w:tabs>
          <w:tab w:val="num" w:pos="5040"/>
        </w:tabs>
        <w:ind w:left="5040" w:hanging="360"/>
      </w:pPr>
      <w:rPr>
        <w:rFonts w:ascii="Wingdings" w:hAnsi="Wingdings" w:hint="default"/>
      </w:rPr>
    </w:lvl>
    <w:lvl w:ilvl="6" w:tplc="E012C562" w:tentative="1">
      <w:start w:val="1"/>
      <w:numFmt w:val="bullet"/>
      <w:lvlText w:val=""/>
      <w:lvlJc w:val="left"/>
      <w:pPr>
        <w:tabs>
          <w:tab w:val="num" w:pos="5760"/>
        </w:tabs>
        <w:ind w:left="5760" w:hanging="360"/>
      </w:pPr>
      <w:rPr>
        <w:rFonts w:ascii="Symbol" w:hAnsi="Symbol" w:hint="default"/>
      </w:rPr>
    </w:lvl>
    <w:lvl w:ilvl="7" w:tplc="E4D2E5A8" w:tentative="1">
      <w:start w:val="1"/>
      <w:numFmt w:val="bullet"/>
      <w:lvlText w:val="o"/>
      <w:lvlJc w:val="left"/>
      <w:pPr>
        <w:tabs>
          <w:tab w:val="num" w:pos="6480"/>
        </w:tabs>
        <w:ind w:left="6480" w:hanging="360"/>
      </w:pPr>
      <w:rPr>
        <w:rFonts w:ascii="Courier New" w:hAnsi="Courier New" w:hint="default"/>
      </w:rPr>
    </w:lvl>
    <w:lvl w:ilvl="8" w:tplc="055A92C2"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513005C2">
      <w:start w:val="1"/>
      <w:numFmt w:val="lowerRoman"/>
      <w:lvlText w:val="(%1)"/>
      <w:lvlJc w:val="left"/>
      <w:pPr>
        <w:tabs>
          <w:tab w:val="num" w:pos="2448"/>
        </w:tabs>
        <w:ind w:left="2448" w:hanging="648"/>
      </w:pPr>
      <w:rPr>
        <w:rFonts w:cs="Times New Roman" w:hint="default"/>
        <w:b w:val="0"/>
        <w:i w:val="0"/>
        <w:u w:val="none"/>
      </w:rPr>
    </w:lvl>
    <w:lvl w:ilvl="1" w:tplc="4E7E9FE4" w:tentative="1">
      <w:start w:val="1"/>
      <w:numFmt w:val="lowerLetter"/>
      <w:lvlText w:val="%2."/>
      <w:lvlJc w:val="left"/>
      <w:pPr>
        <w:tabs>
          <w:tab w:val="num" w:pos="1440"/>
        </w:tabs>
        <w:ind w:left="1440" w:hanging="360"/>
      </w:pPr>
      <w:rPr>
        <w:rFonts w:cs="Times New Roman"/>
      </w:rPr>
    </w:lvl>
    <w:lvl w:ilvl="2" w:tplc="6C882008" w:tentative="1">
      <w:start w:val="1"/>
      <w:numFmt w:val="lowerRoman"/>
      <w:lvlText w:val="%3."/>
      <w:lvlJc w:val="right"/>
      <w:pPr>
        <w:tabs>
          <w:tab w:val="num" w:pos="2160"/>
        </w:tabs>
        <w:ind w:left="2160" w:hanging="180"/>
      </w:pPr>
      <w:rPr>
        <w:rFonts w:cs="Times New Roman"/>
      </w:rPr>
    </w:lvl>
    <w:lvl w:ilvl="3" w:tplc="19A66420" w:tentative="1">
      <w:start w:val="1"/>
      <w:numFmt w:val="decimal"/>
      <w:lvlText w:val="%4."/>
      <w:lvlJc w:val="left"/>
      <w:pPr>
        <w:tabs>
          <w:tab w:val="num" w:pos="2880"/>
        </w:tabs>
        <w:ind w:left="2880" w:hanging="360"/>
      </w:pPr>
      <w:rPr>
        <w:rFonts w:cs="Times New Roman"/>
      </w:rPr>
    </w:lvl>
    <w:lvl w:ilvl="4" w:tplc="8CB8F38E" w:tentative="1">
      <w:start w:val="1"/>
      <w:numFmt w:val="lowerLetter"/>
      <w:lvlText w:val="%5."/>
      <w:lvlJc w:val="left"/>
      <w:pPr>
        <w:tabs>
          <w:tab w:val="num" w:pos="3600"/>
        </w:tabs>
        <w:ind w:left="3600" w:hanging="360"/>
      </w:pPr>
      <w:rPr>
        <w:rFonts w:cs="Times New Roman"/>
      </w:rPr>
    </w:lvl>
    <w:lvl w:ilvl="5" w:tplc="1644ACBE" w:tentative="1">
      <w:start w:val="1"/>
      <w:numFmt w:val="lowerRoman"/>
      <w:lvlText w:val="%6."/>
      <w:lvlJc w:val="right"/>
      <w:pPr>
        <w:tabs>
          <w:tab w:val="num" w:pos="4320"/>
        </w:tabs>
        <w:ind w:left="4320" w:hanging="180"/>
      </w:pPr>
      <w:rPr>
        <w:rFonts w:cs="Times New Roman"/>
      </w:rPr>
    </w:lvl>
    <w:lvl w:ilvl="6" w:tplc="96A82C3C" w:tentative="1">
      <w:start w:val="1"/>
      <w:numFmt w:val="decimal"/>
      <w:lvlText w:val="%7."/>
      <w:lvlJc w:val="left"/>
      <w:pPr>
        <w:tabs>
          <w:tab w:val="num" w:pos="5040"/>
        </w:tabs>
        <w:ind w:left="5040" w:hanging="360"/>
      </w:pPr>
      <w:rPr>
        <w:rFonts w:cs="Times New Roman"/>
      </w:rPr>
    </w:lvl>
    <w:lvl w:ilvl="7" w:tplc="6582A86E" w:tentative="1">
      <w:start w:val="1"/>
      <w:numFmt w:val="lowerLetter"/>
      <w:lvlText w:val="%8."/>
      <w:lvlJc w:val="left"/>
      <w:pPr>
        <w:tabs>
          <w:tab w:val="num" w:pos="5760"/>
        </w:tabs>
        <w:ind w:left="5760" w:hanging="360"/>
      </w:pPr>
      <w:rPr>
        <w:rFonts w:cs="Times New Roman"/>
      </w:rPr>
    </w:lvl>
    <w:lvl w:ilvl="8" w:tplc="2400A04E"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2B107F42">
      <w:start w:val="5"/>
      <w:numFmt w:val="lowerRoman"/>
      <w:lvlText w:val="(%1)"/>
      <w:lvlJc w:val="left"/>
      <w:pPr>
        <w:tabs>
          <w:tab w:val="num" w:pos="1440"/>
        </w:tabs>
        <w:ind w:left="1440" w:hanging="720"/>
      </w:pPr>
      <w:rPr>
        <w:rFonts w:hint="default"/>
      </w:rPr>
    </w:lvl>
    <w:lvl w:ilvl="1" w:tplc="936AC5B2" w:tentative="1">
      <w:start w:val="1"/>
      <w:numFmt w:val="lowerLetter"/>
      <w:lvlText w:val="%2."/>
      <w:lvlJc w:val="left"/>
      <w:pPr>
        <w:tabs>
          <w:tab w:val="num" w:pos="1800"/>
        </w:tabs>
        <w:ind w:left="1800" w:hanging="360"/>
      </w:pPr>
    </w:lvl>
    <w:lvl w:ilvl="2" w:tplc="BBA40C74" w:tentative="1">
      <w:start w:val="1"/>
      <w:numFmt w:val="lowerRoman"/>
      <w:lvlText w:val="%3."/>
      <w:lvlJc w:val="right"/>
      <w:pPr>
        <w:tabs>
          <w:tab w:val="num" w:pos="2520"/>
        </w:tabs>
        <w:ind w:left="2520" w:hanging="180"/>
      </w:pPr>
    </w:lvl>
    <w:lvl w:ilvl="3" w:tplc="035057AA" w:tentative="1">
      <w:start w:val="1"/>
      <w:numFmt w:val="decimal"/>
      <w:lvlText w:val="%4."/>
      <w:lvlJc w:val="left"/>
      <w:pPr>
        <w:tabs>
          <w:tab w:val="num" w:pos="3240"/>
        </w:tabs>
        <w:ind w:left="3240" w:hanging="360"/>
      </w:pPr>
    </w:lvl>
    <w:lvl w:ilvl="4" w:tplc="A9EA1BB2" w:tentative="1">
      <w:start w:val="1"/>
      <w:numFmt w:val="lowerLetter"/>
      <w:lvlText w:val="%5."/>
      <w:lvlJc w:val="left"/>
      <w:pPr>
        <w:tabs>
          <w:tab w:val="num" w:pos="3960"/>
        </w:tabs>
        <w:ind w:left="3960" w:hanging="360"/>
      </w:pPr>
    </w:lvl>
    <w:lvl w:ilvl="5" w:tplc="0532CAE2" w:tentative="1">
      <w:start w:val="1"/>
      <w:numFmt w:val="lowerRoman"/>
      <w:lvlText w:val="%6."/>
      <w:lvlJc w:val="right"/>
      <w:pPr>
        <w:tabs>
          <w:tab w:val="num" w:pos="4680"/>
        </w:tabs>
        <w:ind w:left="4680" w:hanging="180"/>
      </w:pPr>
    </w:lvl>
    <w:lvl w:ilvl="6" w:tplc="EAA2D720" w:tentative="1">
      <w:start w:val="1"/>
      <w:numFmt w:val="decimal"/>
      <w:lvlText w:val="%7."/>
      <w:lvlJc w:val="left"/>
      <w:pPr>
        <w:tabs>
          <w:tab w:val="num" w:pos="5400"/>
        </w:tabs>
        <w:ind w:left="5400" w:hanging="360"/>
      </w:pPr>
    </w:lvl>
    <w:lvl w:ilvl="7" w:tplc="83385F66" w:tentative="1">
      <w:start w:val="1"/>
      <w:numFmt w:val="lowerLetter"/>
      <w:lvlText w:val="%8."/>
      <w:lvlJc w:val="left"/>
      <w:pPr>
        <w:tabs>
          <w:tab w:val="num" w:pos="6120"/>
        </w:tabs>
        <w:ind w:left="6120" w:hanging="360"/>
      </w:pPr>
    </w:lvl>
    <w:lvl w:ilvl="8" w:tplc="61CE8450"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CB46C462">
      <w:start w:val="1"/>
      <w:numFmt w:val="decimal"/>
      <w:lvlText w:val="%1."/>
      <w:lvlJc w:val="left"/>
      <w:pPr>
        <w:tabs>
          <w:tab w:val="num" w:pos="720"/>
        </w:tabs>
        <w:ind w:left="720" w:hanging="360"/>
      </w:pPr>
      <w:rPr>
        <w:rFonts w:cs="Times New Roman"/>
      </w:rPr>
    </w:lvl>
    <w:lvl w:ilvl="1" w:tplc="62D618AC" w:tentative="1">
      <w:start w:val="1"/>
      <w:numFmt w:val="lowerLetter"/>
      <w:lvlText w:val="%2."/>
      <w:lvlJc w:val="left"/>
      <w:pPr>
        <w:tabs>
          <w:tab w:val="num" w:pos="1440"/>
        </w:tabs>
        <w:ind w:left="1440" w:hanging="360"/>
      </w:pPr>
      <w:rPr>
        <w:rFonts w:cs="Times New Roman"/>
      </w:rPr>
    </w:lvl>
    <w:lvl w:ilvl="2" w:tplc="FE66450E" w:tentative="1">
      <w:start w:val="1"/>
      <w:numFmt w:val="lowerRoman"/>
      <w:lvlText w:val="%3."/>
      <w:lvlJc w:val="right"/>
      <w:pPr>
        <w:tabs>
          <w:tab w:val="num" w:pos="2160"/>
        </w:tabs>
        <w:ind w:left="2160" w:hanging="180"/>
      </w:pPr>
      <w:rPr>
        <w:rFonts w:cs="Times New Roman"/>
      </w:rPr>
    </w:lvl>
    <w:lvl w:ilvl="3" w:tplc="A5C29BAC" w:tentative="1">
      <w:start w:val="1"/>
      <w:numFmt w:val="decimal"/>
      <w:lvlText w:val="%4."/>
      <w:lvlJc w:val="left"/>
      <w:pPr>
        <w:tabs>
          <w:tab w:val="num" w:pos="2880"/>
        </w:tabs>
        <w:ind w:left="2880" w:hanging="360"/>
      </w:pPr>
      <w:rPr>
        <w:rFonts w:cs="Times New Roman"/>
      </w:rPr>
    </w:lvl>
    <w:lvl w:ilvl="4" w:tplc="B85AE662" w:tentative="1">
      <w:start w:val="1"/>
      <w:numFmt w:val="lowerLetter"/>
      <w:lvlText w:val="%5."/>
      <w:lvlJc w:val="left"/>
      <w:pPr>
        <w:tabs>
          <w:tab w:val="num" w:pos="3600"/>
        </w:tabs>
        <w:ind w:left="3600" w:hanging="360"/>
      </w:pPr>
      <w:rPr>
        <w:rFonts w:cs="Times New Roman"/>
      </w:rPr>
    </w:lvl>
    <w:lvl w:ilvl="5" w:tplc="C016AF84" w:tentative="1">
      <w:start w:val="1"/>
      <w:numFmt w:val="lowerRoman"/>
      <w:lvlText w:val="%6."/>
      <w:lvlJc w:val="right"/>
      <w:pPr>
        <w:tabs>
          <w:tab w:val="num" w:pos="4320"/>
        </w:tabs>
        <w:ind w:left="4320" w:hanging="180"/>
      </w:pPr>
      <w:rPr>
        <w:rFonts w:cs="Times New Roman"/>
      </w:rPr>
    </w:lvl>
    <w:lvl w:ilvl="6" w:tplc="0B72762E" w:tentative="1">
      <w:start w:val="1"/>
      <w:numFmt w:val="decimal"/>
      <w:lvlText w:val="%7."/>
      <w:lvlJc w:val="left"/>
      <w:pPr>
        <w:tabs>
          <w:tab w:val="num" w:pos="5040"/>
        </w:tabs>
        <w:ind w:left="5040" w:hanging="360"/>
      </w:pPr>
      <w:rPr>
        <w:rFonts w:cs="Times New Roman"/>
      </w:rPr>
    </w:lvl>
    <w:lvl w:ilvl="7" w:tplc="372E325A" w:tentative="1">
      <w:start w:val="1"/>
      <w:numFmt w:val="lowerLetter"/>
      <w:lvlText w:val="%8."/>
      <w:lvlJc w:val="left"/>
      <w:pPr>
        <w:tabs>
          <w:tab w:val="num" w:pos="5760"/>
        </w:tabs>
        <w:ind w:left="5760" w:hanging="360"/>
      </w:pPr>
      <w:rPr>
        <w:rFonts w:cs="Times New Roman"/>
      </w:rPr>
    </w:lvl>
    <w:lvl w:ilvl="8" w:tplc="146E337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6EB221F4">
      <w:start w:val="1"/>
      <w:numFmt w:val="bullet"/>
      <w:lvlText w:val=""/>
      <w:lvlJc w:val="left"/>
      <w:pPr>
        <w:tabs>
          <w:tab w:val="num" w:pos="720"/>
        </w:tabs>
        <w:ind w:left="720" w:hanging="360"/>
      </w:pPr>
      <w:rPr>
        <w:rFonts w:ascii="Symbol" w:hAnsi="Symbol" w:hint="default"/>
      </w:rPr>
    </w:lvl>
    <w:lvl w:ilvl="1" w:tplc="1054D75E" w:tentative="1">
      <w:start w:val="1"/>
      <w:numFmt w:val="bullet"/>
      <w:lvlText w:val="o"/>
      <w:lvlJc w:val="left"/>
      <w:pPr>
        <w:tabs>
          <w:tab w:val="num" w:pos="1440"/>
        </w:tabs>
        <w:ind w:left="1440" w:hanging="360"/>
      </w:pPr>
      <w:rPr>
        <w:rFonts w:ascii="Courier New" w:hAnsi="Courier New" w:cs="Courier New" w:hint="default"/>
      </w:rPr>
    </w:lvl>
    <w:lvl w:ilvl="2" w:tplc="B2BEB3A0" w:tentative="1">
      <w:start w:val="1"/>
      <w:numFmt w:val="bullet"/>
      <w:lvlText w:val=""/>
      <w:lvlJc w:val="left"/>
      <w:pPr>
        <w:tabs>
          <w:tab w:val="num" w:pos="2160"/>
        </w:tabs>
        <w:ind w:left="2160" w:hanging="360"/>
      </w:pPr>
      <w:rPr>
        <w:rFonts w:ascii="Wingdings" w:hAnsi="Wingdings" w:hint="default"/>
      </w:rPr>
    </w:lvl>
    <w:lvl w:ilvl="3" w:tplc="B6823494" w:tentative="1">
      <w:start w:val="1"/>
      <w:numFmt w:val="bullet"/>
      <w:lvlText w:val=""/>
      <w:lvlJc w:val="left"/>
      <w:pPr>
        <w:tabs>
          <w:tab w:val="num" w:pos="2880"/>
        </w:tabs>
        <w:ind w:left="2880" w:hanging="360"/>
      </w:pPr>
      <w:rPr>
        <w:rFonts w:ascii="Symbol" w:hAnsi="Symbol" w:hint="default"/>
      </w:rPr>
    </w:lvl>
    <w:lvl w:ilvl="4" w:tplc="71A2D880" w:tentative="1">
      <w:start w:val="1"/>
      <w:numFmt w:val="bullet"/>
      <w:lvlText w:val="o"/>
      <w:lvlJc w:val="left"/>
      <w:pPr>
        <w:tabs>
          <w:tab w:val="num" w:pos="3600"/>
        </w:tabs>
        <w:ind w:left="3600" w:hanging="360"/>
      </w:pPr>
      <w:rPr>
        <w:rFonts w:ascii="Courier New" w:hAnsi="Courier New" w:cs="Courier New" w:hint="default"/>
      </w:rPr>
    </w:lvl>
    <w:lvl w:ilvl="5" w:tplc="5380C788" w:tentative="1">
      <w:start w:val="1"/>
      <w:numFmt w:val="bullet"/>
      <w:lvlText w:val=""/>
      <w:lvlJc w:val="left"/>
      <w:pPr>
        <w:tabs>
          <w:tab w:val="num" w:pos="4320"/>
        </w:tabs>
        <w:ind w:left="4320" w:hanging="360"/>
      </w:pPr>
      <w:rPr>
        <w:rFonts w:ascii="Wingdings" w:hAnsi="Wingdings" w:hint="default"/>
      </w:rPr>
    </w:lvl>
    <w:lvl w:ilvl="6" w:tplc="2CBC77F2" w:tentative="1">
      <w:start w:val="1"/>
      <w:numFmt w:val="bullet"/>
      <w:lvlText w:val=""/>
      <w:lvlJc w:val="left"/>
      <w:pPr>
        <w:tabs>
          <w:tab w:val="num" w:pos="5040"/>
        </w:tabs>
        <w:ind w:left="5040" w:hanging="360"/>
      </w:pPr>
      <w:rPr>
        <w:rFonts w:ascii="Symbol" w:hAnsi="Symbol" w:hint="default"/>
      </w:rPr>
    </w:lvl>
    <w:lvl w:ilvl="7" w:tplc="D9F63742" w:tentative="1">
      <w:start w:val="1"/>
      <w:numFmt w:val="bullet"/>
      <w:lvlText w:val="o"/>
      <w:lvlJc w:val="left"/>
      <w:pPr>
        <w:tabs>
          <w:tab w:val="num" w:pos="5760"/>
        </w:tabs>
        <w:ind w:left="5760" w:hanging="360"/>
      </w:pPr>
      <w:rPr>
        <w:rFonts w:ascii="Courier New" w:hAnsi="Courier New" w:cs="Courier New" w:hint="default"/>
      </w:rPr>
    </w:lvl>
    <w:lvl w:ilvl="8" w:tplc="3A2C35B0"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7846A1B4">
      <w:start w:val="1"/>
      <w:numFmt w:val="bullet"/>
      <w:lvlText w:val=""/>
      <w:lvlJc w:val="left"/>
      <w:pPr>
        <w:tabs>
          <w:tab w:val="num" w:pos="720"/>
        </w:tabs>
        <w:ind w:left="720" w:hanging="360"/>
      </w:pPr>
      <w:rPr>
        <w:rFonts w:ascii="Symbol" w:hAnsi="Symbol" w:hint="default"/>
        <w:u w:val="none"/>
      </w:rPr>
    </w:lvl>
    <w:lvl w:ilvl="1" w:tplc="E1BA1A8C" w:tentative="1">
      <w:start w:val="1"/>
      <w:numFmt w:val="bullet"/>
      <w:lvlText w:val="o"/>
      <w:lvlJc w:val="left"/>
      <w:pPr>
        <w:tabs>
          <w:tab w:val="num" w:pos="2880"/>
        </w:tabs>
        <w:ind w:left="2880" w:hanging="360"/>
      </w:pPr>
      <w:rPr>
        <w:rFonts w:ascii="Courier New" w:hAnsi="Courier New" w:cs="Courier New" w:hint="default"/>
      </w:rPr>
    </w:lvl>
    <w:lvl w:ilvl="2" w:tplc="EAFA3BC8" w:tentative="1">
      <w:start w:val="1"/>
      <w:numFmt w:val="bullet"/>
      <w:lvlText w:val=""/>
      <w:lvlJc w:val="left"/>
      <w:pPr>
        <w:tabs>
          <w:tab w:val="num" w:pos="3600"/>
        </w:tabs>
        <w:ind w:left="3600" w:hanging="360"/>
      </w:pPr>
      <w:rPr>
        <w:rFonts w:ascii="Wingdings" w:hAnsi="Wingdings" w:hint="default"/>
      </w:rPr>
    </w:lvl>
    <w:lvl w:ilvl="3" w:tplc="D4EE6EC8" w:tentative="1">
      <w:start w:val="1"/>
      <w:numFmt w:val="bullet"/>
      <w:lvlText w:val=""/>
      <w:lvlJc w:val="left"/>
      <w:pPr>
        <w:tabs>
          <w:tab w:val="num" w:pos="4320"/>
        </w:tabs>
        <w:ind w:left="4320" w:hanging="360"/>
      </w:pPr>
      <w:rPr>
        <w:rFonts w:ascii="Symbol" w:hAnsi="Symbol" w:hint="default"/>
      </w:rPr>
    </w:lvl>
    <w:lvl w:ilvl="4" w:tplc="4D007D9C" w:tentative="1">
      <w:start w:val="1"/>
      <w:numFmt w:val="bullet"/>
      <w:lvlText w:val="o"/>
      <w:lvlJc w:val="left"/>
      <w:pPr>
        <w:tabs>
          <w:tab w:val="num" w:pos="5040"/>
        </w:tabs>
        <w:ind w:left="5040" w:hanging="360"/>
      </w:pPr>
      <w:rPr>
        <w:rFonts w:ascii="Courier New" w:hAnsi="Courier New" w:cs="Courier New" w:hint="default"/>
      </w:rPr>
    </w:lvl>
    <w:lvl w:ilvl="5" w:tplc="4C18A3E4" w:tentative="1">
      <w:start w:val="1"/>
      <w:numFmt w:val="bullet"/>
      <w:lvlText w:val=""/>
      <w:lvlJc w:val="left"/>
      <w:pPr>
        <w:tabs>
          <w:tab w:val="num" w:pos="5760"/>
        </w:tabs>
        <w:ind w:left="5760" w:hanging="360"/>
      </w:pPr>
      <w:rPr>
        <w:rFonts w:ascii="Wingdings" w:hAnsi="Wingdings" w:hint="default"/>
      </w:rPr>
    </w:lvl>
    <w:lvl w:ilvl="6" w:tplc="11321060" w:tentative="1">
      <w:start w:val="1"/>
      <w:numFmt w:val="bullet"/>
      <w:lvlText w:val=""/>
      <w:lvlJc w:val="left"/>
      <w:pPr>
        <w:tabs>
          <w:tab w:val="num" w:pos="6480"/>
        </w:tabs>
        <w:ind w:left="6480" w:hanging="360"/>
      </w:pPr>
      <w:rPr>
        <w:rFonts w:ascii="Symbol" w:hAnsi="Symbol" w:hint="default"/>
      </w:rPr>
    </w:lvl>
    <w:lvl w:ilvl="7" w:tplc="AE4E76B0" w:tentative="1">
      <w:start w:val="1"/>
      <w:numFmt w:val="bullet"/>
      <w:lvlText w:val="o"/>
      <w:lvlJc w:val="left"/>
      <w:pPr>
        <w:tabs>
          <w:tab w:val="num" w:pos="7200"/>
        </w:tabs>
        <w:ind w:left="7200" w:hanging="360"/>
      </w:pPr>
      <w:rPr>
        <w:rFonts w:ascii="Courier New" w:hAnsi="Courier New" w:cs="Courier New" w:hint="default"/>
      </w:rPr>
    </w:lvl>
    <w:lvl w:ilvl="8" w:tplc="C86ED7FC"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AC469F28">
      <w:start w:val="1"/>
      <w:numFmt w:val="bullet"/>
      <w:lvlText w:val=""/>
      <w:lvlJc w:val="left"/>
      <w:pPr>
        <w:tabs>
          <w:tab w:val="num" w:pos="5760"/>
        </w:tabs>
        <w:ind w:left="5760" w:hanging="360"/>
      </w:pPr>
      <w:rPr>
        <w:rFonts w:ascii="Symbol" w:hAnsi="Symbol" w:hint="default"/>
        <w:color w:val="auto"/>
        <w:u w:val="none"/>
      </w:rPr>
    </w:lvl>
    <w:lvl w:ilvl="1" w:tplc="6BC012D4" w:tentative="1">
      <w:start w:val="1"/>
      <w:numFmt w:val="bullet"/>
      <w:lvlText w:val="o"/>
      <w:lvlJc w:val="left"/>
      <w:pPr>
        <w:tabs>
          <w:tab w:val="num" w:pos="3600"/>
        </w:tabs>
        <w:ind w:left="3600" w:hanging="360"/>
      </w:pPr>
      <w:rPr>
        <w:rFonts w:ascii="Courier New" w:hAnsi="Courier New" w:hint="default"/>
      </w:rPr>
    </w:lvl>
    <w:lvl w:ilvl="2" w:tplc="99140FFA" w:tentative="1">
      <w:start w:val="1"/>
      <w:numFmt w:val="bullet"/>
      <w:lvlText w:val=""/>
      <w:lvlJc w:val="left"/>
      <w:pPr>
        <w:tabs>
          <w:tab w:val="num" w:pos="4320"/>
        </w:tabs>
        <w:ind w:left="4320" w:hanging="360"/>
      </w:pPr>
      <w:rPr>
        <w:rFonts w:ascii="Wingdings" w:hAnsi="Wingdings" w:hint="default"/>
      </w:rPr>
    </w:lvl>
    <w:lvl w:ilvl="3" w:tplc="33664404">
      <w:start w:val="1"/>
      <w:numFmt w:val="bullet"/>
      <w:lvlText w:val=""/>
      <w:lvlJc w:val="left"/>
      <w:pPr>
        <w:tabs>
          <w:tab w:val="num" w:pos="5040"/>
        </w:tabs>
        <w:ind w:left="5040" w:hanging="360"/>
      </w:pPr>
      <w:rPr>
        <w:rFonts w:ascii="Symbol" w:hAnsi="Symbol" w:hint="default"/>
      </w:rPr>
    </w:lvl>
    <w:lvl w:ilvl="4" w:tplc="DED6446A" w:tentative="1">
      <w:start w:val="1"/>
      <w:numFmt w:val="bullet"/>
      <w:lvlText w:val="o"/>
      <w:lvlJc w:val="left"/>
      <w:pPr>
        <w:tabs>
          <w:tab w:val="num" w:pos="5760"/>
        </w:tabs>
        <w:ind w:left="5760" w:hanging="360"/>
      </w:pPr>
      <w:rPr>
        <w:rFonts w:ascii="Courier New" w:hAnsi="Courier New" w:hint="default"/>
      </w:rPr>
    </w:lvl>
    <w:lvl w:ilvl="5" w:tplc="0700D7C4" w:tentative="1">
      <w:start w:val="1"/>
      <w:numFmt w:val="bullet"/>
      <w:lvlText w:val=""/>
      <w:lvlJc w:val="left"/>
      <w:pPr>
        <w:tabs>
          <w:tab w:val="num" w:pos="6480"/>
        </w:tabs>
        <w:ind w:left="6480" w:hanging="360"/>
      </w:pPr>
      <w:rPr>
        <w:rFonts w:ascii="Wingdings" w:hAnsi="Wingdings" w:hint="default"/>
      </w:rPr>
    </w:lvl>
    <w:lvl w:ilvl="6" w:tplc="1146EF6A" w:tentative="1">
      <w:start w:val="1"/>
      <w:numFmt w:val="bullet"/>
      <w:lvlText w:val=""/>
      <w:lvlJc w:val="left"/>
      <w:pPr>
        <w:tabs>
          <w:tab w:val="num" w:pos="7200"/>
        </w:tabs>
        <w:ind w:left="7200" w:hanging="360"/>
      </w:pPr>
      <w:rPr>
        <w:rFonts w:ascii="Symbol" w:hAnsi="Symbol" w:hint="default"/>
      </w:rPr>
    </w:lvl>
    <w:lvl w:ilvl="7" w:tplc="498AB450" w:tentative="1">
      <w:start w:val="1"/>
      <w:numFmt w:val="bullet"/>
      <w:lvlText w:val="o"/>
      <w:lvlJc w:val="left"/>
      <w:pPr>
        <w:tabs>
          <w:tab w:val="num" w:pos="7920"/>
        </w:tabs>
        <w:ind w:left="7920" w:hanging="360"/>
      </w:pPr>
      <w:rPr>
        <w:rFonts w:ascii="Courier New" w:hAnsi="Courier New" w:hint="default"/>
      </w:rPr>
    </w:lvl>
    <w:lvl w:ilvl="8" w:tplc="032AB49C"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7F03D34">
      <w:start w:val="1"/>
      <w:numFmt w:val="decimal"/>
      <w:lvlText w:val="(%1)"/>
      <w:lvlJc w:val="left"/>
      <w:pPr>
        <w:tabs>
          <w:tab w:val="num" w:pos="2520"/>
        </w:tabs>
        <w:ind w:left="2520" w:hanging="720"/>
      </w:pPr>
      <w:rPr>
        <w:rFonts w:cs="Times New Roman" w:hint="default"/>
      </w:rPr>
    </w:lvl>
    <w:lvl w:ilvl="1" w:tplc="70EEB7DE">
      <w:start w:val="1"/>
      <w:numFmt w:val="lowerRoman"/>
      <w:lvlText w:val="(%2)"/>
      <w:lvlJc w:val="left"/>
      <w:pPr>
        <w:tabs>
          <w:tab w:val="num" w:pos="1800"/>
        </w:tabs>
        <w:ind w:left="1800" w:hanging="720"/>
      </w:pPr>
      <w:rPr>
        <w:rFonts w:cs="Times New Roman" w:hint="default"/>
        <w:b w:val="0"/>
      </w:rPr>
    </w:lvl>
    <w:lvl w:ilvl="2" w:tplc="345C2E16">
      <w:start w:val="1"/>
      <w:numFmt w:val="decimal"/>
      <w:lvlText w:val="(%3)"/>
      <w:lvlJc w:val="right"/>
      <w:pPr>
        <w:tabs>
          <w:tab w:val="num" w:pos="2160"/>
        </w:tabs>
        <w:ind w:left="2160" w:hanging="180"/>
      </w:pPr>
      <w:rPr>
        <w:rFonts w:ascii="Times New Roman" w:eastAsia="Times New Roman" w:hAnsi="Times New Roman" w:cs="Times New Roman"/>
        <w:b w:val="0"/>
      </w:rPr>
    </w:lvl>
    <w:lvl w:ilvl="3" w:tplc="6C927C08">
      <w:start w:val="1"/>
      <w:numFmt w:val="lowerRoman"/>
      <w:lvlText w:val="(%4)"/>
      <w:lvlJc w:val="left"/>
      <w:pPr>
        <w:tabs>
          <w:tab w:val="num" w:pos="2520"/>
        </w:tabs>
        <w:ind w:left="2880" w:hanging="360"/>
      </w:pPr>
      <w:rPr>
        <w:rFonts w:cs="Times New Roman" w:hint="default"/>
        <w:b w:val="0"/>
      </w:rPr>
    </w:lvl>
    <w:lvl w:ilvl="4" w:tplc="B2F2792A" w:tentative="1">
      <w:start w:val="1"/>
      <w:numFmt w:val="lowerLetter"/>
      <w:lvlText w:val="%5."/>
      <w:lvlJc w:val="left"/>
      <w:pPr>
        <w:tabs>
          <w:tab w:val="num" w:pos="3600"/>
        </w:tabs>
        <w:ind w:left="3600" w:hanging="360"/>
      </w:pPr>
      <w:rPr>
        <w:rFonts w:cs="Times New Roman"/>
      </w:rPr>
    </w:lvl>
    <w:lvl w:ilvl="5" w:tplc="E056CE2C" w:tentative="1">
      <w:start w:val="1"/>
      <w:numFmt w:val="lowerRoman"/>
      <w:lvlText w:val="%6."/>
      <w:lvlJc w:val="right"/>
      <w:pPr>
        <w:tabs>
          <w:tab w:val="num" w:pos="4320"/>
        </w:tabs>
        <w:ind w:left="4320" w:hanging="180"/>
      </w:pPr>
      <w:rPr>
        <w:rFonts w:cs="Times New Roman"/>
      </w:rPr>
    </w:lvl>
    <w:lvl w:ilvl="6" w:tplc="26BC8240" w:tentative="1">
      <w:start w:val="1"/>
      <w:numFmt w:val="decimal"/>
      <w:lvlText w:val="%7."/>
      <w:lvlJc w:val="left"/>
      <w:pPr>
        <w:tabs>
          <w:tab w:val="num" w:pos="5040"/>
        </w:tabs>
        <w:ind w:left="5040" w:hanging="360"/>
      </w:pPr>
      <w:rPr>
        <w:rFonts w:cs="Times New Roman"/>
      </w:rPr>
    </w:lvl>
    <w:lvl w:ilvl="7" w:tplc="3D320570" w:tentative="1">
      <w:start w:val="1"/>
      <w:numFmt w:val="lowerLetter"/>
      <w:lvlText w:val="%8."/>
      <w:lvlJc w:val="left"/>
      <w:pPr>
        <w:tabs>
          <w:tab w:val="num" w:pos="5760"/>
        </w:tabs>
        <w:ind w:left="5760" w:hanging="360"/>
      </w:pPr>
      <w:rPr>
        <w:rFonts w:cs="Times New Roman"/>
      </w:rPr>
    </w:lvl>
    <w:lvl w:ilvl="8" w:tplc="019C1DE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hideSpellingErrors/>
  <w:hideGrammaticalErrors/>
  <w:proofState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C476D8"/>
    <w:rsid w:val="003909C1"/>
    <w:rsid w:val="00C476D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uiPriority w:val="99"/>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A960-BA9F-4B25-AB31-67130A21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23824</Words>
  <Characters>135803</Characters>
  <Application>Microsoft Office Word</Application>
  <DocSecurity>4</DocSecurity>
  <Lines>1131</Lines>
  <Paragraphs>318</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159309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2010-04-07T13:32:00Z</cp:lastPrinted>
  <dcterms:created xsi:type="dcterms:W3CDTF">2016-10-12T16:03:00Z</dcterms:created>
  <dcterms:modified xsi:type="dcterms:W3CDTF">2016-10-12T16:03:00Z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